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29E8E" w14:textId="77777777" w:rsidR="00D604D5" w:rsidRDefault="00D604D5" w:rsidP="00D604D5">
      <w:pPr>
        <w:keepNext/>
        <w:widowControl w:val="0"/>
        <w:suppressAutoHyphens/>
        <w:autoSpaceDE w:val="0"/>
        <w:autoSpaceDN w:val="0"/>
        <w:adjustRightInd w:val="0"/>
        <w:jc w:val="center"/>
        <w:textAlignment w:val="center"/>
        <w:outlineLvl w:val="0"/>
        <w:rPr>
          <w:b/>
        </w:rPr>
      </w:pPr>
    </w:p>
    <w:p w14:paraId="150959A6" w14:textId="77777777" w:rsidR="00D604D5" w:rsidRDefault="00D604D5" w:rsidP="00D604D5">
      <w:pPr>
        <w:keepNext/>
        <w:widowControl w:val="0"/>
        <w:suppressAutoHyphens/>
        <w:autoSpaceDE w:val="0"/>
        <w:autoSpaceDN w:val="0"/>
        <w:adjustRightInd w:val="0"/>
        <w:jc w:val="center"/>
        <w:textAlignment w:val="center"/>
        <w:outlineLvl w:val="0"/>
        <w:rPr>
          <w:b/>
        </w:rPr>
      </w:pPr>
    </w:p>
    <w:p w14:paraId="22C0E14A" w14:textId="77777777" w:rsidR="00D604D5" w:rsidRDefault="00D604D5" w:rsidP="00D604D5">
      <w:pPr>
        <w:keepNext/>
        <w:widowControl w:val="0"/>
        <w:suppressAutoHyphens/>
        <w:autoSpaceDE w:val="0"/>
        <w:autoSpaceDN w:val="0"/>
        <w:adjustRightInd w:val="0"/>
        <w:jc w:val="center"/>
        <w:textAlignment w:val="center"/>
        <w:outlineLvl w:val="0"/>
        <w:rPr>
          <w:b/>
        </w:rPr>
      </w:pPr>
    </w:p>
    <w:p w14:paraId="5C8F9F42" w14:textId="77777777" w:rsidR="00D604D5" w:rsidRDefault="00D604D5" w:rsidP="00D604D5">
      <w:pPr>
        <w:keepNext/>
        <w:widowControl w:val="0"/>
        <w:suppressAutoHyphens/>
        <w:autoSpaceDE w:val="0"/>
        <w:autoSpaceDN w:val="0"/>
        <w:adjustRightInd w:val="0"/>
        <w:jc w:val="center"/>
        <w:textAlignment w:val="center"/>
        <w:outlineLvl w:val="0"/>
        <w:rPr>
          <w:b/>
        </w:rPr>
      </w:pPr>
    </w:p>
    <w:p w14:paraId="0CDD9CD8" w14:textId="77777777" w:rsidR="00D604D5" w:rsidRDefault="00D604D5" w:rsidP="00D604D5">
      <w:pPr>
        <w:keepNext/>
        <w:widowControl w:val="0"/>
        <w:suppressAutoHyphens/>
        <w:autoSpaceDE w:val="0"/>
        <w:autoSpaceDN w:val="0"/>
        <w:adjustRightInd w:val="0"/>
        <w:jc w:val="center"/>
        <w:textAlignment w:val="center"/>
        <w:outlineLvl w:val="0"/>
        <w:rPr>
          <w:b/>
        </w:rPr>
      </w:pPr>
    </w:p>
    <w:p w14:paraId="2CD6B33B" w14:textId="4368A908"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Pr>
          <w:rFonts w:ascii="Candara" w:hAnsi="Candara" w:cs="HelveticaNeue-Bold"/>
          <w:b/>
          <w:bCs/>
          <w:color w:val="000000"/>
          <w:sz w:val="68"/>
          <w:szCs w:val="68"/>
        </w:rPr>
        <w:t>National Disability Insurance Scheme</w:t>
      </w:r>
    </w:p>
    <w:p w14:paraId="43A6B114"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6CE43384"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09993456" w14:textId="22CC46DE" w:rsidR="00D604D5" w:rsidRPr="0039308F" w:rsidRDefault="0039308F"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44"/>
          <w:szCs w:val="44"/>
        </w:rPr>
      </w:pPr>
      <w:r>
        <w:rPr>
          <w:rFonts w:ascii="Candara" w:hAnsi="Candara" w:cs="HelveticaNeue-Bold"/>
          <w:b/>
          <w:bCs/>
          <w:color w:val="000000"/>
          <w:sz w:val="44"/>
          <w:szCs w:val="44"/>
        </w:rPr>
        <w:t xml:space="preserve">A Framework for </w:t>
      </w:r>
      <w:r w:rsidR="00D604D5">
        <w:rPr>
          <w:rFonts w:ascii="Candara" w:hAnsi="Candara" w:cs="HelveticaNeue-Bold"/>
          <w:b/>
          <w:bCs/>
          <w:color w:val="000000"/>
          <w:sz w:val="44"/>
          <w:szCs w:val="44"/>
        </w:rPr>
        <w:t xml:space="preserve">Information Linkages and Capacity Building </w:t>
      </w:r>
    </w:p>
    <w:p w14:paraId="55797193"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14:paraId="2F07064B" w14:textId="77777777" w:rsidR="00D604D5" w:rsidRPr="0039308F"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color w:val="000000"/>
          <w:sz w:val="44"/>
          <w:szCs w:val="44"/>
        </w:rPr>
      </w:pPr>
      <w:r>
        <w:rPr>
          <w:rFonts w:ascii="Candara" w:hAnsi="Candara" w:cs="HelveticaNeue-Bold"/>
          <w:b/>
          <w:bCs/>
          <w:color w:val="000000"/>
          <w:sz w:val="44"/>
          <w:szCs w:val="44"/>
        </w:rPr>
        <w:t>Submission</w:t>
      </w:r>
    </w:p>
    <w:p w14:paraId="3B8948AF" w14:textId="77777777" w:rsidR="00D604D5" w:rsidRPr="0017653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1CB62875"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133AE3E7"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5545CEC3" w14:textId="77777777" w:rsidR="00D604D5" w:rsidRDefault="00D604D5" w:rsidP="0039308F">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7219F15E"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684D9DE1"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04AEAEF6" w14:textId="77777777" w:rsidR="00D604D5" w:rsidRDefault="00D604D5" w:rsidP="00D604D5">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Children with Disability Australia</w:t>
      </w:r>
    </w:p>
    <w:p w14:paraId="3C7ACE43" w14:textId="77777777" w:rsidR="00D604D5" w:rsidRPr="00FC3861" w:rsidRDefault="00D604D5" w:rsidP="00D604D5">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March 2015</w:t>
      </w:r>
    </w:p>
    <w:p w14:paraId="4E47B156" w14:textId="77777777" w:rsidR="00473002" w:rsidRDefault="00473002">
      <w:pPr>
        <w:rPr>
          <w:b/>
        </w:rPr>
      </w:pPr>
    </w:p>
    <w:p w14:paraId="2F6B17A5" w14:textId="77777777" w:rsidR="00A214BA" w:rsidRDefault="00A214BA">
      <w:pPr>
        <w:rPr>
          <w:b/>
        </w:rPr>
      </w:pPr>
    </w:p>
    <w:p w14:paraId="3A76E1E5" w14:textId="77777777" w:rsidR="00D604D5" w:rsidRDefault="00D604D5">
      <w:pPr>
        <w:rPr>
          <w:b/>
        </w:rPr>
      </w:pPr>
      <w:r>
        <w:rPr>
          <w:b/>
        </w:rPr>
        <w:br w:type="page"/>
      </w:r>
    </w:p>
    <w:p w14:paraId="5C9E42B4" w14:textId="77777777" w:rsidR="00C3367D" w:rsidRDefault="00C3367D">
      <w:pPr>
        <w:rPr>
          <w:sz w:val="28"/>
          <w:szCs w:val="28"/>
        </w:rPr>
      </w:pPr>
      <w:r w:rsidRPr="00E17F14">
        <w:rPr>
          <w:sz w:val="28"/>
          <w:szCs w:val="28"/>
        </w:rPr>
        <w:lastRenderedPageBreak/>
        <w:t>INTRODUCTION</w:t>
      </w:r>
    </w:p>
    <w:p w14:paraId="3E71E462" w14:textId="77777777" w:rsidR="008604A1" w:rsidRPr="00E17F14" w:rsidRDefault="008604A1">
      <w:pPr>
        <w:rPr>
          <w:sz w:val="28"/>
          <w:szCs w:val="28"/>
        </w:rPr>
      </w:pPr>
    </w:p>
    <w:p w14:paraId="32535A25" w14:textId="43ACAF04" w:rsidR="00C845C2" w:rsidRDefault="00604804">
      <w:r>
        <w:t xml:space="preserve">Children with Disability Australia (CDA) welcomes the opportunity to provide feedback on the </w:t>
      </w:r>
      <w:r w:rsidR="0029691D">
        <w:t>f</w:t>
      </w:r>
      <w:r w:rsidR="004B48F4">
        <w:t>ramework</w:t>
      </w:r>
      <w:r>
        <w:t xml:space="preserve"> for the Information, Linkages and Capacity Building (ILC) component of the </w:t>
      </w:r>
      <w:r w:rsidR="009E03C7">
        <w:t>National Disability Insurance Scheme (</w:t>
      </w:r>
      <w:r>
        <w:t>NDIS</w:t>
      </w:r>
      <w:r w:rsidR="009E03C7">
        <w:t>)</w:t>
      </w:r>
      <w:r>
        <w:t>.</w:t>
      </w:r>
    </w:p>
    <w:p w14:paraId="42B60F6A" w14:textId="77777777" w:rsidR="00C3367D" w:rsidRDefault="00C3367D"/>
    <w:p w14:paraId="5D7A2468" w14:textId="2253B218" w:rsidR="00741486" w:rsidRDefault="00C3367D">
      <w:r>
        <w:t>CDA is the national disability representative organisation for children and young people aged 0-25 years. It receives its core funding from the Department of Social Services and presently receives additional funding from the Aus</w:t>
      </w:r>
      <w:r w:rsidR="00A4434A">
        <w:t>tralian</w:t>
      </w:r>
      <w:r>
        <w:t xml:space="preserve"> </w:t>
      </w:r>
      <w:r w:rsidR="00A4434A">
        <w:t>Government</w:t>
      </w:r>
      <w:r>
        <w:t xml:space="preserve"> Dep</w:t>
      </w:r>
      <w:r w:rsidR="00A4434A">
        <w:t>artment</w:t>
      </w:r>
      <w:r>
        <w:t xml:space="preserve"> of Education</w:t>
      </w:r>
      <w:r w:rsidR="00503B03">
        <w:t>. CDA has over 5000 members nationally.</w:t>
      </w:r>
    </w:p>
    <w:p w14:paraId="31D38DE3" w14:textId="77777777" w:rsidR="00741486" w:rsidRDefault="00741486"/>
    <w:p w14:paraId="1BF70AB8" w14:textId="57BDCD11" w:rsidR="00C754F0" w:rsidRDefault="00741486">
      <w:r w:rsidRPr="00741486">
        <w:t xml:space="preserve">The NDIS was introduced due to a national recognition that the disability service system </w:t>
      </w:r>
      <w:r w:rsidR="006D51CB">
        <w:t>was</w:t>
      </w:r>
      <w:r w:rsidRPr="00741486">
        <w:t xml:space="preserve"> grossly inadequate. </w:t>
      </w:r>
      <w:r w:rsidR="005D4911" w:rsidRPr="00741486">
        <w:t>CDA hears daily of the exasperation that children and young people with disability and their families experience due to the constant and often insurmountable barriers within the disability service system to receiving adequate services and supports.</w:t>
      </w:r>
      <w:r w:rsidR="005D4911">
        <w:t xml:space="preserve"> </w:t>
      </w:r>
      <w:r w:rsidR="00587C72">
        <w:t>P</w:t>
      </w:r>
      <w:r w:rsidR="00B4158C">
        <w:t>rolonged advocacy and community action</w:t>
      </w:r>
      <w:r w:rsidR="002A22AF">
        <w:t xml:space="preserve"> from people with disability</w:t>
      </w:r>
      <w:r w:rsidR="00C31BE1">
        <w:t>,</w:t>
      </w:r>
      <w:r w:rsidR="002A22AF">
        <w:t xml:space="preserve"> families and advocates</w:t>
      </w:r>
      <w:r w:rsidR="00587C72">
        <w:t xml:space="preserve"> le</w:t>
      </w:r>
      <w:r w:rsidR="005D4911">
        <w:t>d</w:t>
      </w:r>
      <w:r w:rsidR="00587C72">
        <w:t xml:space="preserve"> to</w:t>
      </w:r>
      <w:r w:rsidR="005D4911">
        <w:t xml:space="preserve"> the </w:t>
      </w:r>
      <w:r w:rsidRPr="00741486">
        <w:t>Productivity Commissio</w:t>
      </w:r>
      <w:r w:rsidR="00587C72">
        <w:t xml:space="preserve">n undertaking the </w:t>
      </w:r>
      <w:r w:rsidR="00A56DBB">
        <w:t xml:space="preserve">Inquiry </w:t>
      </w:r>
      <w:r w:rsidRPr="00741486">
        <w:t>into Disability Care and Support</w:t>
      </w:r>
      <w:r w:rsidR="005D4911">
        <w:t>. The Inquiry</w:t>
      </w:r>
      <w:r w:rsidR="00D85414">
        <w:t xml:space="preserve"> found that the</w:t>
      </w:r>
      <w:r w:rsidRPr="00741486">
        <w:t xml:space="preserve"> disability service system “is underfunded, unfair, fragmented, and inefficient, and gives people with a disability little choice and no certainty of ac</w:t>
      </w:r>
      <w:r>
        <w:t>cess to appropriate supports.”</w:t>
      </w:r>
      <w:r w:rsidR="002D5C10">
        <w:rPr>
          <w:rStyle w:val="FootnoteReference"/>
        </w:rPr>
        <w:footnoteReference w:id="1"/>
      </w:r>
      <w:r>
        <w:t xml:space="preserve"> </w:t>
      </w:r>
      <w:r w:rsidR="00C754F0">
        <w:t>This led to the remodelling of th</w:t>
      </w:r>
      <w:r w:rsidR="00293B72">
        <w:t>e di</w:t>
      </w:r>
      <w:r w:rsidR="000F15A5">
        <w:t>sability services system with</w:t>
      </w:r>
      <w:r w:rsidR="00C754F0">
        <w:t xml:space="preserve"> the establishment of the NDIS.</w:t>
      </w:r>
    </w:p>
    <w:p w14:paraId="6F62F2BB" w14:textId="662B3F07" w:rsidR="00A850A6" w:rsidRDefault="00A850A6"/>
    <w:p w14:paraId="1F6AFE23" w14:textId="241DDE37" w:rsidR="00C12F04" w:rsidRDefault="00A850A6">
      <w:r>
        <w:t>The</w:t>
      </w:r>
      <w:r w:rsidR="00D20EF5">
        <w:t xml:space="preserve"> core principles underlying the NDIS</w:t>
      </w:r>
      <w:r>
        <w:t xml:space="preserve"> </w:t>
      </w:r>
      <w:r w:rsidR="00D20EF5">
        <w:t>are</w:t>
      </w:r>
      <w:r w:rsidR="00C12F04">
        <w:t xml:space="preserve"> to:</w:t>
      </w:r>
    </w:p>
    <w:p w14:paraId="66A44141" w14:textId="197A026D" w:rsidR="00510365" w:rsidRDefault="00A850A6" w:rsidP="0039308F">
      <w:pPr>
        <w:pStyle w:val="ListParagraph"/>
        <w:numPr>
          <w:ilvl w:val="0"/>
          <w:numId w:val="21"/>
        </w:numPr>
      </w:pPr>
      <w:r>
        <w:t>support the participation and inclusion of people with disabil</w:t>
      </w:r>
      <w:r w:rsidR="00A56DBB">
        <w:t>ity in social and economic life;</w:t>
      </w:r>
    </w:p>
    <w:p w14:paraId="466851D3" w14:textId="77777777" w:rsidR="00C12F04" w:rsidRDefault="00A850A6" w:rsidP="0039308F">
      <w:pPr>
        <w:pStyle w:val="ListParagraph"/>
        <w:numPr>
          <w:ilvl w:val="0"/>
          <w:numId w:val="21"/>
        </w:numPr>
      </w:pPr>
      <w:r>
        <w:t>provide certainty around disability services an</w:t>
      </w:r>
      <w:r w:rsidR="00A56DBB">
        <w:t xml:space="preserve">d supports; </w:t>
      </w:r>
    </w:p>
    <w:p w14:paraId="2B17E51E" w14:textId="77777777" w:rsidR="00C12F04" w:rsidRDefault="00A56DBB" w:rsidP="0039308F">
      <w:pPr>
        <w:pStyle w:val="ListParagraph"/>
        <w:numPr>
          <w:ilvl w:val="0"/>
          <w:numId w:val="21"/>
        </w:numPr>
      </w:pPr>
      <w:r>
        <w:t>maximise</w:t>
      </w:r>
      <w:r w:rsidR="00A850A6">
        <w:t xml:space="preserve"> the choice and control of people with disability around supports received</w:t>
      </w:r>
      <w:r w:rsidR="00C12F04">
        <w:t>;</w:t>
      </w:r>
      <w:r w:rsidR="00A850A6">
        <w:t xml:space="preserve"> and</w:t>
      </w:r>
    </w:p>
    <w:p w14:paraId="4EBD8517" w14:textId="77777777" w:rsidR="00C12F04" w:rsidRDefault="00A56DBB" w:rsidP="0039308F">
      <w:pPr>
        <w:pStyle w:val="ListParagraph"/>
        <w:numPr>
          <w:ilvl w:val="0"/>
          <w:numId w:val="21"/>
        </w:numPr>
      </w:pPr>
      <w:r>
        <w:t>support</w:t>
      </w:r>
      <w:r w:rsidR="00A850A6">
        <w:t xml:space="preserve"> people with disability to achieve their goals and live independently.</w:t>
      </w:r>
      <w:r w:rsidR="00A850A6">
        <w:rPr>
          <w:rStyle w:val="FootnoteReference"/>
        </w:rPr>
        <w:footnoteReference w:id="2"/>
      </w:r>
      <w:r w:rsidR="00545A52">
        <w:t xml:space="preserve"> </w:t>
      </w:r>
    </w:p>
    <w:p w14:paraId="5EA8A41F" w14:textId="00CCAC04" w:rsidR="00604804" w:rsidRDefault="00604804"/>
    <w:p w14:paraId="06AD10C8" w14:textId="46EFD418" w:rsidR="00565204" w:rsidRDefault="00672768" w:rsidP="00E16FAF">
      <w:r>
        <w:t xml:space="preserve">To date, </w:t>
      </w:r>
      <w:r w:rsidR="00D20EF5">
        <w:t>the majority of</w:t>
      </w:r>
      <w:r>
        <w:t xml:space="preserve"> </w:t>
      </w:r>
      <w:r w:rsidR="00D20EF5">
        <w:t xml:space="preserve">attention regarding the implementation of the NDIS </w:t>
      </w:r>
      <w:r>
        <w:t xml:space="preserve">has centred on </w:t>
      </w:r>
      <w:r w:rsidR="00C71062">
        <w:t>the processes and</w:t>
      </w:r>
      <w:r w:rsidR="00D20EF5">
        <w:t xml:space="preserve"> procedu</w:t>
      </w:r>
      <w:r w:rsidR="00C71062">
        <w:t>res around participants of the Sche</w:t>
      </w:r>
      <w:r w:rsidR="00D20EF5">
        <w:t xml:space="preserve">me with </w:t>
      </w:r>
      <w:r w:rsidR="00D214B4">
        <w:t xml:space="preserve">an </w:t>
      </w:r>
      <w:r w:rsidR="000F15A5">
        <w:t>Individual Funding Package (</w:t>
      </w:r>
      <w:r w:rsidR="00D20EF5">
        <w:t>IFP</w:t>
      </w:r>
      <w:r w:rsidR="000F15A5">
        <w:t>)</w:t>
      </w:r>
      <w:r w:rsidR="00E16FAF">
        <w:t xml:space="preserve">. </w:t>
      </w:r>
      <w:r w:rsidR="00565204">
        <w:t xml:space="preserve">It is estimated that 410,000 </w:t>
      </w:r>
      <w:r w:rsidR="00131DB7">
        <w:t xml:space="preserve">people </w:t>
      </w:r>
      <w:r w:rsidR="00565204">
        <w:t xml:space="preserve">are likely to access </w:t>
      </w:r>
      <w:r w:rsidR="00AE1661">
        <w:t xml:space="preserve">the </w:t>
      </w:r>
      <w:r w:rsidR="00565204">
        <w:t xml:space="preserve">NDIS as participants </w:t>
      </w:r>
      <w:r w:rsidR="00510365">
        <w:t>through having an IFP.</w:t>
      </w:r>
      <w:r w:rsidR="00131DB7">
        <w:rPr>
          <w:rStyle w:val="FootnoteReference"/>
        </w:rPr>
        <w:footnoteReference w:id="3"/>
      </w:r>
    </w:p>
    <w:p w14:paraId="38698221" w14:textId="77777777" w:rsidR="00565204" w:rsidRDefault="00565204" w:rsidP="00E16FAF"/>
    <w:p w14:paraId="42B1EBAD" w14:textId="33106D67" w:rsidR="00E16FAF" w:rsidRDefault="00565204" w:rsidP="00E16FAF">
      <w:r w:rsidRPr="0039308F">
        <w:t xml:space="preserve">The ILC </w:t>
      </w:r>
      <w:r w:rsidR="00D85414">
        <w:t>F</w:t>
      </w:r>
      <w:r w:rsidRPr="0039308F">
        <w:t xml:space="preserve">ramework will be of relevance to the largest number of people with disability, with it </w:t>
      </w:r>
      <w:r w:rsidR="009C56B0">
        <w:t xml:space="preserve">being </w:t>
      </w:r>
      <w:r w:rsidRPr="0039308F">
        <w:t>potentially accessed by the 2.5 million people under the age of 65 known to have a disability.</w:t>
      </w:r>
      <w:r w:rsidR="003F3E36">
        <w:rPr>
          <w:rStyle w:val="FootnoteReference"/>
        </w:rPr>
        <w:footnoteReference w:id="4"/>
      </w:r>
      <w:r w:rsidRPr="0039308F">
        <w:t xml:space="preserve"> ILC needs to incorporate a flexible process for accessing services and supports for </w:t>
      </w:r>
      <w:r w:rsidR="003F3E36">
        <w:t>people with disability</w:t>
      </w:r>
      <w:r w:rsidRPr="0039308F">
        <w:t xml:space="preserve">, families and carers. </w:t>
      </w:r>
      <w:r w:rsidR="003F3E36" w:rsidRPr="003F3E36">
        <w:t>M</w:t>
      </w:r>
      <w:r w:rsidRPr="003F3E36">
        <w:t>any people with disability will require, and in some cases desire, disability specific services as well as there being a critical need for many mainstream services to be inclusive of people with disability.</w:t>
      </w:r>
      <w:r w:rsidR="003F3E36">
        <w:t xml:space="preserve"> </w:t>
      </w:r>
      <w:r w:rsidRPr="0039308F">
        <w:t xml:space="preserve">The needs and wants of every individual will differ. The </w:t>
      </w:r>
      <w:r w:rsidR="00D85414">
        <w:t>ILC F</w:t>
      </w:r>
      <w:r w:rsidRPr="0039308F">
        <w:t xml:space="preserve">ramework should </w:t>
      </w:r>
      <w:r w:rsidR="009C56B0">
        <w:t xml:space="preserve">therefore </w:t>
      </w:r>
      <w:r w:rsidRPr="0039308F">
        <w:t xml:space="preserve">facilitate a service system </w:t>
      </w:r>
      <w:r w:rsidR="00E7119F" w:rsidRPr="0039308F">
        <w:t>for people, families and carer</w:t>
      </w:r>
      <w:r w:rsidR="003F3E36">
        <w:t>s</w:t>
      </w:r>
      <w:r w:rsidR="00E7119F" w:rsidRPr="0039308F">
        <w:t xml:space="preserve"> </w:t>
      </w:r>
      <w:r w:rsidRPr="0039308F">
        <w:t>that provides the necessary safeguards</w:t>
      </w:r>
      <w:r w:rsidR="00C64272">
        <w:t xml:space="preserve"> and </w:t>
      </w:r>
      <w:r w:rsidRPr="0039308F">
        <w:t>choice</w:t>
      </w:r>
      <w:r w:rsidR="00C64272" w:rsidRPr="00913209">
        <w:t xml:space="preserve"> </w:t>
      </w:r>
      <w:r w:rsidR="00C64272">
        <w:t>to access necessary supports. It should</w:t>
      </w:r>
      <w:r w:rsidRPr="0039308F">
        <w:t xml:space="preserve"> not result in processes, services and supports being imposed on people.</w:t>
      </w:r>
    </w:p>
    <w:p w14:paraId="28852991" w14:textId="2403F0BB" w:rsidR="00FC7F25" w:rsidRDefault="00FC7F25">
      <w:pPr>
        <w:rPr>
          <w:highlight w:val="yellow"/>
        </w:rPr>
      </w:pPr>
    </w:p>
    <w:p w14:paraId="17986789" w14:textId="52D04D4F" w:rsidR="007E33AC" w:rsidRDefault="00672768">
      <w:r>
        <w:t xml:space="preserve">Further, </w:t>
      </w:r>
      <w:r w:rsidR="00E7119F">
        <w:t xml:space="preserve">the </w:t>
      </w:r>
      <w:r>
        <w:t xml:space="preserve">ILC </w:t>
      </w:r>
      <w:r w:rsidR="00D85414">
        <w:t>F</w:t>
      </w:r>
      <w:r w:rsidR="003F3E36">
        <w:t>ramework</w:t>
      </w:r>
      <w:r w:rsidR="00E7119F">
        <w:t xml:space="preserve"> </w:t>
      </w:r>
      <w:r>
        <w:t>must generate community-wid</w:t>
      </w:r>
      <w:r w:rsidR="00BA4C63">
        <w:t>e change</w:t>
      </w:r>
      <w:r>
        <w:t xml:space="preserve"> that promotes the inclusion o</w:t>
      </w:r>
      <w:r w:rsidR="00E15B1E">
        <w:t xml:space="preserve">f people with disability </w:t>
      </w:r>
      <w:r>
        <w:t xml:space="preserve">in an organic way, rather </w:t>
      </w:r>
      <w:r w:rsidR="002B4323">
        <w:t>than through</w:t>
      </w:r>
      <w:r>
        <w:t xml:space="preserve"> bureaucratically driven </w:t>
      </w:r>
      <w:r w:rsidR="002B4323">
        <w:t>processes</w:t>
      </w:r>
      <w:r>
        <w:t xml:space="preserve">. </w:t>
      </w:r>
      <w:r w:rsidR="00035C94">
        <w:t xml:space="preserve">CDA </w:t>
      </w:r>
      <w:r w:rsidR="00035C94">
        <w:lastRenderedPageBreak/>
        <w:t>recognises that this process of reform is highly complex, however this submission raises s</w:t>
      </w:r>
      <w:r w:rsidR="00D6778A">
        <w:t>ignificant</w:t>
      </w:r>
      <w:r w:rsidR="00E15B1E">
        <w:t xml:space="preserve"> concerns about</w:t>
      </w:r>
      <w:r w:rsidR="00D85414">
        <w:t xml:space="preserve"> the </w:t>
      </w:r>
      <w:r w:rsidR="00876ED9">
        <w:t xml:space="preserve">proposed </w:t>
      </w:r>
      <w:r w:rsidR="00D85414">
        <w:t>ILC F</w:t>
      </w:r>
      <w:r w:rsidR="00E15B1E">
        <w:t>ramework.</w:t>
      </w:r>
    </w:p>
    <w:p w14:paraId="0DEAC9DE" w14:textId="77777777" w:rsidR="00E17F14" w:rsidRDefault="00E17F14">
      <w:pPr>
        <w:rPr>
          <w:sz w:val="28"/>
          <w:szCs w:val="28"/>
        </w:rPr>
      </w:pPr>
    </w:p>
    <w:p w14:paraId="0BE67D0C" w14:textId="697D3B67" w:rsidR="00161CB7" w:rsidRDefault="00C3367D">
      <w:pPr>
        <w:rPr>
          <w:sz w:val="28"/>
          <w:szCs w:val="28"/>
        </w:rPr>
      </w:pPr>
      <w:r w:rsidRPr="00E17F14">
        <w:rPr>
          <w:sz w:val="28"/>
          <w:szCs w:val="28"/>
        </w:rPr>
        <w:t>GENERAL COMMENTS</w:t>
      </w:r>
    </w:p>
    <w:p w14:paraId="59F134E6" w14:textId="77777777" w:rsidR="00161CB7" w:rsidRDefault="00161CB7"/>
    <w:p w14:paraId="3E91332B" w14:textId="194A18F6" w:rsidR="00904A5D" w:rsidRDefault="00190EF1" w:rsidP="0039308F">
      <w:pPr>
        <w:pStyle w:val="ListParagraph"/>
        <w:ind w:left="0"/>
      </w:pPr>
      <w:r>
        <w:t>T</w:t>
      </w:r>
      <w:r w:rsidR="00904A5D" w:rsidRPr="003F1503">
        <w:t xml:space="preserve">he NDIS is an extremely complex </w:t>
      </w:r>
      <w:r w:rsidR="00904A5D">
        <w:t xml:space="preserve">and challenging </w:t>
      </w:r>
      <w:r w:rsidR="00904A5D" w:rsidRPr="003F1503">
        <w:t>social reform, involving ongoing consultation and agreements across jurisdictions. CDA</w:t>
      </w:r>
      <w:r w:rsidR="00904A5D">
        <w:t xml:space="preserve"> </w:t>
      </w:r>
      <w:r>
        <w:t>recognises</w:t>
      </w:r>
      <w:r w:rsidR="00904A5D">
        <w:t xml:space="preserve"> that there is</w:t>
      </w:r>
      <w:r w:rsidR="00904A5D" w:rsidRPr="003F1503">
        <w:t xml:space="preserve"> an ongoing need to balance a multitude of considerations</w:t>
      </w:r>
      <w:r w:rsidR="00904A5D">
        <w:t xml:space="preserve"> as the Scheme is established. It must embed a fundamental c</w:t>
      </w:r>
      <w:r>
        <w:t xml:space="preserve">ultural and policy shift </w:t>
      </w:r>
      <w:r w:rsidR="00A54180">
        <w:t xml:space="preserve">to </w:t>
      </w:r>
      <w:r w:rsidR="00904A5D">
        <w:t xml:space="preserve">the Scheme’s guiding principles </w:t>
      </w:r>
      <w:r>
        <w:t>and</w:t>
      </w:r>
      <w:r w:rsidR="00904A5D">
        <w:t xml:space="preserve"> establish a new </w:t>
      </w:r>
      <w:r w:rsidR="009C56B0">
        <w:t xml:space="preserve">system </w:t>
      </w:r>
      <w:r w:rsidR="00904A5D">
        <w:t xml:space="preserve">for the funding and accountability of disability services where the person with disability is at the centre. Underlying these changes is the need to ensure the long term sustainability of the Scheme and the time imperative for implementation. </w:t>
      </w:r>
      <w:r w:rsidR="00904A5D" w:rsidRPr="003F1503">
        <w:t>The Department</w:t>
      </w:r>
      <w:r w:rsidR="00904A5D">
        <w:t xml:space="preserve"> of Social Services</w:t>
      </w:r>
      <w:r w:rsidR="00904A5D" w:rsidRPr="003F1503">
        <w:t xml:space="preserve"> and the </w:t>
      </w:r>
      <w:r w:rsidR="00D85414">
        <w:t>National Disability Insurance Agency (</w:t>
      </w:r>
      <w:r w:rsidR="00904A5D">
        <w:t>NDIA</w:t>
      </w:r>
      <w:r w:rsidR="00D85414">
        <w:t>)</w:t>
      </w:r>
      <w:r w:rsidR="00904A5D" w:rsidRPr="003F1503">
        <w:t xml:space="preserve"> should be commended for their work to date.</w:t>
      </w:r>
      <w:r w:rsidR="00811D08">
        <w:t xml:space="preserve"> Below are CDA’s comments on a number of general themes and issues pr</w:t>
      </w:r>
      <w:r w:rsidR="009C56B0">
        <w:t xml:space="preserve">esented in the </w:t>
      </w:r>
      <w:r w:rsidR="008202C7">
        <w:t>ILC</w:t>
      </w:r>
      <w:r w:rsidR="009C56B0">
        <w:t xml:space="preserve"> Framework.</w:t>
      </w:r>
    </w:p>
    <w:p w14:paraId="4696FDAB" w14:textId="77777777" w:rsidR="00AF067A" w:rsidRDefault="00AF067A" w:rsidP="0039308F"/>
    <w:p w14:paraId="298E649C" w14:textId="77777777" w:rsidR="009C56B0" w:rsidRDefault="009C56B0" w:rsidP="0039308F">
      <w:pPr>
        <w:pStyle w:val="ListParagraph"/>
        <w:ind w:left="0"/>
        <w:rPr>
          <w:b/>
        </w:rPr>
      </w:pPr>
      <w:r>
        <w:rPr>
          <w:b/>
        </w:rPr>
        <w:t>Consultation Process</w:t>
      </w:r>
    </w:p>
    <w:p w14:paraId="56B68631" w14:textId="77777777" w:rsidR="009C56B0" w:rsidRDefault="009C56B0" w:rsidP="0039308F">
      <w:pPr>
        <w:pStyle w:val="ListParagraph"/>
        <w:ind w:left="0"/>
      </w:pPr>
      <w:r w:rsidRPr="009C56B0">
        <w:t>It is the view of CDA that the consultation process for</w:t>
      </w:r>
      <w:r w:rsidR="000F15A5">
        <w:t xml:space="preserve"> the</w:t>
      </w:r>
      <w:r w:rsidR="009108F1">
        <w:t xml:space="preserve"> ILC </w:t>
      </w:r>
      <w:r w:rsidRPr="009C56B0">
        <w:t>Framework has been problematic.</w:t>
      </w:r>
    </w:p>
    <w:p w14:paraId="3346F79E" w14:textId="77777777" w:rsidR="0017395F" w:rsidRPr="0039308F" w:rsidRDefault="0017395F" w:rsidP="0039308F">
      <w:pPr>
        <w:pStyle w:val="ListParagraph"/>
        <w:ind w:left="0"/>
        <w:rPr>
          <w:b/>
        </w:rPr>
      </w:pPr>
    </w:p>
    <w:p w14:paraId="44963EDE" w14:textId="77777777" w:rsidR="009C56B0" w:rsidRPr="0039308F" w:rsidRDefault="009C56B0" w:rsidP="0039308F">
      <w:pPr>
        <w:pStyle w:val="ListParagraph"/>
        <w:numPr>
          <w:ilvl w:val="0"/>
          <w:numId w:val="25"/>
        </w:numPr>
        <w:rPr>
          <w:b/>
        </w:rPr>
      </w:pPr>
      <w:r w:rsidRPr="009C56B0">
        <w:t>There has been insufficient time for the pub</w:t>
      </w:r>
      <w:r>
        <w:t>lic to consider the Framework, w</w:t>
      </w:r>
      <w:r w:rsidRPr="009C56B0">
        <w:t>ith there being less than one month for consultations</w:t>
      </w:r>
      <w:r>
        <w:t xml:space="preserve"> and late availability of an </w:t>
      </w:r>
      <w:r w:rsidRPr="009C56B0">
        <w:t>Easy Read version of th</w:t>
      </w:r>
      <w:r w:rsidR="008202C7">
        <w:t>e Framework</w:t>
      </w:r>
      <w:r>
        <w:t>.</w:t>
      </w:r>
    </w:p>
    <w:p w14:paraId="52F695A7" w14:textId="77777777" w:rsidR="0017395F" w:rsidRPr="0039308F" w:rsidRDefault="0017395F" w:rsidP="0039308F">
      <w:pPr>
        <w:pStyle w:val="ListParagraph"/>
        <w:rPr>
          <w:b/>
        </w:rPr>
      </w:pPr>
    </w:p>
    <w:p w14:paraId="58D7FAB0" w14:textId="77777777" w:rsidR="00915052" w:rsidRPr="0039308F" w:rsidRDefault="009C56B0" w:rsidP="0039308F">
      <w:pPr>
        <w:pStyle w:val="ListParagraph"/>
        <w:numPr>
          <w:ilvl w:val="0"/>
          <w:numId w:val="25"/>
        </w:numPr>
        <w:rPr>
          <w:b/>
        </w:rPr>
      </w:pPr>
      <w:r w:rsidRPr="009C56B0">
        <w:t>Promotion of th</w:t>
      </w:r>
      <w:r>
        <w:t>e consultation appeared limited</w:t>
      </w:r>
      <w:r w:rsidR="0017395F">
        <w:t xml:space="preserve"> and</w:t>
      </w:r>
      <w:r w:rsidRPr="009C56B0">
        <w:t xml:space="preserve"> the process was not promoted through channels easily available to the NDIA such their e-newsletter. Further, the ILC webpage on the NDIS website was difficult to locate and required people to know what they were looking for to find it.</w:t>
      </w:r>
    </w:p>
    <w:p w14:paraId="70B915AA" w14:textId="77777777" w:rsidR="009C56B0" w:rsidRDefault="009C56B0">
      <w:pPr>
        <w:rPr>
          <w:b/>
        </w:rPr>
      </w:pPr>
    </w:p>
    <w:p w14:paraId="7D9850D5" w14:textId="4B6FBF52" w:rsidR="0017395F" w:rsidRDefault="00726D55" w:rsidP="0039308F">
      <w:pPr>
        <w:pStyle w:val="ListParagraph"/>
        <w:ind w:left="0"/>
        <w:rPr>
          <w:b/>
        </w:rPr>
      </w:pPr>
      <w:r w:rsidRPr="0039308F">
        <w:rPr>
          <w:b/>
        </w:rPr>
        <w:t>Language</w:t>
      </w:r>
    </w:p>
    <w:p w14:paraId="66FFDDCD" w14:textId="322D13E1" w:rsidR="0017395F" w:rsidRDefault="0017395F" w:rsidP="0017395F">
      <w:pPr>
        <w:pStyle w:val="ListParagraph"/>
        <w:numPr>
          <w:ilvl w:val="0"/>
          <w:numId w:val="27"/>
        </w:numPr>
      </w:pPr>
      <w:r>
        <w:t>The consultation paper is not clearly written and is difficult to understand. It uses highly bureaucratic language and jargon throughout. Examples include ‘social insurance model,’ or ‘systemic level’</w:t>
      </w:r>
      <w:r w:rsidR="000167CB">
        <w:t xml:space="preserve"> supports.</w:t>
      </w:r>
      <w:r>
        <w:rPr>
          <w:rStyle w:val="FootnoteReference"/>
        </w:rPr>
        <w:footnoteReference w:id="5"/>
      </w:r>
      <w:r>
        <w:t xml:space="preserve"> While the examples of services and supports provided within each of the streams provided some clarity around meaning,</w:t>
      </w:r>
      <w:r w:rsidRPr="00F8730E">
        <w:t xml:space="preserve"> </w:t>
      </w:r>
      <w:r>
        <w:t xml:space="preserve">it would have been useful for the Framework to provide definitions of key terms used. </w:t>
      </w:r>
    </w:p>
    <w:p w14:paraId="00ECE009" w14:textId="77777777" w:rsidR="0017395F" w:rsidRDefault="0017395F" w:rsidP="0039308F">
      <w:pPr>
        <w:pStyle w:val="ListParagraph"/>
      </w:pPr>
    </w:p>
    <w:p w14:paraId="1A5B7597" w14:textId="77777777" w:rsidR="00876ED9" w:rsidRDefault="002950D0" w:rsidP="0039308F">
      <w:pPr>
        <w:pStyle w:val="ListParagraph"/>
        <w:numPr>
          <w:ilvl w:val="0"/>
          <w:numId w:val="27"/>
        </w:numPr>
      </w:pPr>
      <w:r>
        <w:t xml:space="preserve">While ‘inclusion’ is </w:t>
      </w:r>
      <w:r w:rsidR="008202C7">
        <w:t xml:space="preserve">mentioned throughout the </w:t>
      </w:r>
      <w:r>
        <w:t xml:space="preserve">Framework, it is never clearly defined and there appears to be varying understandings of the term presented. </w:t>
      </w:r>
      <w:r w:rsidR="00003754">
        <w:t>Inclusion</w:t>
      </w:r>
      <w:r w:rsidR="00AD51B1">
        <w:t xml:space="preserve"> is a complex </w:t>
      </w:r>
      <w:r w:rsidR="0017395F">
        <w:t xml:space="preserve">and highly debated </w:t>
      </w:r>
      <w:r w:rsidR="00AD51B1">
        <w:t>concep</w:t>
      </w:r>
      <w:r w:rsidR="0017395F">
        <w:t>t</w:t>
      </w:r>
      <w:r w:rsidR="00AD51B1">
        <w:t>. I</w:t>
      </w:r>
      <w:r w:rsidR="0017395F">
        <w:t>t</w:t>
      </w:r>
      <w:r w:rsidR="00AD51B1">
        <w:t xml:space="preserve"> requires recognising impairment as one of many forms of human diversity, and welcoming and viewing diversity as a resource rather than a problem.</w:t>
      </w:r>
      <w:r>
        <w:t xml:space="preserve"> </w:t>
      </w:r>
    </w:p>
    <w:p w14:paraId="41BADDCD" w14:textId="77777777" w:rsidR="00876ED9" w:rsidRDefault="00876ED9" w:rsidP="0039308F">
      <w:pPr>
        <w:pStyle w:val="ListParagraph"/>
      </w:pPr>
    </w:p>
    <w:p w14:paraId="38DBCC70" w14:textId="0B3C7CF7" w:rsidR="00003754" w:rsidRDefault="00AD51B1" w:rsidP="0039308F">
      <w:pPr>
        <w:pStyle w:val="ListParagraph"/>
      </w:pPr>
      <w:r>
        <w:t xml:space="preserve">Often, inclusion is referenced in the Framework as something that can </w:t>
      </w:r>
      <w:r w:rsidR="000932AD">
        <w:t>be inserted or retro</w:t>
      </w:r>
      <w:r>
        <w:t xml:space="preserve">fitted into existing services or organisations. </w:t>
      </w:r>
      <w:r w:rsidR="000932AD">
        <w:t xml:space="preserve">This is </w:t>
      </w:r>
      <w:r w:rsidR="002950D0">
        <w:t>reflected in the repeated focus</w:t>
      </w:r>
      <w:r w:rsidR="006A69E9">
        <w:t xml:space="preserve"> </w:t>
      </w:r>
      <w:r w:rsidR="000932AD">
        <w:t>on “enhancing the inclusiveness of people with disability”</w:t>
      </w:r>
      <w:r w:rsidR="000932AD">
        <w:rPr>
          <w:rStyle w:val="FootnoteReference"/>
        </w:rPr>
        <w:footnoteReference w:id="6"/>
      </w:r>
      <w:r w:rsidR="002950D0">
        <w:t xml:space="preserve"> of </w:t>
      </w:r>
      <w:r w:rsidR="000932AD">
        <w:t xml:space="preserve">organisations and services. </w:t>
      </w:r>
      <w:r>
        <w:t>However, inclusion</w:t>
      </w:r>
      <w:r w:rsidR="002950D0">
        <w:t xml:space="preserve"> needs to be inherent in community-based</w:t>
      </w:r>
      <w:r>
        <w:t xml:space="preserve"> valuing of diversity and premised on a genuine view that all members of the community contribute and are valued.</w:t>
      </w:r>
      <w:r w:rsidR="001A7A10">
        <w:t xml:space="preserve"> Extensive discussion around the concept of inclusion (in the context of education) occurs in CDA’s issues paper, </w:t>
      </w:r>
      <w:r w:rsidR="001A7A10" w:rsidRPr="009108F1">
        <w:rPr>
          <w:i/>
        </w:rPr>
        <w:t xml:space="preserve">Inclusion in Education: Towards Equality for Students with Disability. </w:t>
      </w:r>
      <w:r w:rsidR="001A7A10">
        <w:t>This paper is</w:t>
      </w:r>
      <w:r w:rsidR="00003754">
        <w:t xml:space="preserve"> available at </w:t>
      </w:r>
      <w:hyperlink r:id="rId8" w:history="1">
        <w:r w:rsidR="00003754" w:rsidRPr="00193028">
          <w:rPr>
            <w:rStyle w:val="Hyperlink"/>
          </w:rPr>
          <w:t>http://www.cda.org.au/inclusion-in-education</w:t>
        </w:r>
      </w:hyperlink>
      <w:r w:rsidR="00003754">
        <w:t xml:space="preserve"> </w:t>
      </w:r>
    </w:p>
    <w:p w14:paraId="633EC771" w14:textId="77777777" w:rsidR="00003754" w:rsidRDefault="00003754" w:rsidP="0039308F">
      <w:pPr>
        <w:pStyle w:val="ListParagraph"/>
      </w:pPr>
    </w:p>
    <w:p w14:paraId="7A762352" w14:textId="294BC771" w:rsidR="00B853B5" w:rsidRDefault="0017395F" w:rsidP="0039308F">
      <w:pPr>
        <w:pStyle w:val="ListParagraph"/>
        <w:numPr>
          <w:ilvl w:val="0"/>
          <w:numId w:val="27"/>
        </w:numPr>
      </w:pPr>
      <w:r>
        <w:lastRenderedPageBreak/>
        <w:t xml:space="preserve">While </w:t>
      </w:r>
      <w:r w:rsidR="00FD3A4A">
        <w:t xml:space="preserve">it is seen as </w:t>
      </w:r>
      <w:r>
        <w:t>unintentional, s</w:t>
      </w:r>
      <w:r w:rsidR="009F3466">
        <w:t>ome of the</w:t>
      </w:r>
      <w:r w:rsidR="00661083">
        <w:t xml:space="preserve"> language used</w:t>
      </w:r>
      <w:r>
        <w:t xml:space="preserve"> in the Framework can be </w:t>
      </w:r>
      <w:r w:rsidR="00D66465">
        <w:t xml:space="preserve">interpreted </w:t>
      </w:r>
      <w:r>
        <w:t xml:space="preserve">as </w:t>
      </w:r>
      <w:r w:rsidR="00FD3A4A">
        <w:t>positioning people with disability as ‘</w:t>
      </w:r>
      <w:r>
        <w:t>othe</w:t>
      </w:r>
      <w:r w:rsidR="00FD3A4A">
        <w:t>rs</w:t>
      </w:r>
      <w:r w:rsidR="00D66465">
        <w:t>’</w:t>
      </w:r>
      <w:r w:rsidR="00FD3A4A">
        <w:t xml:space="preserve"> with some presumptions made about shared characteristics or experiences</w:t>
      </w:r>
      <w:r>
        <w:t xml:space="preserve">. </w:t>
      </w:r>
      <w:r w:rsidR="0056358C">
        <w:t xml:space="preserve">For example, one of the </w:t>
      </w:r>
      <w:r w:rsidR="000167CB">
        <w:t>service</w:t>
      </w:r>
      <w:r w:rsidR="009F3466">
        <w:t xml:space="preserve"> examples listed under s</w:t>
      </w:r>
      <w:r w:rsidR="0056358C">
        <w:t>tream three is “basic training to individuals…to enable them to more effectively relate to, or work with, people with disability</w:t>
      </w:r>
      <w:r w:rsidR="00486672">
        <w:t>.”</w:t>
      </w:r>
      <w:r w:rsidR="00486672">
        <w:rPr>
          <w:rStyle w:val="FootnoteReference"/>
        </w:rPr>
        <w:footnoteReference w:id="7"/>
      </w:r>
      <w:r w:rsidR="0056358C">
        <w:t xml:space="preserve"> The idea that </w:t>
      </w:r>
      <w:r w:rsidR="00FD3A4A">
        <w:t xml:space="preserve">there is a distinct way in which </w:t>
      </w:r>
      <w:r w:rsidR="0056358C">
        <w:t>people need to ‘relate’ to people with disability</w:t>
      </w:r>
      <w:r w:rsidR="00FD3A4A">
        <w:t xml:space="preserve"> and that this needs to be </w:t>
      </w:r>
      <w:r w:rsidR="00B853B5">
        <w:t xml:space="preserve">explicitly </w:t>
      </w:r>
      <w:r w:rsidR="00FD3A4A">
        <w:t>taught</w:t>
      </w:r>
      <w:r w:rsidR="00B853B5">
        <w:t xml:space="preserve"> </w:t>
      </w:r>
      <w:r w:rsidR="00FD3A4A">
        <w:t>is presumptuous</w:t>
      </w:r>
      <w:r w:rsidR="00B853B5">
        <w:t xml:space="preserve"> and many would find this offensive</w:t>
      </w:r>
      <w:r w:rsidR="00D66465">
        <w:t>.</w:t>
      </w:r>
    </w:p>
    <w:p w14:paraId="30FEB45E" w14:textId="77777777" w:rsidR="0017395F" w:rsidRDefault="0017395F" w:rsidP="0039308F">
      <w:pPr>
        <w:pStyle w:val="ListParagraph"/>
      </w:pPr>
    </w:p>
    <w:p w14:paraId="365A48D3" w14:textId="77777777" w:rsidR="004F2FFA" w:rsidRDefault="004F2FFA" w:rsidP="0039308F">
      <w:pPr>
        <w:pStyle w:val="ListParagraph"/>
        <w:ind w:left="0"/>
        <w:rPr>
          <w:b/>
        </w:rPr>
      </w:pPr>
      <w:r>
        <w:rPr>
          <w:b/>
        </w:rPr>
        <w:t>Need to minimise processes imposed on people</w:t>
      </w:r>
    </w:p>
    <w:p w14:paraId="40A895DA" w14:textId="41E5FB01" w:rsidR="002E7CB4" w:rsidRDefault="005F61AF" w:rsidP="0039308F">
      <w:pPr>
        <w:pStyle w:val="ListParagraph"/>
        <w:numPr>
          <w:ilvl w:val="0"/>
          <w:numId w:val="28"/>
        </w:numPr>
      </w:pPr>
      <w:r>
        <w:t>It is</w:t>
      </w:r>
      <w:r w:rsidR="008202C7">
        <w:t xml:space="preserve"> important for the ILC </w:t>
      </w:r>
      <w:r w:rsidR="004F2FFA" w:rsidRPr="00C94508">
        <w:t xml:space="preserve">Framework to recognise that </w:t>
      </w:r>
      <w:r w:rsidR="00C94508">
        <w:t xml:space="preserve">accessing </w:t>
      </w:r>
      <w:r w:rsidR="0017395F" w:rsidRPr="00C94508">
        <w:t>services</w:t>
      </w:r>
      <w:r w:rsidR="00C94508">
        <w:t>, whether through an IFP or ILC,</w:t>
      </w:r>
      <w:r w:rsidR="004F2FFA" w:rsidRPr="00C94508">
        <w:t xml:space="preserve"> involves compromised privacy and additional responsibilities and accountability requirements. A</w:t>
      </w:r>
      <w:r w:rsidR="002950D0">
        <w:t>ny</w:t>
      </w:r>
      <w:r w:rsidR="004F2FFA" w:rsidRPr="00C94508">
        <w:t xml:space="preserve"> person </w:t>
      </w:r>
      <w:r w:rsidR="00920A66">
        <w:t xml:space="preserve">accessing </w:t>
      </w:r>
      <w:r w:rsidR="002950D0">
        <w:t xml:space="preserve">formal </w:t>
      </w:r>
      <w:r w:rsidR="00920A66">
        <w:t xml:space="preserve">disability services </w:t>
      </w:r>
      <w:r w:rsidR="002950D0">
        <w:t>and supports</w:t>
      </w:r>
      <w:r w:rsidR="004F2FFA" w:rsidRPr="00C94508">
        <w:t xml:space="preserve"> has many additional individuals, organisa</w:t>
      </w:r>
      <w:r w:rsidR="00D45844">
        <w:t>tions and systems in their life</w:t>
      </w:r>
      <w:r w:rsidR="004F2FFA" w:rsidRPr="00C94508">
        <w:t xml:space="preserve"> </w:t>
      </w:r>
      <w:r w:rsidR="00D45844">
        <w:t>who know</w:t>
      </w:r>
      <w:r w:rsidR="004F4D5A">
        <w:t xml:space="preserve"> their</w:t>
      </w:r>
      <w:r w:rsidR="002950D0">
        <w:t xml:space="preserve"> personal and int</w:t>
      </w:r>
      <w:r w:rsidR="00D45844">
        <w:t>ricate</w:t>
      </w:r>
      <w:r w:rsidR="002950D0">
        <w:t xml:space="preserve"> </w:t>
      </w:r>
      <w:r w:rsidR="00D45844">
        <w:t>details</w:t>
      </w:r>
      <w:r w:rsidR="001038C6">
        <w:t>.</w:t>
      </w:r>
      <w:r w:rsidR="00D45844">
        <w:t xml:space="preserve"> </w:t>
      </w:r>
      <w:r w:rsidR="001038C6">
        <w:t>T</w:t>
      </w:r>
      <w:r w:rsidR="004F2FFA" w:rsidRPr="00C94508">
        <w:t xml:space="preserve">he impact of this is </w:t>
      </w:r>
      <w:r w:rsidR="004F2FFA" w:rsidRPr="00920A66">
        <w:t>significant. This intrusion and compromised privacy is a stark contrast to the experiences of people without disability.</w:t>
      </w:r>
      <w:r w:rsidR="00E66DC9">
        <w:t xml:space="preserve"> This needs to be a key consideration when thinking about the operation of the ILC Framework. There is a c</w:t>
      </w:r>
      <w:r w:rsidR="000C0F1D">
        <w:t>areful balance to be achieved in</w:t>
      </w:r>
      <w:r w:rsidR="00E66DC9">
        <w:t xml:space="preserve"> providing necessary services and supports to enable equal opportunities</w:t>
      </w:r>
      <w:r w:rsidR="00D45844">
        <w:t xml:space="preserve"> for participation without unnecessary intrusion into people’s lives.</w:t>
      </w:r>
    </w:p>
    <w:p w14:paraId="1E89A5D0" w14:textId="4F104ED4" w:rsidR="004F2FFA" w:rsidRDefault="004F2FFA" w:rsidP="0039308F">
      <w:pPr>
        <w:pStyle w:val="ListParagraph"/>
        <w:ind w:left="0"/>
        <w:rPr>
          <w:b/>
        </w:rPr>
      </w:pPr>
    </w:p>
    <w:p w14:paraId="21AAD955" w14:textId="77777777" w:rsidR="004F2FFA" w:rsidRPr="0039308F" w:rsidRDefault="004F2FFA" w:rsidP="0039308F">
      <w:pPr>
        <w:pStyle w:val="ListParagraph"/>
        <w:ind w:left="0"/>
        <w:rPr>
          <w:b/>
        </w:rPr>
      </w:pPr>
      <w:r>
        <w:rPr>
          <w:b/>
        </w:rPr>
        <w:t>Role of families</w:t>
      </w:r>
    </w:p>
    <w:p w14:paraId="32605145" w14:textId="77777777" w:rsidR="004F2FFA" w:rsidRPr="00834105" w:rsidRDefault="001C7596" w:rsidP="0039308F">
      <w:pPr>
        <w:pStyle w:val="ListParagraph"/>
        <w:numPr>
          <w:ilvl w:val="0"/>
          <w:numId w:val="28"/>
        </w:numPr>
      </w:pPr>
      <w:r w:rsidRPr="005A7325">
        <w:t>T</w:t>
      </w:r>
      <w:r w:rsidR="00834105" w:rsidRPr="0039308F">
        <w:t>he role of</w:t>
      </w:r>
      <w:r w:rsidR="00FC69E7">
        <w:t xml:space="preserve"> families</w:t>
      </w:r>
      <w:r w:rsidR="004F2FFA" w:rsidRPr="005A7325">
        <w:t xml:space="preserve"> of children and young people with disability</w:t>
      </w:r>
      <w:r>
        <w:t xml:space="preserve"> need to</w:t>
      </w:r>
      <w:r w:rsidR="004F2FFA" w:rsidRPr="005A7325">
        <w:t xml:space="preserve"> </w:t>
      </w:r>
      <w:r w:rsidR="00834105" w:rsidRPr="0039308F">
        <w:t>be considered</w:t>
      </w:r>
      <w:r w:rsidR="004F4D5A">
        <w:t xml:space="preserve"> in the ILC</w:t>
      </w:r>
      <w:r w:rsidR="00811D08" w:rsidRPr="005A7325">
        <w:t xml:space="preserve"> F</w:t>
      </w:r>
      <w:r w:rsidR="004F2FFA" w:rsidRPr="005A7325">
        <w:t>ramework</w:t>
      </w:r>
      <w:r w:rsidR="004F2FFA" w:rsidRPr="00834105">
        <w:t>. All children have th</w:t>
      </w:r>
      <w:r w:rsidR="00834105">
        <w:t>e right to be cared for by family</w:t>
      </w:r>
      <w:r w:rsidR="004F2FFA" w:rsidRPr="00834105">
        <w:t xml:space="preserve">. This right is </w:t>
      </w:r>
      <w:r w:rsidR="00A05B0D" w:rsidRPr="00834105">
        <w:t>set out</w:t>
      </w:r>
      <w:r w:rsidR="004F2FFA" w:rsidRPr="00834105">
        <w:t xml:space="preserve"> in the </w:t>
      </w:r>
      <w:r w:rsidR="004F2FFA" w:rsidRPr="00834105">
        <w:rPr>
          <w:i/>
        </w:rPr>
        <w:t>United Nations Convention on the Rights of the Child.</w:t>
      </w:r>
      <w:r w:rsidR="004F2FFA" w:rsidRPr="00834105">
        <w:t xml:space="preserve"> For example, article 18 obliges State Parties to the Convention to:</w:t>
      </w:r>
    </w:p>
    <w:p w14:paraId="341A912B" w14:textId="77777777" w:rsidR="000167CB" w:rsidRPr="0039308F" w:rsidRDefault="000167CB" w:rsidP="0039308F">
      <w:pPr>
        <w:pStyle w:val="ListParagraph"/>
        <w:rPr>
          <w:highlight w:val="yellow"/>
        </w:rPr>
      </w:pPr>
    </w:p>
    <w:p w14:paraId="7A3FF4EF" w14:textId="77777777" w:rsidR="004F2FFA" w:rsidRPr="005A7325" w:rsidRDefault="004F2FFA" w:rsidP="004F2FFA">
      <w:pPr>
        <w:rPr>
          <w:i/>
        </w:rPr>
      </w:pPr>
      <w:r w:rsidRPr="005A7325">
        <w:tab/>
      </w:r>
      <w:r w:rsidRPr="005A7325">
        <w:rPr>
          <w:i/>
        </w:rPr>
        <w:t xml:space="preserve">use their best efforts to ensure recognition of the principle that both parents have common </w:t>
      </w:r>
      <w:r w:rsidRPr="005A7325">
        <w:rPr>
          <w:i/>
        </w:rPr>
        <w:tab/>
        <w:t xml:space="preserve">responsibilities for the upbringing and development of the child. Parents or, as the case may </w:t>
      </w:r>
      <w:r w:rsidRPr="005A7325">
        <w:rPr>
          <w:i/>
        </w:rPr>
        <w:tab/>
        <w:t>be, legal guardians, have the primary responsibility for the upbring</w:t>
      </w:r>
      <w:r w:rsidRPr="00834105">
        <w:rPr>
          <w:i/>
        </w:rPr>
        <w:t xml:space="preserve">ing and development of </w:t>
      </w:r>
      <w:r w:rsidRPr="00834105">
        <w:rPr>
          <w:i/>
        </w:rPr>
        <w:tab/>
        <w:t>the child. The best interests of the child will be their basic concern.</w:t>
      </w:r>
      <w:r w:rsidR="001C7596">
        <w:rPr>
          <w:rStyle w:val="FootnoteReference"/>
          <w:i/>
        </w:rPr>
        <w:footnoteReference w:id="8"/>
      </w:r>
    </w:p>
    <w:p w14:paraId="02A47E9F" w14:textId="77777777" w:rsidR="004F2FFA" w:rsidRPr="0039308F" w:rsidRDefault="004F2FFA" w:rsidP="004F2FFA">
      <w:pPr>
        <w:rPr>
          <w:highlight w:val="yellow"/>
        </w:rPr>
      </w:pPr>
    </w:p>
    <w:p w14:paraId="7B9A4EBC" w14:textId="6B878CB7" w:rsidR="004F2FFA" w:rsidRDefault="004F2FFA" w:rsidP="0039308F">
      <w:pPr>
        <w:pStyle w:val="ListParagraph"/>
      </w:pPr>
      <w:r w:rsidRPr="005A7325">
        <w:t xml:space="preserve">As a society we allow parents and families </w:t>
      </w:r>
      <w:r w:rsidR="004F4D5A">
        <w:t xml:space="preserve">to have the responsibility for care and protection of their children until they are 18 and to have </w:t>
      </w:r>
      <w:r w:rsidRPr="005A7325">
        <w:t>flexibility around the different decisions made in relation t</w:t>
      </w:r>
      <w:r w:rsidR="00673250">
        <w:t>o their children.</w:t>
      </w:r>
      <w:r w:rsidR="00547122">
        <w:t xml:space="preserve"> The role of family</w:t>
      </w:r>
      <w:r w:rsidR="00673250">
        <w:t xml:space="preserve"> </w:t>
      </w:r>
      <w:r w:rsidRPr="005A7325">
        <w:t xml:space="preserve">needs to be </w:t>
      </w:r>
      <w:r w:rsidR="00B853B5" w:rsidRPr="005A7325">
        <w:t>respected and</w:t>
      </w:r>
      <w:r w:rsidR="00B853B5" w:rsidRPr="00834105">
        <w:t xml:space="preserve"> recognised </w:t>
      </w:r>
      <w:r w:rsidRPr="00834105">
        <w:t xml:space="preserve">in the coordination of ILC supports. </w:t>
      </w:r>
      <w:r w:rsidR="00834105" w:rsidRPr="0039308F">
        <w:t xml:space="preserve">Accessing services and supports for a child with disability should not diminish the roles, responsibilities and relationships of </w:t>
      </w:r>
      <w:r w:rsidR="00BE27C7">
        <w:t>families</w:t>
      </w:r>
      <w:r w:rsidR="00834105" w:rsidRPr="0039308F">
        <w:t xml:space="preserve"> and care givers. </w:t>
      </w:r>
      <w:r w:rsidRPr="005A7325">
        <w:t>For example, it is important to ensure that the development of Local Area Co-ordination (LAC) involves roles that are complementary to and do not interfere with o</w:t>
      </w:r>
      <w:r w:rsidR="00BE27C7">
        <w:t>r undermine the role of</w:t>
      </w:r>
      <w:r w:rsidRPr="005A7325">
        <w:t xml:space="preserve"> families</w:t>
      </w:r>
      <w:r w:rsidRPr="00834105">
        <w:t>.</w:t>
      </w:r>
      <w:r w:rsidR="00547122">
        <w:t xml:space="preserve"> Services need to be wrapped around the individual circumstances of children and their families rather than participants of the NDIS having to fit in with procedures and roles inherent in the Scheme.</w:t>
      </w:r>
    </w:p>
    <w:p w14:paraId="69CB6C3F" w14:textId="77777777" w:rsidR="00705F85" w:rsidRDefault="00705F85" w:rsidP="0039308F">
      <w:pPr>
        <w:pStyle w:val="ListParagraph"/>
        <w:ind w:left="0"/>
        <w:rPr>
          <w:b/>
        </w:rPr>
      </w:pPr>
    </w:p>
    <w:p w14:paraId="3C0497A9" w14:textId="77777777" w:rsidR="005A7325" w:rsidRDefault="00903BFC" w:rsidP="0039308F">
      <w:pPr>
        <w:pStyle w:val="ListParagraph"/>
        <w:ind w:left="0"/>
        <w:rPr>
          <w:b/>
        </w:rPr>
      </w:pPr>
      <w:r>
        <w:rPr>
          <w:b/>
        </w:rPr>
        <w:t xml:space="preserve">Role of </w:t>
      </w:r>
      <w:r w:rsidR="005345C2">
        <w:rPr>
          <w:b/>
        </w:rPr>
        <w:t>the NDIS</w:t>
      </w:r>
    </w:p>
    <w:p w14:paraId="173B0204" w14:textId="4A2E4769" w:rsidR="005A7325" w:rsidRDefault="004F4D5A" w:rsidP="0039308F">
      <w:pPr>
        <w:pStyle w:val="ListParagraph"/>
        <w:numPr>
          <w:ilvl w:val="0"/>
          <w:numId w:val="28"/>
        </w:numPr>
        <w:rPr>
          <w:b/>
        </w:rPr>
      </w:pPr>
      <w:r>
        <w:t>The ILC F</w:t>
      </w:r>
      <w:r w:rsidR="004F2FFA">
        <w:t>ramework should address at the fundamental level how the additional services and supports required by some people with disability can be available in a manner which is as organic as possible</w:t>
      </w:r>
      <w:r w:rsidR="00974EC8">
        <w:t>. A consequence of accessing ILC services, support and expertise should not be additional processes and requirements regarding planning, participation and accountability in order to access equal opportunities available to citizens without disability.</w:t>
      </w:r>
    </w:p>
    <w:p w14:paraId="4DC92234" w14:textId="77777777" w:rsidR="009C72C3" w:rsidRDefault="009C72C3" w:rsidP="0039308F">
      <w:pPr>
        <w:pStyle w:val="ListParagraph"/>
        <w:rPr>
          <w:b/>
        </w:rPr>
      </w:pPr>
    </w:p>
    <w:p w14:paraId="3831FB0F" w14:textId="77777777" w:rsidR="004F4D5A" w:rsidRDefault="00DF3D11" w:rsidP="009108F1">
      <w:pPr>
        <w:pStyle w:val="ListParagraph"/>
        <w:numPr>
          <w:ilvl w:val="0"/>
          <w:numId w:val="28"/>
        </w:numPr>
      </w:pPr>
      <w:r>
        <w:t>The National Disability S</w:t>
      </w:r>
      <w:r w:rsidRPr="009C72C3">
        <w:t>trategy</w:t>
      </w:r>
      <w:r>
        <w:t xml:space="preserve"> (NDS)</w:t>
      </w:r>
      <w:r w:rsidRPr="009C72C3">
        <w:t xml:space="preserve"> sets a 10 year reform plan from 2010-2020 for all Australian governments to address the barriers faced by Australians with disability. </w:t>
      </w:r>
      <w:r>
        <w:t>The purpose of the Strategy is to:</w:t>
      </w:r>
    </w:p>
    <w:p w14:paraId="707943F1" w14:textId="77777777" w:rsidR="005311AA" w:rsidRDefault="005311AA" w:rsidP="0039308F">
      <w:pPr>
        <w:pStyle w:val="ListParagraph"/>
      </w:pPr>
    </w:p>
    <w:p w14:paraId="7730580D" w14:textId="77777777" w:rsidR="004F4D5A" w:rsidRDefault="004F4D5A" w:rsidP="0039308F">
      <w:pPr>
        <w:pStyle w:val="ListParagraph"/>
      </w:pPr>
      <w:r>
        <w:t xml:space="preserve">- </w:t>
      </w:r>
      <w:r w:rsidR="00DF3D11">
        <w:t>establish a high level policy framework to give coherence to, and guide government activity across mainstream and disability-specific areas of public policy;</w:t>
      </w:r>
    </w:p>
    <w:p w14:paraId="14AEF352" w14:textId="77777777" w:rsidR="004F4D5A" w:rsidRDefault="004F4D5A" w:rsidP="0039308F">
      <w:pPr>
        <w:pStyle w:val="ListParagraph"/>
      </w:pPr>
      <w:r>
        <w:t xml:space="preserve">- </w:t>
      </w:r>
      <w:r w:rsidR="00DF3D11">
        <w:t>drive improved performance of mainstream services in delivering outcomes for</w:t>
      </w:r>
      <w:r>
        <w:t xml:space="preserve"> </w:t>
      </w:r>
      <w:r w:rsidR="00DF3D11">
        <w:t>people with disability;</w:t>
      </w:r>
    </w:p>
    <w:p w14:paraId="16B9495D" w14:textId="77777777" w:rsidR="00DF3D11" w:rsidRDefault="004F4D5A" w:rsidP="0039308F">
      <w:pPr>
        <w:pStyle w:val="ListParagraph"/>
      </w:pPr>
      <w:r>
        <w:t xml:space="preserve">- </w:t>
      </w:r>
      <w:r w:rsidR="00DF3D11">
        <w:t>give visibility to disability issues and ensure they are included in the development and implementation of all public policy that impacts on people with disability; and</w:t>
      </w:r>
    </w:p>
    <w:p w14:paraId="5D402D94" w14:textId="77777777" w:rsidR="00DF3D11" w:rsidRDefault="004F4D5A" w:rsidP="0039308F">
      <w:pPr>
        <w:pStyle w:val="ListParagraph"/>
      </w:pPr>
      <w:r>
        <w:t xml:space="preserve">- </w:t>
      </w:r>
      <w:r w:rsidR="00DF3D11">
        <w:t>provide national leadership toward greater inclusion of people with disability.</w:t>
      </w:r>
      <w:r w:rsidR="00DF3D11">
        <w:rPr>
          <w:rStyle w:val="FootnoteReference"/>
        </w:rPr>
        <w:footnoteReference w:id="9"/>
      </w:r>
    </w:p>
    <w:p w14:paraId="02217AD5" w14:textId="77777777" w:rsidR="00DF3D11" w:rsidRDefault="00DF3D11" w:rsidP="00DF3D11">
      <w:pPr>
        <w:pStyle w:val="ListParagraph"/>
        <w:ind w:left="0"/>
      </w:pPr>
    </w:p>
    <w:p w14:paraId="5971FEB7" w14:textId="77777777" w:rsidR="00DF3D11" w:rsidRDefault="00DF3D11" w:rsidP="00DF3D11">
      <w:pPr>
        <w:pStyle w:val="ListParagraph"/>
        <w:ind w:left="0"/>
      </w:pPr>
      <w:r>
        <w:tab/>
        <w:t>The six policy areas covered by the Strategy are:</w:t>
      </w:r>
    </w:p>
    <w:p w14:paraId="05459B50" w14:textId="77777777" w:rsidR="00DF3D11" w:rsidRDefault="004F4D5A" w:rsidP="0039308F">
      <w:pPr>
        <w:pStyle w:val="ListParagraph"/>
      </w:pPr>
      <w:r>
        <w:t xml:space="preserve">- </w:t>
      </w:r>
      <w:r w:rsidR="00DF3D11">
        <w:t>Inclusive and accessible communities;</w:t>
      </w:r>
    </w:p>
    <w:p w14:paraId="5A63F499" w14:textId="77777777" w:rsidR="00DF3D11" w:rsidRDefault="004F4D5A" w:rsidP="0039308F">
      <w:pPr>
        <w:pStyle w:val="ListParagraph"/>
      </w:pPr>
      <w:r>
        <w:t xml:space="preserve">- </w:t>
      </w:r>
      <w:r w:rsidR="00DF3D11">
        <w:t>Rights protection, justice and legislation;</w:t>
      </w:r>
    </w:p>
    <w:p w14:paraId="47AB75B0" w14:textId="77777777" w:rsidR="00DF3D11" w:rsidRDefault="004F4D5A" w:rsidP="0039308F">
      <w:pPr>
        <w:pStyle w:val="ListParagraph"/>
      </w:pPr>
      <w:r>
        <w:t xml:space="preserve">- </w:t>
      </w:r>
      <w:r w:rsidR="00DF3D11">
        <w:t>Economic security;</w:t>
      </w:r>
    </w:p>
    <w:p w14:paraId="17CEAE31" w14:textId="77777777" w:rsidR="004F4D5A" w:rsidRDefault="004F4D5A" w:rsidP="0039308F">
      <w:pPr>
        <w:pStyle w:val="ListParagraph"/>
      </w:pPr>
      <w:r>
        <w:t xml:space="preserve">- </w:t>
      </w:r>
      <w:r w:rsidR="00DF3D11">
        <w:t>Personal and community support;</w:t>
      </w:r>
    </w:p>
    <w:p w14:paraId="6EFD4BB0" w14:textId="77777777" w:rsidR="00DF3D11" w:rsidRDefault="004F4D5A" w:rsidP="0039308F">
      <w:pPr>
        <w:pStyle w:val="ListParagraph"/>
      </w:pPr>
      <w:r>
        <w:t xml:space="preserve">- </w:t>
      </w:r>
      <w:r w:rsidR="00DF3D11">
        <w:t>Learning and skills; and</w:t>
      </w:r>
    </w:p>
    <w:p w14:paraId="064DA07E" w14:textId="77777777" w:rsidR="00DF3D11" w:rsidRDefault="004F4D5A" w:rsidP="0039308F">
      <w:pPr>
        <w:pStyle w:val="ListParagraph"/>
      </w:pPr>
      <w:r>
        <w:t xml:space="preserve">- </w:t>
      </w:r>
      <w:r w:rsidR="00DF3D11">
        <w:t>Health and wellbeing.</w:t>
      </w:r>
      <w:r w:rsidR="00DF3D11">
        <w:rPr>
          <w:rStyle w:val="FootnoteReference"/>
        </w:rPr>
        <w:footnoteReference w:id="10"/>
      </w:r>
    </w:p>
    <w:p w14:paraId="6B12B77F" w14:textId="77777777" w:rsidR="00DF3D11" w:rsidRDefault="00DF3D11" w:rsidP="00DF3D11">
      <w:pPr>
        <w:pStyle w:val="ListParagraph"/>
        <w:ind w:left="0"/>
      </w:pPr>
    </w:p>
    <w:p w14:paraId="4816660B" w14:textId="77777777" w:rsidR="00DF3D11" w:rsidRDefault="008C0F24" w:rsidP="0039308F">
      <w:pPr>
        <w:pStyle w:val="ListParagraph"/>
      </w:pPr>
      <w:r>
        <w:t xml:space="preserve">Establishing </w:t>
      </w:r>
      <w:r w:rsidR="00DF3D11">
        <w:t>a new system of delivering and f</w:t>
      </w:r>
      <w:r w:rsidR="005311AA">
        <w:t xml:space="preserve">unding disability support </w:t>
      </w:r>
      <w:r w:rsidR="00DF3D11">
        <w:t xml:space="preserve">was identified as a critical area under </w:t>
      </w:r>
      <w:r w:rsidR="00B658CC">
        <w:t>policy direction four of the ND</w:t>
      </w:r>
      <w:r w:rsidR="00DF3D11">
        <w:t xml:space="preserve">S, ‘personal and community support.’ The NDIS </w:t>
      </w:r>
      <w:r w:rsidR="00D25AD2">
        <w:t xml:space="preserve">therefore </w:t>
      </w:r>
      <w:r w:rsidR="00DF3D11">
        <w:t>constitutes one aspect of the broader agenda set out in the NDS. However, despite this, the aims articulated in the ILC Framework mirror those of the NDS</w:t>
      </w:r>
      <w:r w:rsidR="00FA2EC7">
        <w:t xml:space="preserve"> as a whole</w:t>
      </w:r>
      <w:r w:rsidR="00DF3D11">
        <w:t>. For example, the ILC Framework has the stated aim of facilitating “the social and economic inclusion of people with disability.”</w:t>
      </w:r>
      <w:r w:rsidR="00DF3D11">
        <w:rPr>
          <w:rStyle w:val="FootnoteReference"/>
        </w:rPr>
        <w:footnoteReference w:id="11"/>
      </w:r>
      <w:r w:rsidR="00DF3D11">
        <w:t xml:space="preserve"> However, this </w:t>
      </w:r>
      <w:r w:rsidR="005311AA">
        <w:t>is not the role of the NDIS</w:t>
      </w:r>
      <w:r w:rsidR="00D25AD2">
        <w:t xml:space="preserve">. </w:t>
      </w:r>
      <w:r w:rsidR="00DF3D11">
        <w:t>It is the view of CDA that the NDIS should not be the ‘front desk’ organisation that promotes the inclusion of people with disability. It is important for mainstream sectors and the broader community to take the lead in this change. For example, in the area of housing there is currently a critical need to expand the range of flexible and affordable housing options that can meet the needs of people with disability, including the right to inclusion and participation in the community. This cannot be achieved by the disability sector alone, as this runs a high risk of continuing the segregated model of housing for people with disability. Partnerships between disability and mainstream housing services are therefore needed. The NDIS needs to facilitate opportunities and partnerships but should not be the ‘director’ of all things disability.</w:t>
      </w:r>
    </w:p>
    <w:p w14:paraId="20604505" w14:textId="3FF2BA7F" w:rsidR="00D04071" w:rsidRDefault="00D04071" w:rsidP="0039308F"/>
    <w:p w14:paraId="28449873" w14:textId="77777777" w:rsidR="00974EC8" w:rsidRDefault="00D04071" w:rsidP="0039308F">
      <w:pPr>
        <w:pStyle w:val="ListParagraph"/>
        <w:numPr>
          <w:ilvl w:val="0"/>
          <w:numId w:val="28"/>
        </w:numPr>
      </w:pPr>
      <w:r>
        <w:t>It is noted that the diagram provided of the Disability Support S</w:t>
      </w:r>
      <w:r w:rsidR="005311AA">
        <w:t xml:space="preserve">ystem on page two of the </w:t>
      </w:r>
      <w:r>
        <w:t>Framework does not include the person with disability or their family. This oversight seems to reflect a theme in the Framework where processes and systems are imposed on people.</w:t>
      </w:r>
    </w:p>
    <w:p w14:paraId="545AE106" w14:textId="77777777" w:rsidR="00F8730E" w:rsidRDefault="00F8730E" w:rsidP="009108F1"/>
    <w:p w14:paraId="3D7776F3" w14:textId="77777777" w:rsidR="00CE41B2" w:rsidRPr="00E17F14" w:rsidRDefault="00E17F14">
      <w:pPr>
        <w:rPr>
          <w:sz w:val="28"/>
          <w:szCs w:val="28"/>
        </w:rPr>
      </w:pPr>
      <w:r w:rsidRPr="00E17F14">
        <w:rPr>
          <w:sz w:val="28"/>
          <w:szCs w:val="28"/>
        </w:rPr>
        <w:t>SPECIFIC COMMENTS</w:t>
      </w:r>
    </w:p>
    <w:p w14:paraId="2B1B24F7" w14:textId="77777777" w:rsidR="00E17F14" w:rsidRDefault="00E17F14">
      <w:pPr>
        <w:rPr>
          <w:u w:val="single"/>
        </w:rPr>
      </w:pPr>
    </w:p>
    <w:p w14:paraId="1F283447" w14:textId="4C78B69D" w:rsidR="00520C0F" w:rsidRDefault="00EF2F99" w:rsidP="0039308F">
      <w:pPr>
        <w:rPr>
          <w:caps/>
          <w:sz w:val="24"/>
          <w:szCs w:val="24"/>
        </w:rPr>
      </w:pPr>
      <w:r w:rsidRPr="00E17F14">
        <w:rPr>
          <w:caps/>
          <w:sz w:val="24"/>
          <w:szCs w:val="24"/>
        </w:rPr>
        <w:t>Stream 1: Information, Linkages and Referrals</w:t>
      </w:r>
    </w:p>
    <w:p w14:paraId="646A3DE4" w14:textId="77777777" w:rsidR="00F74C40" w:rsidRPr="00520C0F" w:rsidRDefault="00F74C40" w:rsidP="00F74C40">
      <w:pPr>
        <w:pStyle w:val="ListParagraph"/>
        <w:numPr>
          <w:ilvl w:val="0"/>
          <w:numId w:val="29"/>
        </w:numPr>
      </w:pPr>
      <w:r w:rsidRPr="00EE33C4">
        <w:t>Families of children with disability have consistently articulated that information provision regarding availability, quality and accessing services and support is a significant issue of concern. This was a dominant theme in the</w:t>
      </w:r>
      <w:r>
        <w:t xml:space="preserve"> community consultation undertaken by the</w:t>
      </w:r>
      <w:r w:rsidRPr="00EE33C4">
        <w:t xml:space="preserve"> Productivity Commission</w:t>
      </w:r>
      <w:r>
        <w:t xml:space="preserve"> for the</w:t>
      </w:r>
      <w:r w:rsidRPr="00EE33C4">
        <w:t xml:space="preserve"> Inquiry into Disability Services and</w:t>
      </w:r>
      <w:r>
        <w:t xml:space="preserve"> Support</w:t>
      </w:r>
      <w:r w:rsidRPr="00EE33C4">
        <w:t>. It was frequently remarked that the services system is highly fragmented and difficult to navigate. The establishment of the NDIS was envisaged as a more c</w:t>
      </w:r>
      <w:r w:rsidR="0034316A">
        <w:t>entralised, coordinated and</w:t>
      </w:r>
      <w:r w:rsidRPr="00EE33C4">
        <w:t xml:space="preserve"> comprehensive services system. However, it is unclear from the </w:t>
      </w:r>
      <w:r w:rsidR="00A00C2C">
        <w:t xml:space="preserve">proposed </w:t>
      </w:r>
      <w:r w:rsidR="0034316A">
        <w:t xml:space="preserve">ILC </w:t>
      </w:r>
      <w:r w:rsidR="00A00C2C">
        <w:t>F</w:t>
      </w:r>
      <w:r w:rsidRPr="00EE33C4">
        <w:t xml:space="preserve">ramework </w:t>
      </w:r>
      <w:r>
        <w:t>how the Scheme</w:t>
      </w:r>
      <w:r w:rsidRPr="00EE33C4">
        <w:t xml:space="preserve"> w</w:t>
      </w:r>
      <w:r>
        <w:t>ill</w:t>
      </w:r>
      <w:r w:rsidRPr="00EE33C4">
        <w:t xml:space="preserve"> facilitate </w:t>
      </w:r>
      <w:r>
        <w:t>this</w:t>
      </w:r>
      <w:r w:rsidRPr="00EE33C4">
        <w:t xml:space="preserve">. The Framework does not provide information as to how needs and gaps in service and support provision will be identified and met and how supports will be funded. Overall, it is unclear how what is proposed in the </w:t>
      </w:r>
      <w:r w:rsidR="0034316A">
        <w:t>ILC</w:t>
      </w:r>
      <w:r w:rsidRPr="00EE33C4">
        <w:t xml:space="preserve"> Framework differs from current practice.</w:t>
      </w:r>
    </w:p>
    <w:p w14:paraId="401A8139" w14:textId="77777777" w:rsidR="00520C0F" w:rsidRPr="00E17F14" w:rsidRDefault="00520C0F">
      <w:pPr>
        <w:rPr>
          <w:caps/>
          <w:sz w:val="24"/>
          <w:szCs w:val="24"/>
        </w:rPr>
      </w:pPr>
    </w:p>
    <w:p w14:paraId="53DC430B" w14:textId="4E027E46" w:rsidR="00F74C40" w:rsidRPr="009108F1" w:rsidRDefault="00FA16F8" w:rsidP="009108F1">
      <w:pPr>
        <w:pStyle w:val="ListParagraph"/>
        <w:numPr>
          <w:ilvl w:val="0"/>
          <w:numId w:val="29"/>
        </w:numPr>
      </w:pPr>
      <w:r>
        <w:t>It is important for the NDIS</w:t>
      </w:r>
      <w:r w:rsidR="00AC0201">
        <w:t xml:space="preserve"> to</w:t>
      </w:r>
      <w:r>
        <w:t xml:space="preserve"> co-ordinate supports relating to ‘Information, Linkages and Referrals’ with existing pools of knowledge around service and support provision and </w:t>
      </w:r>
      <w:r w:rsidR="0034316A">
        <w:t>best practice</w:t>
      </w:r>
      <w:r>
        <w:t xml:space="preserve">. </w:t>
      </w:r>
      <w:r w:rsidR="00F74C40">
        <w:t>CDA’s experience is that family and parent networks are extensive, rich sources of information and experience which presently are an integral part of the information and support available. Generally people are highly generous with sharing their experience and knowledge</w:t>
      </w:r>
      <w:r w:rsidR="0034316A">
        <w:t>. A key focus of the ILC</w:t>
      </w:r>
      <w:r w:rsidR="00F74C40">
        <w:t xml:space="preserve"> Framework should be on how this existing knowledge can be supported, extended and enriched.</w:t>
      </w:r>
      <w:r>
        <w:t xml:space="preserve"> In addition, local knowledge about services and support available in particular regions should be </w:t>
      </w:r>
      <w:r w:rsidR="0034316A">
        <w:t>considered in</w:t>
      </w:r>
      <w:r>
        <w:t xml:space="preserve"> stream one. </w:t>
      </w:r>
      <w:r w:rsidR="00182006" w:rsidRPr="0039308F">
        <w:t>Further</w:t>
      </w:r>
      <w:r w:rsidR="00182006" w:rsidRPr="009108F1">
        <w:t xml:space="preserve">, knowledge from mainstream sectors, such as education, housing or health </w:t>
      </w:r>
      <w:r>
        <w:t>is a further source of information that should be drawn upon.</w:t>
      </w:r>
    </w:p>
    <w:p w14:paraId="41219700" w14:textId="77777777" w:rsidR="00B6440E" w:rsidRDefault="00B6440E" w:rsidP="0039308F">
      <w:pPr>
        <w:pStyle w:val="ListParagraph"/>
      </w:pPr>
    </w:p>
    <w:p w14:paraId="40AAB8BD" w14:textId="77777777" w:rsidR="00F74C40" w:rsidRDefault="009108F1" w:rsidP="00F74C40">
      <w:pPr>
        <w:pStyle w:val="ListParagraph"/>
        <w:numPr>
          <w:ilvl w:val="0"/>
          <w:numId w:val="2"/>
        </w:numPr>
      </w:pPr>
      <w:r>
        <w:t xml:space="preserve">The ILC </w:t>
      </w:r>
      <w:r w:rsidR="00F74C40">
        <w:t>Framework does not clearly identify the roles and responsibilities of the NDIA, states and territories, local government, non-government organisations, people with disability and families and care givers.</w:t>
      </w:r>
    </w:p>
    <w:p w14:paraId="707DFE0D" w14:textId="77777777" w:rsidR="00F74C40" w:rsidRDefault="00F74C40" w:rsidP="0039308F">
      <w:pPr>
        <w:pStyle w:val="ListParagraph"/>
      </w:pPr>
    </w:p>
    <w:p w14:paraId="2C883F4C" w14:textId="77777777" w:rsidR="00F74C40" w:rsidRDefault="00F74C40" w:rsidP="005A7325">
      <w:pPr>
        <w:pStyle w:val="ListParagraph"/>
        <w:numPr>
          <w:ilvl w:val="0"/>
          <w:numId w:val="2"/>
        </w:numPr>
      </w:pPr>
      <w:r w:rsidRPr="009108F1">
        <w:t xml:space="preserve">Stream one does not provide details about whether a </w:t>
      </w:r>
      <w:r w:rsidR="00417563" w:rsidRPr="009108F1">
        <w:t xml:space="preserve">single or multiple </w:t>
      </w:r>
      <w:r w:rsidRPr="009108F1">
        <w:t>gateway</w:t>
      </w:r>
      <w:r w:rsidR="00417563" w:rsidRPr="009108F1">
        <w:t>s</w:t>
      </w:r>
      <w:r w:rsidR="00B658CC" w:rsidRPr="009108F1">
        <w:t xml:space="preserve"> for NDIS participants to access</w:t>
      </w:r>
      <w:r w:rsidRPr="009108F1">
        <w:t xml:space="preserve"> information, linkages and</w:t>
      </w:r>
      <w:r w:rsidR="00417563" w:rsidRPr="009108F1">
        <w:t xml:space="preserve"> referrals are</w:t>
      </w:r>
      <w:r w:rsidRPr="009108F1">
        <w:t xml:space="preserve"> envisaged and if so, </w:t>
      </w:r>
      <w:r w:rsidR="00417563" w:rsidRPr="009108F1">
        <w:t>how this will operate in practice</w:t>
      </w:r>
      <w:r w:rsidRPr="009108F1">
        <w:t>. It is unclear how ILC will differ from current practice in this regard.</w:t>
      </w:r>
    </w:p>
    <w:p w14:paraId="36AF81B5" w14:textId="77777777" w:rsidR="000C0F1D" w:rsidRPr="009108F1" w:rsidRDefault="000C0F1D" w:rsidP="0039308F">
      <w:pPr>
        <w:pStyle w:val="ListParagraph"/>
      </w:pPr>
    </w:p>
    <w:p w14:paraId="40FD2178" w14:textId="1CE52996" w:rsidR="00A9112A" w:rsidRDefault="0097402E" w:rsidP="0039308F">
      <w:pPr>
        <w:pStyle w:val="ListParagraph"/>
        <w:numPr>
          <w:ilvl w:val="0"/>
          <w:numId w:val="2"/>
        </w:numPr>
      </w:pPr>
      <w:r w:rsidRPr="00A9112A">
        <w:t>The experience of children and young people and their families as the Scheme is in the initial establishment phase is that many services and supports are being scaled down or in some instances ceased in anticipation of the full implementation of the Scheme.</w:t>
      </w:r>
      <w:r w:rsidR="00EE2E3B" w:rsidRPr="00A9112A">
        <w:t xml:space="preserve"> It is critical to </w:t>
      </w:r>
      <w:r w:rsidR="00A9112A" w:rsidRPr="0039308F">
        <w:t xml:space="preserve">identify where this is occurring and how any service gaps will be addressed as the </w:t>
      </w:r>
      <w:r w:rsidR="000C0F1D">
        <w:t>S</w:t>
      </w:r>
      <w:r w:rsidR="00A9112A" w:rsidRPr="0039308F">
        <w:t>cheme is rolled out fully.</w:t>
      </w:r>
    </w:p>
    <w:p w14:paraId="0CC363C3" w14:textId="77777777" w:rsidR="008F47DA" w:rsidRPr="00A9112A" w:rsidRDefault="008F47DA" w:rsidP="0039308F">
      <w:pPr>
        <w:pStyle w:val="ListParagraph"/>
        <w:rPr>
          <w:u w:val="single"/>
        </w:rPr>
      </w:pPr>
    </w:p>
    <w:p w14:paraId="3ED6F0F4" w14:textId="77777777" w:rsidR="001A7A10" w:rsidRDefault="00EF2F99">
      <w:pPr>
        <w:rPr>
          <w:caps/>
          <w:sz w:val="24"/>
          <w:szCs w:val="24"/>
        </w:rPr>
      </w:pPr>
      <w:r w:rsidRPr="0039308F">
        <w:rPr>
          <w:caps/>
          <w:sz w:val="24"/>
          <w:szCs w:val="24"/>
        </w:rPr>
        <w:t>Stream 2: Capacity Building for Mainstream Services</w:t>
      </w:r>
    </w:p>
    <w:p w14:paraId="56E6948F" w14:textId="77777777" w:rsidR="00EE2E3B" w:rsidRDefault="00EE2E3B" w:rsidP="00EE2E3B">
      <w:pPr>
        <w:pStyle w:val="ListParagraph"/>
        <w:numPr>
          <w:ilvl w:val="0"/>
          <w:numId w:val="30"/>
        </w:numPr>
      </w:pPr>
      <w:r>
        <w:t>This stream is central to the aim of meaningfully affording people with disability rights, equal opportunities and the development of a truly inclusive community. However, CDA is concerned that this stream contains minimal substantive information about how it will be achieved in practice.</w:t>
      </w:r>
    </w:p>
    <w:p w14:paraId="66DE1C92" w14:textId="77777777" w:rsidR="00631BDF" w:rsidRDefault="00631BDF"/>
    <w:p w14:paraId="71FAF915" w14:textId="77777777" w:rsidR="00EE2E3B" w:rsidRDefault="00B85F62" w:rsidP="00EE2E3B">
      <w:pPr>
        <w:pStyle w:val="ListParagraph"/>
        <w:numPr>
          <w:ilvl w:val="0"/>
          <w:numId w:val="30"/>
        </w:numPr>
      </w:pPr>
      <w:r>
        <w:t xml:space="preserve">In stream two, one of the strategies identified is to enhance the </w:t>
      </w:r>
      <w:r w:rsidR="00EE2E3B">
        <w:t>“inclusiveness of people with disability”</w:t>
      </w:r>
      <w:r w:rsidR="00EE2E3B">
        <w:rPr>
          <w:rStyle w:val="FootnoteReference"/>
        </w:rPr>
        <w:footnoteReference w:id="12"/>
      </w:r>
      <w:r w:rsidR="00EE2E3B">
        <w:t xml:space="preserve"> in mainstream services and providers</w:t>
      </w:r>
      <w:r>
        <w:t xml:space="preserve">. However, this </w:t>
      </w:r>
      <w:r w:rsidR="0034316A">
        <w:t xml:space="preserve">places responsibility for ensuring </w:t>
      </w:r>
      <w:r>
        <w:t>mainstream settings are inclusive</w:t>
      </w:r>
      <w:r w:rsidR="0034316A">
        <w:t xml:space="preserve"> with the NDIS</w:t>
      </w:r>
      <w:r>
        <w:t>.</w:t>
      </w:r>
      <w:r w:rsidR="00EE2E3B">
        <w:t xml:space="preserve"> </w:t>
      </w:r>
      <w:r w:rsidR="00C02EBF">
        <w:t xml:space="preserve">As previously stated, it is critical that mainstream services and portfolios take the lead in promoting a culture of inclusion. </w:t>
      </w:r>
      <w:r w:rsidR="0034316A">
        <w:t>The ILC F</w:t>
      </w:r>
      <w:r>
        <w:t xml:space="preserve">ramework should focus on interface issues between the NDIS and other areas, </w:t>
      </w:r>
      <w:r w:rsidR="00C02EBF">
        <w:t>rather than looking</w:t>
      </w:r>
      <w:r>
        <w:t xml:space="preserve"> to drive this change. </w:t>
      </w:r>
    </w:p>
    <w:p w14:paraId="443297FC" w14:textId="77777777" w:rsidR="001A7A10" w:rsidRDefault="001A7A10"/>
    <w:p w14:paraId="63FD740A" w14:textId="77777777" w:rsidR="00EE2E3B" w:rsidRPr="006A0649" w:rsidRDefault="00EE2E3B" w:rsidP="00EE2E3B">
      <w:pPr>
        <w:pStyle w:val="ListParagraph"/>
        <w:numPr>
          <w:ilvl w:val="0"/>
          <w:numId w:val="30"/>
        </w:numPr>
        <w:rPr>
          <w:caps/>
          <w:sz w:val="24"/>
          <w:szCs w:val="24"/>
        </w:rPr>
      </w:pPr>
      <w:r>
        <w:t>The examples provided in this stream are confusing and their practical application is unclear. One example is “enhancing ‘best practice’ in service delivery,” however there is no explanation of what this involves.</w:t>
      </w:r>
    </w:p>
    <w:p w14:paraId="0D598724" w14:textId="77777777" w:rsidR="001055D1" w:rsidRPr="0039308F" w:rsidRDefault="001055D1">
      <w:pPr>
        <w:rPr>
          <w:caps/>
          <w:sz w:val="24"/>
          <w:szCs w:val="24"/>
        </w:rPr>
      </w:pPr>
    </w:p>
    <w:p w14:paraId="0DB226E3" w14:textId="77777777" w:rsidR="001055D1" w:rsidRPr="00E17F14" w:rsidRDefault="00EF2F99">
      <w:pPr>
        <w:rPr>
          <w:caps/>
        </w:rPr>
      </w:pPr>
      <w:r w:rsidRPr="00E17F14">
        <w:rPr>
          <w:caps/>
        </w:rPr>
        <w:t>Stream 3: Community Awareness and Capacity Building</w:t>
      </w:r>
    </w:p>
    <w:p w14:paraId="068A869E" w14:textId="77777777" w:rsidR="00EE2E3B" w:rsidRDefault="00C02EBF" w:rsidP="00EE2E3B">
      <w:pPr>
        <w:pStyle w:val="ListParagraph"/>
        <w:numPr>
          <w:ilvl w:val="0"/>
          <w:numId w:val="10"/>
        </w:numPr>
      </w:pPr>
      <w:r>
        <w:t>The objective of ‘Community Awareness and Capacity Building’ is “getting organisations…</w:t>
      </w:r>
      <w:r w:rsidR="00EE2E3B">
        <w:t xml:space="preserve"> </w:t>
      </w:r>
      <w:r>
        <w:t>and people within communities to be inclusive of people with disability.”</w:t>
      </w:r>
      <w:r>
        <w:rPr>
          <w:rStyle w:val="FootnoteReference"/>
        </w:rPr>
        <w:footnoteReference w:id="13"/>
      </w:r>
      <w:r>
        <w:t xml:space="preserve"> </w:t>
      </w:r>
      <w:r w:rsidR="00EE2E3B">
        <w:t>Again, this takes the view that inclusion can be retrofitted into communities. As previously stated, inclusion is a more complex and organic process that cannot be ‘added on’ to existing structures and communities.</w:t>
      </w:r>
    </w:p>
    <w:p w14:paraId="0B5B1F10" w14:textId="77777777" w:rsidR="00764558" w:rsidRDefault="00764558" w:rsidP="0039308F">
      <w:pPr>
        <w:pStyle w:val="ListParagraph"/>
      </w:pPr>
    </w:p>
    <w:p w14:paraId="41C35D1D" w14:textId="77777777" w:rsidR="00EE2E3B" w:rsidRDefault="00EE2E3B" w:rsidP="00EE2E3B">
      <w:pPr>
        <w:pStyle w:val="ListParagraph"/>
        <w:numPr>
          <w:ilvl w:val="0"/>
          <w:numId w:val="10"/>
        </w:numPr>
      </w:pPr>
      <w:r>
        <w:t>This section states that “the NDIS has a key role in supporting and strengthening effective local initiatives by community groups and businesses to address disability issues in the community (e.g. social isolation).”</w:t>
      </w:r>
      <w:r>
        <w:rPr>
          <w:rStyle w:val="FootnoteReference"/>
        </w:rPr>
        <w:footnoteReference w:id="14"/>
      </w:r>
      <w:r>
        <w:t xml:space="preserve"> The categorisation of social isolation as a ‘disability issue’ infers that disability is the cause, when in fact it is barriers within the society which make issues such as social isolation a common experience for people with disability. </w:t>
      </w:r>
    </w:p>
    <w:p w14:paraId="7ED7F321" w14:textId="77777777" w:rsidR="00E2293B" w:rsidRDefault="00E2293B" w:rsidP="0039308F">
      <w:pPr>
        <w:pStyle w:val="ListParagraph"/>
      </w:pPr>
    </w:p>
    <w:p w14:paraId="3D9731C6" w14:textId="77777777" w:rsidR="008C2745" w:rsidRDefault="008C2745" w:rsidP="0039308F">
      <w:pPr>
        <w:pStyle w:val="ListParagraph"/>
        <w:numPr>
          <w:ilvl w:val="0"/>
          <w:numId w:val="10"/>
        </w:numPr>
      </w:pPr>
      <w:r>
        <w:t xml:space="preserve">Currently, we see culturally and historically embedded discriminatory attitudes in many areas of the Australian community. These attitudes, or ableism, position disability as an inability, rather than a positive aspect of a diverse culture. In CDA’s experience, </w:t>
      </w:r>
      <w:r>
        <w:rPr>
          <w:rFonts w:cs="Arial"/>
        </w:rPr>
        <w:t>i</w:t>
      </w:r>
      <w:r w:rsidRPr="00716CBA">
        <w:rPr>
          <w:rFonts w:cs="Arial"/>
        </w:rPr>
        <w:t>t is common place for children</w:t>
      </w:r>
      <w:r>
        <w:rPr>
          <w:rFonts w:cs="Arial"/>
        </w:rPr>
        <w:t xml:space="preserve"> and young people</w:t>
      </w:r>
      <w:r w:rsidRPr="00716CBA">
        <w:rPr>
          <w:rFonts w:cs="Arial"/>
        </w:rPr>
        <w:t xml:space="preserve"> with disability to be referred to as a ‘burden,’ ‘problem,’ ‘broken’ or ‘sick.’ </w:t>
      </w:r>
      <w:r>
        <w:t>It is critical to address the attitudes in the broader community, rather than having focus on particular attributes presumed to be typical or common traits of people with disability. This will be a complex process, requiring commitment and input from all areas of community life. While leadership from the NDIS is important, it is critical to note that the broad cultural changes required cannot be driven by a single sector.</w:t>
      </w:r>
    </w:p>
    <w:p w14:paraId="6C5D4B46" w14:textId="77777777" w:rsidR="008C2745" w:rsidRDefault="008C2745" w:rsidP="0039308F">
      <w:pPr>
        <w:pStyle w:val="ListParagraph"/>
      </w:pPr>
    </w:p>
    <w:p w14:paraId="521DAE2C" w14:textId="77777777" w:rsidR="008C2745" w:rsidRDefault="008C2745" w:rsidP="008C2745">
      <w:pPr>
        <w:pStyle w:val="ListParagraph"/>
        <w:numPr>
          <w:ilvl w:val="0"/>
          <w:numId w:val="10"/>
        </w:numPr>
      </w:pPr>
      <w:r>
        <w:t>In addition, it is important to note that bureaucratically-driven awareness raising campaigns are rarely organic drivers of change. One of the examples of programs provided under stream three is “public campaigns to improve the community’s general disability awareness and understanding.”</w:t>
      </w:r>
      <w:r>
        <w:rPr>
          <w:rStyle w:val="FootnoteReference"/>
        </w:rPr>
        <w:footnoteReference w:id="15"/>
      </w:r>
      <w:r>
        <w:t xml:space="preserve"> However, there is a risk that such campaigns would promote a charity model that relies on ‘feeling sorry for’ people with disability, rather than challenging ableist attitudes. Again, the focu</w:t>
      </w:r>
      <w:r w:rsidRPr="005A7325">
        <w:t>s</w:t>
      </w:r>
      <w:r>
        <w:t xml:space="preserve"> needs to be on changing discriminatory attitudes as a community, rather than increasing ‘awareness about disability.’</w:t>
      </w:r>
      <w:r w:rsidRPr="005A7325">
        <w:t xml:space="preserve"> </w:t>
      </w:r>
    </w:p>
    <w:p w14:paraId="57AF9DA2" w14:textId="77777777" w:rsidR="008C2745" w:rsidRDefault="008C2745" w:rsidP="0039308F">
      <w:pPr>
        <w:pStyle w:val="ListParagraph"/>
      </w:pPr>
    </w:p>
    <w:p w14:paraId="073F2CEB" w14:textId="77777777" w:rsidR="008C2745" w:rsidRDefault="008C2745" w:rsidP="0039308F">
      <w:pPr>
        <w:pStyle w:val="ListParagraph"/>
        <w:numPr>
          <w:ilvl w:val="0"/>
          <w:numId w:val="10"/>
        </w:numPr>
      </w:pPr>
      <w:r>
        <w:t>A critical time for the development of cultural preferences, such as attitudes towards disability, is during childhood. It is important to ensure that disability is experienced within the community as a usual part of diversity to encourage the development of mutual values of equality, respect and participation. Leadership and commitment to inclusion within the early childhood and school education sectors is critical to achieving this, rather than just disability services.</w:t>
      </w:r>
    </w:p>
    <w:p w14:paraId="27D65AB3" w14:textId="77777777" w:rsidR="008B2EBB" w:rsidRPr="000C5B78" w:rsidRDefault="008B2EBB" w:rsidP="0039308F">
      <w:pPr>
        <w:pStyle w:val="ListParagraph"/>
      </w:pPr>
    </w:p>
    <w:p w14:paraId="65625593" w14:textId="77777777" w:rsidR="00800E12" w:rsidRPr="00E17F14" w:rsidRDefault="00EF2F99">
      <w:pPr>
        <w:rPr>
          <w:caps/>
        </w:rPr>
      </w:pPr>
      <w:r w:rsidRPr="00E17F14">
        <w:rPr>
          <w:caps/>
        </w:rPr>
        <w:t>Stream 4: Individual Capacity Building</w:t>
      </w:r>
    </w:p>
    <w:p w14:paraId="0879CC5C" w14:textId="77777777" w:rsidR="00CE0299" w:rsidRDefault="00AB7A46" w:rsidP="005A7325">
      <w:pPr>
        <w:pStyle w:val="ListParagraph"/>
        <w:numPr>
          <w:ilvl w:val="0"/>
          <w:numId w:val="2"/>
        </w:numPr>
      </w:pPr>
      <w:r>
        <w:t>This section does not provide a clear definition of ‘capacity building’ and what the aim</w:t>
      </w:r>
      <w:r w:rsidR="00CE0299">
        <w:t>s</w:t>
      </w:r>
      <w:r>
        <w:t xml:space="preserve"> of </w:t>
      </w:r>
      <w:r w:rsidR="00CE0299">
        <w:t>capacity building are</w:t>
      </w:r>
      <w:r w:rsidRPr="0039308F">
        <w:t xml:space="preserve">. </w:t>
      </w:r>
      <w:r>
        <w:t xml:space="preserve">CDA understands ‘capacity building’ to mean that people have a better understanding of services and supports and are in a better position to access them. This involves a self-advocacy role so that people </w:t>
      </w:r>
      <w:r w:rsidR="00CE0299">
        <w:t xml:space="preserve">are aware of their rights and </w:t>
      </w:r>
      <w:r>
        <w:t xml:space="preserve">can challenge </w:t>
      </w:r>
      <w:r w:rsidR="00CE0299">
        <w:t xml:space="preserve">the assumptions </w:t>
      </w:r>
      <w:r w:rsidR="0034316A">
        <w:t>in the community</w:t>
      </w:r>
      <w:r w:rsidR="00CE0299">
        <w:t xml:space="preserve"> that create a culture of low expectations for people with disability in a range of life areas.</w:t>
      </w:r>
    </w:p>
    <w:p w14:paraId="43A1A4BD" w14:textId="77777777" w:rsidR="002B5C60" w:rsidRDefault="002B5C60" w:rsidP="0039308F">
      <w:pPr>
        <w:pStyle w:val="ListParagraph"/>
      </w:pPr>
    </w:p>
    <w:p w14:paraId="2B39ACCB" w14:textId="7353C3C4" w:rsidR="00CE0299" w:rsidRDefault="00AB7A46" w:rsidP="00AB7A46">
      <w:pPr>
        <w:pStyle w:val="ListParagraph"/>
        <w:numPr>
          <w:ilvl w:val="0"/>
          <w:numId w:val="2"/>
        </w:numPr>
      </w:pPr>
      <w:r w:rsidRPr="0039308F">
        <w:t xml:space="preserve">The language around ‘capacity building’ imposes processes and planning on people with disability. For example, the </w:t>
      </w:r>
      <w:r w:rsidR="00CE0299">
        <w:t xml:space="preserve">‘Individual Capacity Building’ </w:t>
      </w:r>
      <w:r w:rsidRPr="0039308F">
        <w:t>stream aims to be “effective in supporting an individual with planning</w:t>
      </w:r>
      <w:r w:rsidR="00841995">
        <w:t>.</w:t>
      </w:r>
      <w:r w:rsidRPr="0039308F">
        <w:t>”</w:t>
      </w:r>
      <w:r w:rsidRPr="0039308F">
        <w:rPr>
          <w:rStyle w:val="FootnoteReference"/>
        </w:rPr>
        <w:footnoteReference w:id="16"/>
      </w:r>
      <w:r w:rsidRPr="0039308F">
        <w:t xml:space="preserve"> </w:t>
      </w:r>
      <w:r w:rsidR="00CE0299">
        <w:t xml:space="preserve">However, there is a need to be aware that formal planning </w:t>
      </w:r>
      <w:r w:rsidR="00864F86">
        <w:t xml:space="preserve">out of one’s life </w:t>
      </w:r>
      <w:r w:rsidR="00CE0299">
        <w:t xml:space="preserve">is an artificial process that people without disability do not </w:t>
      </w:r>
      <w:r w:rsidR="006C6E8E">
        <w:t>necessarily</w:t>
      </w:r>
      <w:r w:rsidR="00CE0299">
        <w:t xml:space="preserve"> undertake in their daily lives. As previously discussed, the ILC Framework needs to acknowledge the intrusion that formal disability services </w:t>
      </w:r>
      <w:r w:rsidR="00864F86">
        <w:t>have</w:t>
      </w:r>
      <w:r w:rsidR="00CE0299">
        <w:t xml:space="preserve"> on people’s personal lives and ensure that these processes are not imposed.</w:t>
      </w:r>
    </w:p>
    <w:p w14:paraId="5EA6C22F" w14:textId="77777777" w:rsidR="00631710" w:rsidRDefault="00631710" w:rsidP="0039308F">
      <w:pPr>
        <w:pStyle w:val="ListParagraph"/>
      </w:pPr>
    </w:p>
    <w:p w14:paraId="3E746821" w14:textId="77777777" w:rsidR="00841995" w:rsidRDefault="006C1222" w:rsidP="0039308F">
      <w:pPr>
        <w:pStyle w:val="ListParagraph"/>
        <w:numPr>
          <w:ilvl w:val="0"/>
          <w:numId w:val="2"/>
        </w:numPr>
      </w:pPr>
      <w:r>
        <w:rPr>
          <w:caps/>
        </w:rPr>
        <w:t>A</w:t>
      </w:r>
      <w:r w:rsidR="001F7832">
        <w:t xml:space="preserve">nother </w:t>
      </w:r>
      <w:r w:rsidR="00841995">
        <w:t xml:space="preserve">aspect of </w:t>
      </w:r>
      <w:r w:rsidR="00864F86">
        <w:t>this</w:t>
      </w:r>
      <w:r w:rsidR="00841995">
        <w:t xml:space="preserve"> stream is that programs are “adapted to be inclusive or particularly responsive to </w:t>
      </w:r>
      <w:r w:rsidR="00841995" w:rsidRPr="005A7325">
        <w:t>people with disability.”</w:t>
      </w:r>
      <w:r w:rsidR="00841995" w:rsidRPr="00841995">
        <w:rPr>
          <w:rStyle w:val="FootnoteReference"/>
        </w:rPr>
        <w:footnoteReference w:id="17"/>
      </w:r>
      <w:r w:rsidR="00841995" w:rsidRPr="00841995">
        <w:t xml:space="preserve"> </w:t>
      </w:r>
      <w:r w:rsidR="00841995" w:rsidRPr="0039308F">
        <w:t xml:space="preserve">As previously discussed, </w:t>
      </w:r>
      <w:r w:rsidR="001F7832">
        <w:t xml:space="preserve">this </w:t>
      </w:r>
      <w:r w:rsidR="00864F86">
        <w:t xml:space="preserve">is problematic as it </w:t>
      </w:r>
      <w:r w:rsidR="001F7832">
        <w:t>implies that the NDIS</w:t>
      </w:r>
      <w:r w:rsidR="00841995" w:rsidRPr="0039308F">
        <w:t xml:space="preserve"> is trying to retrofit inclusion</w:t>
      </w:r>
      <w:r w:rsidR="00864F86">
        <w:t>.</w:t>
      </w:r>
    </w:p>
    <w:p w14:paraId="12CB98C7" w14:textId="6F8A1D3A" w:rsidR="00D8276B" w:rsidRDefault="00D8276B" w:rsidP="0039308F">
      <w:pPr>
        <w:pStyle w:val="ListParagraph"/>
      </w:pPr>
    </w:p>
    <w:p w14:paraId="41226F1C" w14:textId="209030FC" w:rsidR="00737A27" w:rsidRDefault="001F7832">
      <w:pPr>
        <w:pStyle w:val="ListParagraph"/>
        <w:numPr>
          <w:ilvl w:val="0"/>
          <w:numId w:val="2"/>
        </w:numPr>
      </w:pPr>
      <w:r>
        <w:t>A further</w:t>
      </w:r>
      <w:r w:rsidR="004711E5" w:rsidRPr="0039308F">
        <w:t xml:space="preserve"> example o</w:t>
      </w:r>
      <w:r w:rsidR="00864F86" w:rsidRPr="009108F1">
        <w:t>f supports provided through</w:t>
      </w:r>
      <w:r w:rsidR="004711E5" w:rsidRPr="0039308F">
        <w:t xml:space="preserve"> stream </w:t>
      </w:r>
      <w:r w:rsidR="00864F86">
        <w:t xml:space="preserve">four </w:t>
      </w:r>
      <w:r w:rsidR="004711E5" w:rsidRPr="0039308F">
        <w:t>is “parent breaks and programmes to provide parents with skills and information about disability.”</w:t>
      </w:r>
      <w:r w:rsidR="004711E5" w:rsidRPr="0039308F">
        <w:rPr>
          <w:rStyle w:val="FootnoteReference"/>
        </w:rPr>
        <w:footnoteReference w:id="18"/>
      </w:r>
      <w:r w:rsidR="004711E5" w:rsidRPr="0039308F">
        <w:t xml:space="preserve"> However, this implies that children are defined by their disability, rather than being seen as a child first.</w:t>
      </w:r>
      <w:r w:rsidR="00BB7FB5" w:rsidRPr="009108F1">
        <w:t xml:space="preserve"> </w:t>
      </w:r>
      <w:r w:rsidR="004711E5" w:rsidRPr="0039308F">
        <w:t>Rather than providing disability-specific parent support groups, access to support and information should be provided through mainstream family services and programs that have an inclusive culture.</w:t>
      </w:r>
    </w:p>
    <w:p w14:paraId="610D6C1F" w14:textId="77777777" w:rsidR="00737A27" w:rsidRDefault="00737A27" w:rsidP="0039308F">
      <w:pPr>
        <w:pStyle w:val="ListParagraph"/>
      </w:pPr>
    </w:p>
    <w:p w14:paraId="5AF9D121" w14:textId="77777777" w:rsidR="004711E5" w:rsidRDefault="004711E5" w:rsidP="004711E5">
      <w:pPr>
        <w:pStyle w:val="ListParagraph"/>
        <w:numPr>
          <w:ilvl w:val="0"/>
          <w:numId w:val="2"/>
        </w:numPr>
      </w:pPr>
      <w:r>
        <w:t>As in previous streams, the proposed precise rol</w:t>
      </w:r>
      <w:r w:rsidR="00864F86">
        <w:t>e of the NDIA in providing</w:t>
      </w:r>
      <w:r>
        <w:t xml:space="preserve"> supports </w:t>
      </w:r>
      <w:r w:rsidR="00864F86">
        <w:t xml:space="preserve">related to ‘Individual Capacity Building’ </w:t>
      </w:r>
      <w:r>
        <w:t xml:space="preserve">is </w:t>
      </w:r>
      <w:r w:rsidR="00864F86">
        <w:t>not defined</w:t>
      </w:r>
      <w:r>
        <w:t>. It is also not established how the NDIA will map areas of need and existing provision to identify priority areas. It is unclear to CDA how this will differ to practices currently in place, apart from the centralised funding model of this NDIS.</w:t>
      </w:r>
    </w:p>
    <w:p w14:paraId="624E4224" w14:textId="77777777" w:rsidR="00F74E72" w:rsidRDefault="00F74E72" w:rsidP="0039308F">
      <w:pPr>
        <w:pStyle w:val="ListParagraph"/>
        <w:rPr>
          <w:u w:val="single"/>
        </w:rPr>
      </w:pPr>
    </w:p>
    <w:p w14:paraId="6F4C4EB8" w14:textId="50399143" w:rsidR="00824501" w:rsidRPr="00E17F14" w:rsidRDefault="00EF2F99">
      <w:pPr>
        <w:rPr>
          <w:caps/>
        </w:rPr>
      </w:pPr>
      <w:r w:rsidRPr="00E17F14">
        <w:rPr>
          <w:caps/>
        </w:rPr>
        <w:t>Stream 5: Local Area Coordination (</w:t>
      </w:r>
      <w:r w:rsidR="00824501">
        <w:rPr>
          <w:caps/>
        </w:rPr>
        <w:t>LAC)</w:t>
      </w:r>
    </w:p>
    <w:p w14:paraId="5D74DB68" w14:textId="0F2EAC1E" w:rsidR="00E73DE1" w:rsidRDefault="00864F86" w:rsidP="00E73DE1">
      <w:pPr>
        <w:pStyle w:val="ListParagraph"/>
        <w:numPr>
          <w:ilvl w:val="0"/>
          <w:numId w:val="2"/>
        </w:numPr>
      </w:pPr>
      <w:r>
        <w:t>It is stated</w:t>
      </w:r>
      <w:r w:rsidR="00E73DE1">
        <w:t xml:space="preserve"> that “LAC will ensure that people with disability, their families and carers, are able to make full </w:t>
      </w:r>
      <w:r w:rsidR="00AC0201">
        <w:t xml:space="preserve">use </w:t>
      </w:r>
      <w:r w:rsidR="00E73DE1">
        <w:t>of the mainstream and other services…available to them.”</w:t>
      </w:r>
      <w:r w:rsidR="00E73DE1">
        <w:rPr>
          <w:rStyle w:val="FootnoteReference"/>
        </w:rPr>
        <w:footnoteReference w:id="19"/>
      </w:r>
      <w:r w:rsidR="00E73DE1">
        <w:t xml:space="preserve"> This language </w:t>
      </w:r>
      <w:r>
        <w:t>presumes that people with disability and families will want to use LAC services.</w:t>
      </w:r>
      <w:r w:rsidR="00E73DE1">
        <w:t xml:space="preserve"> </w:t>
      </w:r>
      <w:r>
        <w:t>The language of the Framework should clearly indicate that peo</w:t>
      </w:r>
      <w:r w:rsidR="006C6E8E">
        <w:t>ple can elect or opt in to LAC</w:t>
      </w:r>
      <w:r>
        <w:t>.</w:t>
      </w:r>
    </w:p>
    <w:p w14:paraId="67121AA4" w14:textId="4B869FB7" w:rsidR="004C52DF" w:rsidRPr="00E73DE1" w:rsidRDefault="004C52DF" w:rsidP="0039308F">
      <w:pPr>
        <w:pStyle w:val="ListParagraph"/>
      </w:pPr>
    </w:p>
    <w:p w14:paraId="3C94FB11" w14:textId="32701272" w:rsidR="00E73DE1" w:rsidRPr="0039308F" w:rsidRDefault="00E73DE1" w:rsidP="00E73DE1">
      <w:pPr>
        <w:pStyle w:val="ListParagraph"/>
        <w:numPr>
          <w:ilvl w:val="0"/>
          <w:numId w:val="2"/>
        </w:numPr>
      </w:pPr>
      <w:r w:rsidRPr="00E73DE1">
        <w:t xml:space="preserve">A number of points made about </w:t>
      </w:r>
      <w:r w:rsidR="00814401">
        <w:t>the role of LAC</w:t>
      </w:r>
      <w:r w:rsidR="00864F86">
        <w:t xml:space="preserve"> are unclear.</w:t>
      </w:r>
      <w:r w:rsidR="00814401">
        <w:t xml:space="preserve"> LAC</w:t>
      </w:r>
      <w:r w:rsidRPr="00E73DE1">
        <w:t xml:space="preserve"> </w:t>
      </w:r>
      <w:r w:rsidR="00864F86">
        <w:t xml:space="preserve">will </w:t>
      </w:r>
      <w:r w:rsidRPr="00E73DE1">
        <w:t>“promote community inclusion”</w:t>
      </w:r>
      <w:r w:rsidRPr="005A7325">
        <w:rPr>
          <w:rStyle w:val="FootnoteReference"/>
        </w:rPr>
        <w:footnoteReference w:id="20"/>
      </w:r>
      <w:r w:rsidRPr="005A7325">
        <w:t xml:space="preserve"> however no clarification is provided as to how this will occur.</w:t>
      </w:r>
      <w:r w:rsidRPr="00E73DE1">
        <w:t xml:space="preserve"> </w:t>
      </w:r>
      <w:r w:rsidR="00D65EE7">
        <w:t>T</w:t>
      </w:r>
      <w:r w:rsidR="00814401">
        <w:t>he role of LAC</w:t>
      </w:r>
      <w:r w:rsidRPr="00E73DE1">
        <w:t xml:space="preserve"> </w:t>
      </w:r>
      <w:r w:rsidR="00D65EE7">
        <w:t xml:space="preserve">also </w:t>
      </w:r>
      <w:r w:rsidRPr="00E73DE1">
        <w:t>involves “prevention, capacity building and locally based practical solutions which are fundamental to ILC and the concept of a wide entry g</w:t>
      </w:r>
      <w:r w:rsidR="00D65EE7">
        <w:t>ateway.” This sentence is</w:t>
      </w:r>
      <w:r w:rsidRPr="00E73DE1">
        <w:t xml:space="preserve"> ambiguous, with it being unclear what is meant by ‘prevention’ and what a ‘wide entry gateway’ is intended to lead to</w:t>
      </w:r>
      <w:r w:rsidRPr="0039308F">
        <w:t>.</w:t>
      </w:r>
    </w:p>
    <w:p w14:paraId="3A708DD3" w14:textId="77777777" w:rsidR="008A2408" w:rsidRDefault="008A2408" w:rsidP="0039308F">
      <w:pPr>
        <w:pStyle w:val="ListParagraph"/>
      </w:pPr>
    </w:p>
    <w:p w14:paraId="0AFD988B" w14:textId="24360EBD" w:rsidR="00E73DE1" w:rsidRDefault="00D65EE7" w:rsidP="00E73DE1">
      <w:pPr>
        <w:pStyle w:val="ListParagraph"/>
        <w:numPr>
          <w:ilvl w:val="0"/>
          <w:numId w:val="2"/>
        </w:numPr>
      </w:pPr>
      <w:r>
        <w:t>It is stated</w:t>
      </w:r>
      <w:r w:rsidR="00814401">
        <w:t xml:space="preserve"> that Local Area Coordinators</w:t>
      </w:r>
      <w:r w:rsidR="00E73DE1">
        <w:t xml:space="preserve"> will work “with people with disability, their families and carers to consider their immediate and future goals and how these might be best achieved.”</w:t>
      </w:r>
      <w:r>
        <w:rPr>
          <w:rStyle w:val="FootnoteReference"/>
        </w:rPr>
        <w:footnoteReference w:id="21"/>
      </w:r>
      <w:r w:rsidR="00E73DE1">
        <w:t xml:space="preserve"> </w:t>
      </w:r>
      <w:r>
        <w:t xml:space="preserve">As discussed in relation to stream four, </w:t>
      </w:r>
      <w:r w:rsidR="00E73DE1">
        <w:t>t</w:t>
      </w:r>
      <w:r>
        <w:t xml:space="preserve">he establishment of goals is a </w:t>
      </w:r>
      <w:r w:rsidR="00E73DE1">
        <w:t xml:space="preserve">process that most people do informally. Again, it is essential to be mindful that people without disability </w:t>
      </w:r>
      <w:r>
        <w:t>do not need to undertake these processes in their daily lives.</w:t>
      </w:r>
    </w:p>
    <w:p w14:paraId="34793137" w14:textId="77777777" w:rsidR="004B5332" w:rsidRDefault="004B5332" w:rsidP="004B5332"/>
    <w:p w14:paraId="6347CA1D" w14:textId="003D8CD8" w:rsidR="004B5332" w:rsidRDefault="004B5332" w:rsidP="004B5332">
      <w:pPr>
        <w:rPr>
          <w:u w:val="single"/>
        </w:rPr>
      </w:pPr>
      <w:r>
        <w:t>INTERSECTION WITH MAINSTREAM SERVICES</w:t>
      </w:r>
    </w:p>
    <w:p w14:paraId="5421AF59" w14:textId="77777777" w:rsidR="00E73DE1" w:rsidRDefault="00E73DE1" w:rsidP="00E73DE1">
      <w:pPr>
        <w:pStyle w:val="ListParagraph"/>
        <w:numPr>
          <w:ilvl w:val="0"/>
          <w:numId w:val="32"/>
        </w:numPr>
      </w:pPr>
      <w:r>
        <w:t>This section describes special schools as a ‘mainstream system,’ however this is incorrect. Special schools are segregated, disability-specific settings.</w:t>
      </w:r>
    </w:p>
    <w:p w14:paraId="609FEDE9" w14:textId="77777777" w:rsidR="00A9112A" w:rsidRDefault="00A9112A" w:rsidP="00E73DE1">
      <w:pPr>
        <w:pStyle w:val="ListParagraph"/>
        <w:ind w:left="0"/>
      </w:pPr>
    </w:p>
    <w:p w14:paraId="7276E832" w14:textId="240F9E82" w:rsidR="00753EF7" w:rsidRDefault="00A9112A" w:rsidP="00E73DE1">
      <w:pPr>
        <w:pStyle w:val="ListParagraph"/>
        <w:ind w:left="0"/>
      </w:pPr>
      <w:r>
        <w:t>CDA is mi</w:t>
      </w:r>
      <w:r w:rsidR="00973BA8">
        <w:t>ndful that this submission has</w:t>
      </w:r>
      <w:r>
        <w:t xml:space="preserve"> focus</w:t>
      </w:r>
      <w:r w:rsidR="00973BA8">
        <w:t>ed on</w:t>
      </w:r>
      <w:bookmarkStart w:id="0" w:name="_GoBack"/>
      <w:bookmarkEnd w:id="0"/>
      <w:r>
        <w:t xml:space="preserve"> the limitations of the proposed framework and limited feedback has been included as to how the framework could be improved. </w:t>
      </w:r>
      <w:r w:rsidR="00753EF7">
        <w:t xml:space="preserve">This is partly due to the limited time frame in providing submission. </w:t>
      </w:r>
    </w:p>
    <w:p w14:paraId="56B6BD39" w14:textId="77777777" w:rsidR="00753EF7" w:rsidRDefault="00753EF7" w:rsidP="00E73DE1">
      <w:pPr>
        <w:pStyle w:val="ListParagraph"/>
        <w:ind w:left="0"/>
      </w:pPr>
    </w:p>
    <w:p w14:paraId="3B8625AC" w14:textId="1F20B15E" w:rsidR="00A9112A" w:rsidRDefault="00A9112A" w:rsidP="00E73DE1">
      <w:pPr>
        <w:pStyle w:val="ListParagraph"/>
        <w:ind w:left="0"/>
      </w:pPr>
      <w:r>
        <w:t xml:space="preserve">As emphasised, throughout this submission, CDA recognises this is a very significant and important component of the NDIS, and would very much welcome the opportunity to </w:t>
      </w:r>
      <w:r w:rsidR="00753EF7">
        <w:t xml:space="preserve">contribute to any further work or consultation that occurs around the future development of the ILC </w:t>
      </w:r>
      <w:r w:rsidR="006C6E8E">
        <w:t>F</w:t>
      </w:r>
      <w:r w:rsidR="00753EF7">
        <w:t>ramework. Further consultation which allows input from a range of stakeholders is viewed as essential. Please do</w:t>
      </w:r>
      <w:r w:rsidR="006C6E8E">
        <w:t xml:space="preserve"> </w:t>
      </w:r>
      <w:r w:rsidR="00753EF7">
        <w:t>n</w:t>
      </w:r>
      <w:r w:rsidR="006C6E8E">
        <w:t>o</w:t>
      </w:r>
      <w:r w:rsidR="00753EF7">
        <w:t>t hesitate to contact us if you would like to discuss further any aspects of this submission.</w:t>
      </w:r>
      <w:r w:rsidR="00753EF7" w:rsidRPr="00753EF7">
        <w:t xml:space="preserve"> </w:t>
      </w:r>
      <w:r w:rsidR="00753EF7" w:rsidRPr="004C52DF">
        <w:t>Thank you for the opportunity t</w:t>
      </w:r>
      <w:r w:rsidR="00753EF7">
        <w:t>o provide a submission to this consultation</w:t>
      </w:r>
      <w:r w:rsidR="006C6E8E">
        <w:t>.</w:t>
      </w:r>
    </w:p>
    <w:p w14:paraId="161ABC98" w14:textId="4441174C" w:rsidR="00737A27" w:rsidRDefault="00737A27" w:rsidP="0039308F">
      <w:pPr>
        <w:pStyle w:val="ListParagraph"/>
        <w:ind w:left="0"/>
      </w:pPr>
    </w:p>
    <w:p w14:paraId="1AC1C0A1" w14:textId="77777777" w:rsidR="004C52DF" w:rsidRPr="0039308F" w:rsidRDefault="004C52DF" w:rsidP="004C52DF">
      <w:pPr>
        <w:pStyle w:val="Body"/>
        <w:spacing w:after="0" w:line="240" w:lineRule="auto"/>
        <w:rPr>
          <w:rFonts w:asciiTheme="minorHAnsi" w:hAnsiTheme="minorHAnsi"/>
          <w:sz w:val="22"/>
          <w:szCs w:val="22"/>
        </w:rPr>
      </w:pPr>
      <w:r w:rsidRPr="0039308F">
        <w:rPr>
          <w:rFonts w:asciiTheme="minorHAnsi" w:hAnsiTheme="minorHAnsi" w:cs="HelveticaNeue-Medium"/>
          <w:b/>
          <w:sz w:val="22"/>
          <w:szCs w:val="22"/>
        </w:rPr>
        <w:t>Contact</w:t>
      </w:r>
      <w:r w:rsidRPr="0039308F">
        <w:rPr>
          <w:rFonts w:asciiTheme="minorHAnsi" w:hAnsiTheme="minorHAnsi" w:cs="HelveticaNeue-Medium"/>
          <w:sz w:val="22"/>
          <w:szCs w:val="22"/>
        </w:rPr>
        <w:t>:</w:t>
      </w:r>
      <w:r w:rsidRPr="0039308F">
        <w:rPr>
          <w:rFonts w:asciiTheme="minorHAnsi" w:hAnsiTheme="minorHAnsi"/>
          <w:sz w:val="22"/>
          <w:szCs w:val="22"/>
        </w:rPr>
        <w:t xml:space="preserve"> Stephanie Gotlib, Chief Executive Officer</w:t>
      </w:r>
    </w:p>
    <w:p w14:paraId="160796D0" w14:textId="77777777" w:rsidR="004C52DF" w:rsidRPr="0039308F" w:rsidRDefault="004C52DF" w:rsidP="004C52DF">
      <w:pPr>
        <w:pStyle w:val="Body"/>
        <w:spacing w:after="0" w:line="240" w:lineRule="auto"/>
        <w:rPr>
          <w:rFonts w:asciiTheme="minorHAnsi" w:hAnsiTheme="minorHAnsi"/>
          <w:sz w:val="22"/>
          <w:szCs w:val="22"/>
        </w:rPr>
      </w:pPr>
      <w:r w:rsidRPr="0039308F">
        <w:rPr>
          <w:rFonts w:asciiTheme="minorHAnsi" w:hAnsiTheme="minorHAnsi"/>
          <w:sz w:val="22"/>
          <w:szCs w:val="22"/>
        </w:rPr>
        <w:t>Suite 3, 173 Queens Parade, Clifton Hill, VIC 3068</w:t>
      </w:r>
    </w:p>
    <w:p w14:paraId="3C31777D" w14:textId="77777777" w:rsidR="004C52DF" w:rsidRPr="0039308F" w:rsidRDefault="004C52DF" w:rsidP="004C52DF">
      <w:pPr>
        <w:pStyle w:val="Body"/>
        <w:spacing w:after="0" w:line="240" w:lineRule="auto"/>
        <w:rPr>
          <w:rFonts w:asciiTheme="minorHAnsi" w:hAnsiTheme="minorHAnsi"/>
          <w:sz w:val="22"/>
          <w:szCs w:val="22"/>
        </w:rPr>
      </w:pPr>
      <w:r w:rsidRPr="0039308F">
        <w:rPr>
          <w:rFonts w:asciiTheme="minorHAnsi" w:hAnsiTheme="minorHAnsi"/>
          <w:sz w:val="22"/>
          <w:szCs w:val="22"/>
        </w:rPr>
        <w:t>Phone 03 9482 1130 or 0425 724 230</w:t>
      </w:r>
    </w:p>
    <w:p w14:paraId="50C1CCA7" w14:textId="77777777" w:rsidR="004C52DF" w:rsidRPr="0039308F" w:rsidRDefault="004C52DF" w:rsidP="004C52DF">
      <w:pPr>
        <w:pStyle w:val="Body"/>
        <w:spacing w:after="0" w:line="240" w:lineRule="auto"/>
        <w:rPr>
          <w:rFonts w:asciiTheme="minorHAnsi" w:hAnsiTheme="minorHAnsi"/>
          <w:sz w:val="22"/>
          <w:szCs w:val="22"/>
        </w:rPr>
      </w:pPr>
      <w:r w:rsidRPr="0039308F">
        <w:rPr>
          <w:rFonts w:asciiTheme="minorHAnsi" w:hAnsiTheme="minorHAnsi"/>
          <w:sz w:val="22"/>
          <w:szCs w:val="22"/>
        </w:rPr>
        <w:t>stephanieg@cda.org.au</w:t>
      </w:r>
    </w:p>
    <w:p w14:paraId="35D4FF21" w14:textId="77777777" w:rsidR="004C52DF" w:rsidRPr="0039308F" w:rsidRDefault="004C52DF" w:rsidP="004C52DF">
      <w:pPr>
        <w:pStyle w:val="Body"/>
        <w:spacing w:after="0" w:line="240" w:lineRule="auto"/>
        <w:rPr>
          <w:rFonts w:asciiTheme="minorHAnsi" w:hAnsiTheme="minorHAnsi"/>
          <w:color w:val="0563C1" w:themeColor="hyperlink"/>
          <w:sz w:val="22"/>
          <w:szCs w:val="22"/>
          <w:u w:val="single"/>
        </w:rPr>
      </w:pPr>
      <w:hyperlink r:id="rId9" w:history="1">
        <w:r w:rsidRPr="0039308F">
          <w:rPr>
            <w:rStyle w:val="Hyperlink"/>
            <w:rFonts w:asciiTheme="minorHAnsi" w:hAnsiTheme="minorHAnsi"/>
            <w:sz w:val="22"/>
            <w:szCs w:val="22"/>
          </w:rPr>
          <w:t>www.cda.org.au</w:t>
        </w:r>
      </w:hyperlink>
    </w:p>
    <w:p w14:paraId="7330B13C" w14:textId="6939B9A4" w:rsidR="0072584C" w:rsidRPr="0072584C" w:rsidRDefault="0072584C" w:rsidP="0039308F">
      <w:pPr>
        <w:pStyle w:val="ListParagraph"/>
        <w:ind w:left="0"/>
      </w:pPr>
    </w:p>
    <w:sectPr w:rsidR="0072584C" w:rsidRPr="0072584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08614" w14:textId="77777777" w:rsidR="008579A2" w:rsidRDefault="008579A2" w:rsidP="00E17F14">
      <w:r>
        <w:separator/>
      </w:r>
    </w:p>
  </w:endnote>
  <w:endnote w:type="continuationSeparator" w:id="0">
    <w:p w14:paraId="037BC523" w14:textId="77777777" w:rsidR="008579A2" w:rsidRDefault="008579A2" w:rsidP="00E17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30808" w14:textId="77777777" w:rsidR="00CC2939" w:rsidRPr="00CF3A78" w:rsidRDefault="00CC2939" w:rsidP="00CC2939">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973BA8" w:rsidRPr="00973BA8">
      <w:rPr>
        <w:rFonts w:eastAsiaTheme="majorEastAsia" w:cstheme="majorBidi"/>
        <w:noProof/>
      </w:rPr>
      <w:t>8</w:t>
    </w:r>
    <w:r w:rsidRPr="00CF3A78">
      <w:rPr>
        <w:rFonts w:eastAsiaTheme="majorEastAsia" w:cstheme="majorBidi"/>
        <w:noProof/>
      </w:rPr>
      <w:fldChar w:fldCharType="end"/>
    </w:r>
  </w:p>
  <w:p w14:paraId="00C649E2" w14:textId="77777777" w:rsidR="00473002" w:rsidRDefault="00473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F7388" w14:textId="77777777" w:rsidR="008579A2" w:rsidRDefault="008579A2" w:rsidP="00E17F14">
      <w:r>
        <w:separator/>
      </w:r>
    </w:p>
  </w:footnote>
  <w:footnote w:type="continuationSeparator" w:id="0">
    <w:p w14:paraId="4D11368D" w14:textId="77777777" w:rsidR="008579A2" w:rsidRDefault="008579A2" w:rsidP="00E17F14">
      <w:r>
        <w:continuationSeparator/>
      </w:r>
    </w:p>
  </w:footnote>
  <w:footnote w:id="1">
    <w:p w14:paraId="1E1490B1" w14:textId="77777777" w:rsidR="002D5C10" w:rsidRPr="0039308F" w:rsidRDefault="002D5C10">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Productivity Commission 2011, </w:t>
      </w:r>
      <w:r w:rsidR="00352C3A" w:rsidRPr="0039308F">
        <w:rPr>
          <w:i/>
          <w:sz w:val="19"/>
          <w:szCs w:val="19"/>
        </w:rPr>
        <w:t xml:space="preserve">Disability Care and Support: Productivity Commission Inquiry Report Overview and Recommendations, </w:t>
      </w:r>
      <w:r w:rsidR="00352C3A" w:rsidRPr="0039308F">
        <w:rPr>
          <w:sz w:val="19"/>
          <w:szCs w:val="19"/>
        </w:rPr>
        <w:t>Commonwealth of Australia, Canberra, p. 2.</w:t>
      </w:r>
    </w:p>
  </w:footnote>
  <w:footnote w:id="2">
    <w:p w14:paraId="15FF861C" w14:textId="77777777" w:rsidR="00A850A6" w:rsidRPr="0039308F" w:rsidRDefault="00A850A6">
      <w:pPr>
        <w:pStyle w:val="FootnoteText"/>
        <w:rPr>
          <w:sz w:val="19"/>
          <w:szCs w:val="19"/>
        </w:rPr>
      </w:pPr>
      <w:r w:rsidRPr="0039308F">
        <w:rPr>
          <w:rStyle w:val="FootnoteReference"/>
          <w:sz w:val="19"/>
          <w:szCs w:val="19"/>
        </w:rPr>
        <w:footnoteRef/>
      </w:r>
      <w:r w:rsidRPr="0039308F">
        <w:rPr>
          <w:sz w:val="19"/>
          <w:szCs w:val="19"/>
        </w:rPr>
        <w:t xml:space="preserve"> </w:t>
      </w:r>
      <w:r w:rsidRPr="0039308F">
        <w:rPr>
          <w:i/>
          <w:sz w:val="19"/>
          <w:szCs w:val="19"/>
        </w:rPr>
        <w:t xml:space="preserve">National Disability Insurance Scheme Act 2013 (Cth), </w:t>
      </w:r>
      <w:r w:rsidRPr="0039308F">
        <w:rPr>
          <w:sz w:val="19"/>
          <w:szCs w:val="19"/>
        </w:rPr>
        <w:t>part 2.3.</w:t>
      </w:r>
    </w:p>
  </w:footnote>
  <w:footnote w:id="3">
    <w:p w14:paraId="06C88F4E" w14:textId="77777777" w:rsidR="00131DB7" w:rsidRPr="0039308F" w:rsidRDefault="00131DB7">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National Disability Insurance Scheme 2015, </w:t>
      </w:r>
      <w:r w:rsidR="00352C3A" w:rsidRPr="0039308F">
        <w:rPr>
          <w:i/>
          <w:sz w:val="19"/>
          <w:szCs w:val="19"/>
        </w:rPr>
        <w:t xml:space="preserve">A Framework for Information, Linkages and Capacity Building, </w:t>
      </w:r>
      <w:r w:rsidR="00352C3A" w:rsidRPr="0039308F">
        <w:rPr>
          <w:sz w:val="19"/>
          <w:szCs w:val="19"/>
        </w:rPr>
        <w:t>Department of Social Services, Canberra, p</w:t>
      </w:r>
      <w:r w:rsidRPr="0039308F">
        <w:rPr>
          <w:sz w:val="19"/>
          <w:szCs w:val="19"/>
        </w:rPr>
        <w:t>. 3.</w:t>
      </w:r>
    </w:p>
  </w:footnote>
  <w:footnote w:id="4">
    <w:p w14:paraId="572E607A" w14:textId="77777777" w:rsidR="003F3E36" w:rsidRPr="0039308F" w:rsidRDefault="003F3E36">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Ibid, p</w:t>
      </w:r>
      <w:r w:rsidRPr="0039308F">
        <w:rPr>
          <w:sz w:val="19"/>
          <w:szCs w:val="19"/>
        </w:rPr>
        <w:t>. 3.</w:t>
      </w:r>
    </w:p>
  </w:footnote>
  <w:footnote w:id="5">
    <w:p w14:paraId="65F9A214" w14:textId="77777777" w:rsidR="0017395F" w:rsidRPr="0039308F" w:rsidRDefault="0017395F" w:rsidP="0017395F">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National Disability Insurance Scheme 2015, </w:t>
      </w:r>
      <w:r w:rsidR="00352C3A" w:rsidRPr="0039308F">
        <w:rPr>
          <w:i/>
          <w:sz w:val="19"/>
          <w:szCs w:val="19"/>
        </w:rPr>
        <w:t>A Framework for Information, Linkages and Capacity Building</w:t>
      </w:r>
      <w:r w:rsidR="00352C3A" w:rsidRPr="0039308F">
        <w:rPr>
          <w:sz w:val="19"/>
          <w:szCs w:val="19"/>
        </w:rPr>
        <w:t xml:space="preserve">, p. </w:t>
      </w:r>
      <w:r w:rsidRPr="0039308F">
        <w:rPr>
          <w:sz w:val="19"/>
          <w:szCs w:val="19"/>
        </w:rPr>
        <w:t>1.</w:t>
      </w:r>
    </w:p>
  </w:footnote>
  <w:footnote w:id="6">
    <w:p w14:paraId="34CBD7D2" w14:textId="77777777" w:rsidR="000932AD" w:rsidRPr="0039308F" w:rsidRDefault="000932AD" w:rsidP="000932AD">
      <w:pPr>
        <w:pStyle w:val="FootnoteText"/>
        <w:rPr>
          <w:sz w:val="19"/>
          <w:szCs w:val="19"/>
        </w:rPr>
      </w:pPr>
      <w:r w:rsidRPr="0039308F">
        <w:rPr>
          <w:rStyle w:val="FootnoteReference"/>
          <w:sz w:val="19"/>
          <w:szCs w:val="19"/>
        </w:rPr>
        <w:footnoteRef/>
      </w:r>
      <w:r w:rsidR="00352C3A" w:rsidRPr="0039308F">
        <w:rPr>
          <w:sz w:val="19"/>
          <w:szCs w:val="19"/>
        </w:rPr>
        <w:t xml:space="preserve"> Ibid, p</w:t>
      </w:r>
      <w:r w:rsidRPr="0039308F">
        <w:rPr>
          <w:sz w:val="19"/>
          <w:szCs w:val="19"/>
        </w:rPr>
        <w:t>. 6.</w:t>
      </w:r>
    </w:p>
  </w:footnote>
  <w:footnote w:id="7">
    <w:p w14:paraId="0B23651D" w14:textId="77777777" w:rsidR="00486672" w:rsidRPr="0039308F" w:rsidRDefault="00486672">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National Disability Insurance Scheme 2015, </w:t>
      </w:r>
      <w:r w:rsidR="00352C3A" w:rsidRPr="0039308F">
        <w:rPr>
          <w:i/>
          <w:sz w:val="19"/>
          <w:szCs w:val="19"/>
        </w:rPr>
        <w:t>A Framework for Information, Linkages and Capacity Building</w:t>
      </w:r>
      <w:r w:rsidR="00352C3A" w:rsidRPr="0039308F">
        <w:rPr>
          <w:sz w:val="19"/>
          <w:szCs w:val="19"/>
        </w:rPr>
        <w:t>, p</w:t>
      </w:r>
      <w:r w:rsidRPr="0039308F">
        <w:rPr>
          <w:sz w:val="19"/>
          <w:szCs w:val="19"/>
        </w:rPr>
        <w:t xml:space="preserve">. 7. </w:t>
      </w:r>
    </w:p>
  </w:footnote>
  <w:footnote w:id="8">
    <w:p w14:paraId="67EACA7F" w14:textId="77777777" w:rsidR="001C7596" w:rsidRPr="0039308F" w:rsidRDefault="001C7596">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United Nations General Assembly 1989, </w:t>
      </w:r>
      <w:r w:rsidR="00352C3A" w:rsidRPr="0039308F">
        <w:rPr>
          <w:i/>
          <w:sz w:val="19"/>
          <w:szCs w:val="19"/>
        </w:rPr>
        <w:t>Convention on the Rights of the Child</w:t>
      </w:r>
      <w:r w:rsidR="00352C3A" w:rsidRPr="0039308F">
        <w:rPr>
          <w:sz w:val="19"/>
          <w:szCs w:val="19"/>
        </w:rPr>
        <w:t>.</w:t>
      </w:r>
    </w:p>
  </w:footnote>
  <w:footnote w:id="9">
    <w:p w14:paraId="3567567C" w14:textId="77777777" w:rsidR="00DF3D11" w:rsidRPr="0039308F" w:rsidRDefault="00DF3D11" w:rsidP="00DF3D11">
      <w:pPr>
        <w:pStyle w:val="FootnoteText"/>
        <w:rPr>
          <w:sz w:val="19"/>
          <w:szCs w:val="19"/>
        </w:rPr>
      </w:pPr>
      <w:r w:rsidRPr="0039308F">
        <w:rPr>
          <w:rStyle w:val="FootnoteReference"/>
          <w:sz w:val="19"/>
          <w:szCs w:val="19"/>
        </w:rPr>
        <w:footnoteRef/>
      </w:r>
      <w:r w:rsidRPr="0039308F">
        <w:rPr>
          <w:sz w:val="19"/>
          <w:szCs w:val="19"/>
        </w:rPr>
        <w:t xml:space="preserve"> Council of Australian Governments 2011, </w:t>
      </w:r>
      <w:r w:rsidRPr="0039308F">
        <w:rPr>
          <w:i/>
          <w:sz w:val="19"/>
          <w:szCs w:val="19"/>
        </w:rPr>
        <w:t xml:space="preserve">National Disability Strategy 2010-2020, </w:t>
      </w:r>
      <w:r w:rsidRPr="0039308F">
        <w:rPr>
          <w:sz w:val="19"/>
          <w:szCs w:val="19"/>
        </w:rPr>
        <w:t>Commonwealth of Australia, Canberra, p. 9.</w:t>
      </w:r>
    </w:p>
  </w:footnote>
  <w:footnote w:id="10">
    <w:p w14:paraId="586D9F8C" w14:textId="77777777" w:rsidR="00DF3D11" w:rsidRPr="0039308F" w:rsidRDefault="00DF3D11" w:rsidP="00DF3D11">
      <w:pPr>
        <w:pStyle w:val="FootnoteText"/>
        <w:rPr>
          <w:sz w:val="19"/>
          <w:szCs w:val="19"/>
        </w:rPr>
      </w:pPr>
      <w:r w:rsidRPr="0039308F">
        <w:rPr>
          <w:rStyle w:val="FootnoteReference"/>
          <w:sz w:val="19"/>
          <w:szCs w:val="19"/>
        </w:rPr>
        <w:footnoteRef/>
      </w:r>
      <w:r w:rsidRPr="0039308F">
        <w:rPr>
          <w:sz w:val="19"/>
          <w:szCs w:val="19"/>
        </w:rPr>
        <w:t xml:space="preserve"> Ibid, p. 9.</w:t>
      </w:r>
    </w:p>
  </w:footnote>
  <w:footnote w:id="11">
    <w:p w14:paraId="008EA929" w14:textId="77777777" w:rsidR="00DF3D11" w:rsidRPr="0039308F" w:rsidRDefault="00DF3D11" w:rsidP="00DF3D11">
      <w:pPr>
        <w:pStyle w:val="FootnoteText"/>
        <w:rPr>
          <w:sz w:val="19"/>
          <w:szCs w:val="19"/>
        </w:rPr>
      </w:pPr>
      <w:r w:rsidRPr="0039308F">
        <w:rPr>
          <w:rStyle w:val="FootnoteReference"/>
          <w:sz w:val="19"/>
          <w:szCs w:val="19"/>
        </w:rPr>
        <w:footnoteRef/>
      </w:r>
      <w:r w:rsidRPr="0039308F">
        <w:rPr>
          <w:sz w:val="19"/>
          <w:szCs w:val="19"/>
        </w:rPr>
        <w:t xml:space="preserve"> National Disability Insurance Scheme 2015, </w:t>
      </w:r>
      <w:r w:rsidRPr="0039308F">
        <w:rPr>
          <w:i/>
          <w:sz w:val="19"/>
          <w:szCs w:val="19"/>
        </w:rPr>
        <w:t>A Framework for Information, Linkages and Capacity Building</w:t>
      </w:r>
      <w:r w:rsidRPr="0039308F">
        <w:rPr>
          <w:sz w:val="19"/>
          <w:szCs w:val="19"/>
        </w:rPr>
        <w:t>, p. 1.</w:t>
      </w:r>
    </w:p>
  </w:footnote>
  <w:footnote w:id="12">
    <w:p w14:paraId="7BFC4190" w14:textId="77777777" w:rsidR="00EE2E3B" w:rsidRPr="0039308F" w:rsidRDefault="00EE2E3B" w:rsidP="00EE2E3B">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 xml:space="preserve">National Disability Insurance Scheme 2015, </w:t>
      </w:r>
      <w:r w:rsidR="00352C3A" w:rsidRPr="0039308F">
        <w:rPr>
          <w:i/>
          <w:sz w:val="19"/>
          <w:szCs w:val="19"/>
        </w:rPr>
        <w:t>A Framework for Information, Linkages and Capacity Building</w:t>
      </w:r>
      <w:r w:rsidR="00352C3A" w:rsidRPr="0039308F">
        <w:rPr>
          <w:sz w:val="19"/>
          <w:szCs w:val="19"/>
        </w:rPr>
        <w:t>, p. 6.</w:t>
      </w:r>
    </w:p>
  </w:footnote>
  <w:footnote w:id="13">
    <w:p w14:paraId="176C2FF2" w14:textId="77777777" w:rsidR="00C02EBF" w:rsidRPr="0039308F" w:rsidRDefault="00C02EBF">
      <w:pPr>
        <w:pStyle w:val="FootnoteText"/>
        <w:rPr>
          <w:sz w:val="19"/>
          <w:szCs w:val="19"/>
        </w:rPr>
      </w:pPr>
      <w:r w:rsidRPr="0039308F">
        <w:rPr>
          <w:rStyle w:val="FootnoteReference"/>
          <w:sz w:val="19"/>
          <w:szCs w:val="19"/>
        </w:rPr>
        <w:footnoteRef/>
      </w:r>
      <w:r w:rsidRPr="0039308F">
        <w:rPr>
          <w:sz w:val="19"/>
          <w:szCs w:val="19"/>
        </w:rPr>
        <w:t xml:space="preserve"> </w:t>
      </w:r>
      <w:r w:rsidR="00335707" w:rsidRPr="0039308F">
        <w:rPr>
          <w:sz w:val="19"/>
          <w:szCs w:val="19"/>
        </w:rPr>
        <w:t xml:space="preserve">National Disability Insurance Scheme 2015, </w:t>
      </w:r>
      <w:r w:rsidR="00335707" w:rsidRPr="0039308F">
        <w:rPr>
          <w:i/>
          <w:sz w:val="19"/>
          <w:szCs w:val="19"/>
        </w:rPr>
        <w:t>A Framework for Information, Linkages and Capacity Building</w:t>
      </w:r>
      <w:r w:rsidR="00335707" w:rsidRPr="0039308F">
        <w:rPr>
          <w:sz w:val="19"/>
          <w:szCs w:val="19"/>
        </w:rPr>
        <w:t xml:space="preserve">, p. </w:t>
      </w:r>
      <w:r w:rsidRPr="0039308F">
        <w:rPr>
          <w:sz w:val="19"/>
          <w:szCs w:val="19"/>
        </w:rPr>
        <w:t>6.</w:t>
      </w:r>
    </w:p>
  </w:footnote>
  <w:footnote w:id="14">
    <w:p w14:paraId="2C7814E2" w14:textId="77777777" w:rsidR="00EE2E3B" w:rsidRPr="0039308F" w:rsidRDefault="00EE2E3B" w:rsidP="00EE2E3B">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Ibid, p</w:t>
      </w:r>
      <w:r w:rsidRPr="0039308F">
        <w:rPr>
          <w:sz w:val="19"/>
          <w:szCs w:val="19"/>
        </w:rPr>
        <w:t xml:space="preserve">. 7. </w:t>
      </w:r>
    </w:p>
  </w:footnote>
  <w:footnote w:id="15">
    <w:p w14:paraId="15C5DDE6" w14:textId="77777777" w:rsidR="008C2745" w:rsidRPr="0039308F" w:rsidRDefault="008C2745" w:rsidP="008C2745">
      <w:pPr>
        <w:pStyle w:val="FootnoteText"/>
        <w:rPr>
          <w:sz w:val="19"/>
          <w:szCs w:val="19"/>
        </w:rPr>
      </w:pPr>
      <w:r w:rsidRPr="0039308F">
        <w:rPr>
          <w:rStyle w:val="FootnoteReference"/>
          <w:sz w:val="19"/>
          <w:szCs w:val="19"/>
        </w:rPr>
        <w:footnoteRef/>
      </w:r>
      <w:r w:rsidRPr="0039308F">
        <w:rPr>
          <w:sz w:val="19"/>
          <w:szCs w:val="19"/>
        </w:rPr>
        <w:t xml:space="preserve"> Ibid, p. 7.</w:t>
      </w:r>
    </w:p>
  </w:footnote>
  <w:footnote w:id="16">
    <w:p w14:paraId="62DE7215" w14:textId="77777777" w:rsidR="00AB7A46" w:rsidRPr="0039308F" w:rsidRDefault="00AB7A46" w:rsidP="00AB7A46">
      <w:pPr>
        <w:pStyle w:val="FootnoteText"/>
        <w:rPr>
          <w:sz w:val="19"/>
          <w:szCs w:val="19"/>
        </w:rPr>
      </w:pPr>
      <w:r w:rsidRPr="0039308F">
        <w:rPr>
          <w:rStyle w:val="FootnoteReference"/>
          <w:sz w:val="19"/>
          <w:szCs w:val="19"/>
        </w:rPr>
        <w:footnoteRef/>
      </w:r>
      <w:r w:rsidR="00352C3A" w:rsidRPr="0039308F">
        <w:rPr>
          <w:sz w:val="19"/>
          <w:szCs w:val="19"/>
        </w:rPr>
        <w:t xml:space="preserve"> National Disability Insurance Scheme 2015, </w:t>
      </w:r>
      <w:r w:rsidR="00352C3A" w:rsidRPr="0039308F">
        <w:rPr>
          <w:i/>
          <w:sz w:val="19"/>
          <w:szCs w:val="19"/>
        </w:rPr>
        <w:t>A Framework for Information, Linkages and Capacity Building</w:t>
      </w:r>
      <w:r w:rsidR="00352C3A" w:rsidRPr="0039308F">
        <w:rPr>
          <w:sz w:val="19"/>
          <w:szCs w:val="19"/>
        </w:rPr>
        <w:t>, p</w:t>
      </w:r>
      <w:r w:rsidRPr="0039308F">
        <w:rPr>
          <w:sz w:val="19"/>
          <w:szCs w:val="19"/>
        </w:rPr>
        <w:t>. 8.</w:t>
      </w:r>
    </w:p>
  </w:footnote>
  <w:footnote w:id="17">
    <w:p w14:paraId="0ACB6BF2" w14:textId="77777777" w:rsidR="00841995" w:rsidRPr="0039308F" w:rsidRDefault="00841995">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Ibid, p. 6.</w:t>
      </w:r>
    </w:p>
  </w:footnote>
  <w:footnote w:id="18">
    <w:p w14:paraId="38F8CE00" w14:textId="77777777" w:rsidR="004711E5" w:rsidRPr="0039308F" w:rsidRDefault="004711E5" w:rsidP="004711E5">
      <w:pPr>
        <w:pStyle w:val="FootnoteText"/>
        <w:rPr>
          <w:sz w:val="19"/>
          <w:szCs w:val="19"/>
        </w:rPr>
      </w:pPr>
      <w:r w:rsidRPr="0039308F">
        <w:rPr>
          <w:rStyle w:val="FootnoteReference"/>
          <w:sz w:val="19"/>
          <w:szCs w:val="19"/>
        </w:rPr>
        <w:footnoteRef/>
      </w:r>
      <w:r w:rsidR="00352C3A" w:rsidRPr="0039308F">
        <w:rPr>
          <w:sz w:val="19"/>
          <w:szCs w:val="19"/>
        </w:rPr>
        <w:t xml:space="preserve"> Ibid, p</w:t>
      </w:r>
      <w:r w:rsidRPr="0039308F">
        <w:rPr>
          <w:sz w:val="19"/>
          <w:szCs w:val="19"/>
        </w:rPr>
        <w:t>.</w:t>
      </w:r>
      <w:r w:rsidR="00352C3A" w:rsidRPr="0039308F">
        <w:rPr>
          <w:sz w:val="19"/>
          <w:szCs w:val="19"/>
        </w:rPr>
        <w:t xml:space="preserve"> </w:t>
      </w:r>
      <w:r w:rsidRPr="0039308F">
        <w:rPr>
          <w:sz w:val="19"/>
          <w:szCs w:val="19"/>
        </w:rPr>
        <w:t>7.</w:t>
      </w:r>
    </w:p>
  </w:footnote>
  <w:footnote w:id="19">
    <w:p w14:paraId="3C039A7C" w14:textId="77777777" w:rsidR="00E73DE1" w:rsidRPr="0039308F" w:rsidRDefault="00E73DE1" w:rsidP="00E73DE1">
      <w:pPr>
        <w:pStyle w:val="FootnoteText"/>
        <w:rPr>
          <w:sz w:val="19"/>
          <w:szCs w:val="19"/>
        </w:rPr>
      </w:pPr>
      <w:r w:rsidRPr="0039308F">
        <w:rPr>
          <w:rStyle w:val="FootnoteReference"/>
          <w:sz w:val="19"/>
          <w:szCs w:val="19"/>
        </w:rPr>
        <w:footnoteRef/>
      </w:r>
      <w:r w:rsidRPr="0039308F">
        <w:rPr>
          <w:sz w:val="19"/>
          <w:szCs w:val="19"/>
        </w:rPr>
        <w:t xml:space="preserve"> </w:t>
      </w:r>
      <w:r w:rsidR="00352C3A" w:rsidRPr="0039308F">
        <w:rPr>
          <w:sz w:val="19"/>
          <w:szCs w:val="19"/>
        </w:rPr>
        <w:t>Ibid, p</w:t>
      </w:r>
      <w:r w:rsidRPr="0039308F">
        <w:rPr>
          <w:sz w:val="19"/>
          <w:szCs w:val="19"/>
        </w:rPr>
        <w:t>. 8.</w:t>
      </w:r>
    </w:p>
  </w:footnote>
  <w:footnote w:id="20">
    <w:p w14:paraId="714A61A2" w14:textId="77777777" w:rsidR="00E73DE1" w:rsidRPr="0039308F" w:rsidRDefault="00E73DE1" w:rsidP="00E73DE1">
      <w:pPr>
        <w:pStyle w:val="FootnoteText"/>
        <w:rPr>
          <w:sz w:val="19"/>
          <w:szCs w:val="19"/>
        </w:rPr>
      </w:pPr>
      <w:r w:rsidRPr="0039308F">
        <w:rPr>
          <w:rStyle w:val="FootnoteReference"/>
          <w:sz w:val="19"/>
          <w:szCs w:val="19"/>
        </w:rPr>
        <w:footnoteRef/>
      </w:r>
      <w:r w:rsidR="00352C3A" w:rsidRPr="0039308F">
        <w:rPr>
          <w:sz w:val="19"/>
          <w:szCs w:val="19"/>
        </w:rPr>
        <w:t xml:space="preserve"> Ibid, p.</w:t>
      </w:r>
      <w:r w:rsidRPr="0039308F">
        <w:rPr>
          <w:sz w:val="19"/>
          <w:szCs w:val="19"/>
        </w:rPr>
        <w:t xml:space="preserve"> 8.</w:t>
      </w:r>
    </w:p>
  </w:footnote>
  <w:footnote w:id="21">
    <w:p w14:paraId="4D9074D8" w14:textId="1CE42250" w:rsidR="00D65EE7" w:rsidRPr="0039308F" w:rsidRDefault="00D65EE7">
      <w:pPr>
        <w:pStyle w:val="FootnoteText"/>
        <w:rPr>
          <w:sz w:val="18"/>
          <w:szCs w:val="18"/>
        </w:rPr>
      </w:pPr>
      <w:r w:rsidRPr="0039308F">
        <w:rPr>
          <w:rStyle w:val="FootnoteReference"/>
          <w:sz w:val="19"/>
          <w:szCs w:val="19"/>
        </w:rPr>
        <w:footnoteRef/>
      </w:r>
      <w:r w:rsidRPr="0039308F">
        <w:rPr>
          <w:sz w:val="19"/>
          <w:szCs w:val="19"/>
        </w:rPr>
        <w:t xml:space="preserve"> </w:t>
      </w:r>
      <w:r w:rsidR="006C6E8E">
        <w:rPr>
          <w:sz w:val="19"/>
          <w:szCs w:val="19"/>
        </w:rPr>
        <w:t>Ibid,</w:t>
      </w:r>
      <w:r w:rsidR="00335707" w:rsidRPr="0039308F">
        <w:rPr>
          <w:sz w:val="19"/>
          <w:szCs w:val="19"/>
        </w:rPr>
        <w:t xml:space="preserve"> p. </w:t>
      </w:r>
      <w:r w:rsidRPr="0039308F">
        <w:rPr>
          <w:sz w:val="19"/>
          <w:szCs w:val="19"/>
        </w:rPr>
        <w:t>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F5498"/>
    <w:multiLevelType w:val="hybridMultilevel"/>
    <w:tmpl w:val="A596D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34FCF"/>
    <w:multiLevelType w:val="hybridMultilevel"/>
    <w:tmpl w:val="EE467F18"/>
    <w:lvl w:ilvl="0" w:tplc="0680D78E">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D120BEA"/>
    <w:multiLevelType w:val="hybridMultilevel"/>
    <w:tmpl w:val="64E04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F5C782D"/>
    <w:multiLevelType w:val="hybridMultilevel"/>
    <w:tmpl w:val="4BB25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9972DF"/>
    <w:multiLevelType w:val="hybridMultilevel"/>
    <w:tmpl w:val="2048A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F00905"/>
    <w:multiLevelType w:val="hybridMultilevel"/>
    <w:tmpl w:val="5E6CB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DE33A30"/>
    <w:multiLevelType w:val="hybridMultilevel"/>
    <w:tmpl w:val="25BAB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3B7A11"/>
    <w:multiLevelType w:val="hybridMultilevel"/>
    <w:tmpl w:val="F686F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032F74"/>
    <w:multiLevelType w:val="hybridMultilevel"/>
    <w:tmpl w:val="73AE55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0403A56"/>
    <w:multiLevelType w:val="hybridMultilevel"/>
    <w:tmpl w:val="A9FA6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08C343D"/>
    <w:multiLevelType w:val="hybridMultilevel"/>
    <w:tmpl w:val="972E551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3FB73F7"/>
    <w:multiLevelType w:val="hybridMultilevel"/>
    <w:tmpl w:val="202487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316A8D"/>
    <w:multiLevelType w:val="hybridMultilevel"/>
    <w:tmpl w:val="CBC4C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7D9338F"/>
    <w:multiLevelType w:val="hybridMultilevel"/>
    <w:tmpl w:val="629C93F4"/>
    <w:lvl w:ilvl="0" w:tplc="1EA63B68">
      <w:numFmt w:val="bullet"/>
      <w:lvlText w:val="-"/>
      <w:lvlJc w:val="left"/>
      <w:pPr>
        <w:ind w:left="405" w:hanging="360"/>
      </w:pPr>
      <w:rPr>
        <w:rFonts w:ascii="Calibri" w:eastAsiaTheme="minorHAnsi" w:hAnsi="Calibri" w:cstheme="minorBid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14">
    <w:nsid w:val="3C303671"/>
    <w:multiLevelType w:val="hybridMultilevel"/>
    <w:tmpl w:val="84646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C8C0F4A"/>
    <w:multiLevelType w:val="hybridMultilevel"/>
    <w:tmpl w:val="DA162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E74323F"/>
    <w:multiLevelType w:val="hybridMultilevel"/>
    <w:tmpl w:val="D91A5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49E2371"/>
    <w:multiLevelType w:val="hybridMultilevel"/>
    <w:tmpl w:val="B66844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AE44B48"/>
    <w:multiLevelType w:val="hybridMultilevel"/>
    <w:tmpl w:val="93186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113E2F"/>
    <w:multiLevelType w:val="hybridMultilevel"/>
    <w:tmpl w:val="97C84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38A2219"/>
    <w:multiLevelType w:val="hybridMultilevel"/>
    <w:tmpl w:val="BD58659E"/>
    <w:lvl w:ilvl="0" w:tplc="FBB605BE">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53E959A2"/>
    <w:multiLevelType w:val="hybridMultilevel"/>
    <w:tmpl w:val="5EC89C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51E208B"/>
    <w:multiLevelType w:val="hybridMultilevel"/>
    <w:tmpl w:val="3B9C2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5295E02"/>
    <w:multiLevelType w:val="hybridMultilevel"/>
    <w:tmpl w:val="612A0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6FA01DC"/>
    <w:multiLevelType w:val="hybridMultilevel"/>
    <w:tmpl w:val="0CC41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DAD01E8"/>
    <w:multiLevelType w:val="hybridMultilevel"/>
    <w:tmpl w:val="AFC23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DEF55B6"/>
    <w:multiLevelType w:val="hybridMultilevel"/>
    <w:tmpl w:val="2BDE2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0F861E9"/>
    <w:multiLevelType w:val="hybridMultilevel"/>
    <w:tmpl w:val="FB2EB6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9245DB1"/>
    <w:multiLevelType w:val="hybridMultilevel"/>
    <w:tmpl w:val="33A468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9890A3A"/>
    <w:multiLevelType w:val="hybridMultilevel"/>
    <w:tmpl w:val="147C5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BF8518D"/>
    <w:multiLevelType w:val="hybridMultilevel"/>
    <w:tmpl w:val="B9F0A1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E5A4DDE"/>
    <w:multiLevelType w:val="hybridMultilevel"/>
    <w:tmpl w:val="E13EAC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F444491"/>
    <w:multiLevelType w:val="hybridMultilevel"/>
    <w:tmpl w:val="F93863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1064A62"/>
    <w:multiLevelType w:val="hybridMultilevel"/>
    <w:tmpl w:val="16C4C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45E03E1"/>
    <w:multiLevelType w:val="hybridMultilevel"/>
    <w:tmpl w:val="EE26A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4B34B89"/>
    <w:multiLevelType w:val="hybridMultilevel"/>
    <w:tmpl w:val="37620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D8E0459"/>
    <w:multiLevelType w:val="hybridMultilevel"/>
    <w:tmpl w:val="D9984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22"/>
  </w:num>
  <w:num w:numId="4">
    <w:abstractNumId w:val="34"/>
  </w:num>
  <w:num w:numId="5">
    <w:abstractNumId w:val="3"/>
  </w:num>
  <w:num w:numId="6">
    <w:abstractNumId w:val="19"/>
  </w:num>
  <w:num w:numId="7">
    <w:abstractNumId w:val="36"/>
  </w:num>
  <w:num w:numId="8">
    <w:abstractNumId w:val="9"/>
  </w:num>
  <w:num w:numId="9">
    <w:abstractNumId w:val="12"/>
  </w:num>
  <w:num w:numId="10">
    <w:abstractNumId w:val="0"/>
  </w:num>
  <w:num w:numId="11">
    <w:abstractNumId w:val="25"/>
  </w:num>
  <w:num w:numId="12">
    <w:abstractNumId w:val="5"/>
  </w:num>
  <w:num w:numId="13">
    <w:abstractNumId w:val="26"/>
  </w:num>
  <w:num w:numId="14">
    <w:abstractNumId w:val="11"/>
  </w:num>
  <w:num w:numId="15">
    <w:abstractNumId w:val="10"/>
  </w:num>
  <w:num w:numId="16">
    <w:abstractNumId w:val="15"/>
  </w:num>
  <w:num w:numId="17">
    <w:abstractNumId w:val="18"/>
  </w:num>
  <w:num w:numId="18">
    <w:abstractNumId w:val="13"/>
  </w:num>
  <w:num w:numId="19">
    <w:abstractNumId w:val="24"/>
  </w:num>
  <w:num w:numId="20">
    <w:abstractNumId w:val="31"/>
  </w:num>
  <w:num w:numId="21">
    <w:abstractNumId w:val="23"/>
  </w:num>
  <w:num w:numId="22">
    <w:abstractNumId w:val="30"/>
  </w:num>
  <w:num w:numId="23">
    <w:abstractNumId w:val="14"/>
  </w:num>
  <w:num w:numId="24">
    <w:abstractNumId w:val="2"/>
  </w:num>
  <w:num w:numId="25">
    <w:abstractNumId w:val="28"/>
  </w:num>
  <w:num w:numId="26">
    <w:abstractNumId w:val="6"/>
  </w:num>
  <w:num w:numId="27">
    <w:abstractNumId w:val="8"/>
  </w:num>
  <w:num w:numId="28">
    <w:abstractNumId w:val="4"/>
  </w:num>
  <w:num w:numId="29">
    <w:abstractNumId w:val="27"/>
  </w:num>
  <w:num w:numId="30">
    <w:abstractNumId w:val="21"/>
  </w:num>
  <w:num w:numId="31">
    <w:abstractNumId w:val="29"/>
  </w:num>
  <w:num w:numId="32">
    <w:abstractNumId w:val="35"/>
  </w:num>
  <w:num w:numId="33">
    <w:abstractNumId w:val="20"/>
  </w:num>
  <w:num w:numId="34">
    <w:abstractNumId w:val="32"/>
  </w:num>
  <w:num w:numId="35">
    <w:abstractNumId w:val="16"/>
  </w:num>
  <w:num w:numId="36">
    <w:abstractNumId w:val="3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5C2"/>
    <w:rsid w:val="0000370E"/>
    <w:rsid w:val="00003754"/>
    <w:rsid w:val="00012F82"/>
    <w:rsid w:val="000167CB"/>
    <w:rsid w:val="00034717"/>
    <w:rsid w:val="000348B0"/>
    <w:rsid w:val="00035C94"/>
    <w:rsid w:val="0005022E"/>
    <w:rsid w:val="00060441"/>
    <w:rsid w:val="00066215"/>
    <w:rsid w:val="00073322"/>
    <w:rsid w:val="0007414B"/>
    <w:rsid w:val="00092FB3"/>
    <w:rsid w:val="000932AD"/>
    <w:rsid w:val="000941D6"/>
    <w:rsid w:val="000A3071"/>
    <w:rsid w:val="000A6634"/>
    <w:rsid w:val="000B0BDE"/>
    <w:rsid w:val="000B4B4F"/>
    <w:rsid w:val="000C045F"/>
    <w:rsid w:val="000C0F1D"/>
    <w:rsid w:val="000C5B78"/>
    <w:rsid w:val="000C722D"/>
    <w:rsid w:val="000D158D"/>
    <w:rsid w:val="000D7B87"/>
    <w:rsid w:val="000F15A5"/>
    <w:rsid w:val="000F43F1"/>
    <w:rsid w:val="001038C6"/>
    <w:rsid w:val="001055D1"/>
    <w:rsid w:val="0010581F"/>
    <w:rsid w:val="0010602B"/>
    <w:rsid w:val="00116D65"/>
    <w:rsid w:val="001205CF"/>
    <w:rsid w:val="00123EC4"/>
    <w:rsid w:val="00124B54"/>
    <w:rsid w:val="00127FA9"/>
    <w:rsid w:val="00131DB7"/>
    <w:rsid w:val="00152FCC"/>
    <w:rsid w:val="00161BBC"/>
    <w:rsid w:val="00161CB7"/>
    <w:rsid w:val="0017055E"/>
    <w:rsid w:val="00172B0B"/>
    <w:rsid w:val="0017395F"/>
    <w:rsid w:val="00182006"/>
    <w:rsid w:val="001821E8"/>
    <w:rsid w:val="00190EF1"/>
    <w:rsid w:val="001A32BB"/>
    <w:rsid w:val="001A6766"/>
    <w:rsid w:val="001A79C4"/>
    <w:rsid w:val="001A7A10"/>
    <w:rsid w:val="001C7596"/>
    <w:rsid w:val="001E7468"/>
    <w:rsid w:val="001F7832"/>
    <w:rsid w:val="00207B29"/>
    <w:rsid w:val="00234F7A"/>
    <w:rsid w:val="00293B72"/>
    <w:rsid w:val="002950D0"/>
    <w:rsid w:val="0029691D"/>
    <w:rsid w:val="002A22AF"/>
    <w:rsid w:val="002B22AD"/>
    <w:rsid w:val="002B4323"/>
    <w:rsid w:val="002B5C60"/>
    <w:rsid w:val="002C53F1"/>
    <w:rsid w:val="002D5C10"/>
    <w:rsid w:val="002E7CB4"/>
    <w:rsid w:val="00300A88"/>
    <w:rsid w:val="003024EF"/>
    <w:rsid w:val="003102E7"/>
    <w:rsid w:val="0031755E"/>
    <w:rsid w:val="00326F4F"/>
    <w:rsid w:val="00331EC2"/>
    <w:rsid w:val="003340EA"/>
    <w:rsid w:val="00335707"/>
    <w:rsid w:val="0034316A"/>
    <w:rsid w:val="00352C3A"/>
    <w:rsid w:val="003532BE"/>
    <w:rsid w:val="003578C6"/>
    <w:rsid w:val="00361740"/>
    <w:rsid w:val="003855FF"/>
    <w:rsid w:val="00391F47"/>
    <w:rsid w:val="0039308F"/>
    <w:rsid w:val="003A4AF9"/>
    <w:rsid w:val="003A4FA9"/>
    <w:rsid w:val="003D7AE0"/>
    <w:rsid w:val="003E61CE"/>
    <w:rsid w:val="003F3E36"/>
    <w:rsid w:val="0041293F"/>
    <w:rsid w:val="00417563"/>
    <w:rsid w:val="00427C08"/>
    <w:rsid w:val="00427EFD"/>
    <w:rsid w:val="004328E1"/>
    <w:rsid w:val="0043470F"/>
    <w:rsid w:val="00437928"/>
    <w:rsid w:val="00442D0E"/>
    <w:rsid w:val="0044579F"/>
    <w:rsid w:val="00446CAE"/>
    <w:rsid w:val="004711E5"/>
    <w:rsid w:val="00473002"/>
    <w:rsid w:val="004731CC"/>
    <w:rsid w:val="00474CC9"/>
    <w:rsid w:val="0048241D"/>
    <w:rsid w:val="00486672"/>
    <w:rsid w:val="004A1FAD"/>
    <w:rsid w:val="004A33C3"/>
    <w:rsid w:val="004A6548"/>
    <w:rsid w:val="004B4048"/>
    <w:rsid w:val="004B48F4"/>
    <w:rsid w:val="004B5332"/>
    <w:rsid w:val="004B6BF2"/>
    <w:rsid w:val="004C52DF"/>
    <w:rsid w:val="004C763F"/>
    <w:rsid w:val="004D273D"/>
    <w:rsid w:val="004D56D7"/>
    <w:rsid w:val="004E472C"/>
    <w:rsid w:val="004F1C41"/>
    <w:rsid w:val="004F2FFA"/>
    <w:rsid w:val="004F4D5A"/>
    <w:rsid w:val="0050211A"/>
    <w:rsid w:val="00503B03"/>
    <w:rsid w:val="00504437"/>
    <w:rsid w:val="00510365"/>
    <w:rsid w:val="0051040C"/>
    <w:rsid w:val="005123C6"/>
    <w:rsid w:val="00520C0F"/>
    <w:rsid w:val="00520DF1"/>
    <w:rsid w:val="005242AD"/>
    <w:rsid w:val="00527C69"/>
    <w:rsid w:val="005311AA"/>
    <w:rsid w:val="005345C2"/>
    <w:rsid w:val="0053571D"/>
    <w:rsid w:val="00542DA8"/>
    <w:rsid w:val="005431F2"/>
    <w:rsid w:val="00545A52"/>
    <w:rsid w:val="00547122"/>
    <w:rsid w:val="00550803"/>
    <w:rsid w:val="0056358C"/>
    <w:rsid w:val="00565204"/>
    <w:rsid w:val="00566CE3"/>
    <w:rsid w:val="00581465"/>
    <w:rsid w:val="0058511E"/>
    <w:rsid w:val="00587C72"/>
    <w:rsid w:val="005A7325"/>
    <w:rsid w:val="005B37C0"/>
    <w:rsid w:val="005B494B"/>
    <w:rsid w:val="005B7448"/>
    <w:rsid w:val="005D4911"/>
    <w:rsid w:val="005F08EF"/>
    <w:rsid w:val="005F6184"/>
    <w:rsid w:val="005F61AF"/>
    <w:rsid w:val="0060275C"/>
    <w:rsid w:val="00604804"/>
    <w:rsid w:val="00606792"/>
    <w:rsid w:val="00610D4D"/>
    <w:rsid w:val="00624708"/>
    <w:rsid w:val="00631710"/>
    <w:rsid w:val="00631BDF"/>
    <w:rsid w:val="00637993"/>
    <w:rsid w:val="0065491A"/>
    <w:rsid w:val="00661083"/>
    <w:rsid w:val="00672768"/>
    <w:rsid w:val="00673250"/>
    <w:rsid w:val="006A0649"/>
    <w:rsid w:val="006A69E9"/>
    <w:rsid w:val="006B3B8E"/>
    <w:rsid w:val="006C1222"/>
    <w:rsid w:val="006C6E8E"/>
    <w:rsid w:val="006D51CB"/>
    <w:rsid w:val="006F0C74"/>
    <w:rsid w:val="006F3676"/>
    <w:rsid w:val="007007FE"/>
    <w:rsid w:val="00705F85"/>
    <w:rsid w:val="0071397B"/>
    <w:rsid w:val="007150FE"/>
    <w:rsid w:val="0071568F"/>
    <w:rsid w:val="0072584C"/>
    <w:rsid w:val="00726D55"/>
    <w:rsid w:val="00737A27"/>
    <w:rsid w:val="00741486"/>
    <w:rsid w:val="00753EF7"/>
    <w:rsid w:val="0076398D"/>
    <w:rsid w:val="00764558"/>
    <w:rsid w:val="00766B4D"/>
    <w:rsid w:val="0077581B"/>
    <w:rsid w:val="00782C33"/>
    <w:rsid w:val="00785A75"/>
    <w:rsid w:val="007902F9"/>
    <w:rsid w:val="00793887"/>
    <w:rsid w:val="007A0BAE"/>
    <w:rsid w:val="007A0D0E"/>
    <w:rsid w:val="007D35F0"/>
    <w:rsid w:val="007E20A5"/>
    <w:rsid w:val="007E2CCD"/>
    <w:rsid w:val="007E33AC"/>
    <w:rsid w:val="00800E12"/>
    <w:rsid w:val="00811D08"/>
    <w:rsid w:val="00811D3E"/>
    <w:rsid w:val="00814401"/>
    <w:rsid w:val="008202C7"/>
    <w:rsid w:val="00824501"/>
    <w:rsid w:val="00834105"/>
    <w:rsid w:val="00841995"/>
    <w:rsid w:val="00841AC4"/>
    <w:rsid w:val="008579A2"/>
    <w:rsid w:val="008604A1"/>
    <w:rsid w:val="00863C6C"/>
    <w:rsid w:val="00864F86"/>
    <w:rsid w:val="00866CD0"/>
    <w:rsid w:val="00876ED9"/>
    <w:rsid w:val="00884F4C"/>
    <w:rsid w:val="00886745"/>
    <w:rsid w:val="008A2408"/>
    <w:rsid w:val="008B2EBB"/>
    <w:rsid w:val="008B73E3"/>
    <w:rsid w:val="008C0F24"/>
    <w:rsid w:val="008C2745"/>
    <w:rsid w:val="008F1837"/>
    <w:rsid w:val="008F2878"/>
    <w:rsid w:val="008F47DA"/>
    <w:rsid w:val="0090130E"/>
    <w:rsid w:val="00901FFD"/>
    <w:rsid w:val="00902560"/>
    <w:rsid w:val="00903BFC"/>
    <w:rsid w:val="00904A5D"/>
    <w:rsid w:val="00907BAD"/>
    <w:rsid w:val="009108F1"/>
    <w:rsid w:val="00915052"/>
    <w:rsid w:val="00920A66"/>
    <w:rsid w:val="00923AAB"/>
    <w:rsid w:val="00934B07"/>
    <w:rsid w:val="009373F2"/>
    <w:rsid w:val="00945741"/>
    <w:rsid w:val="009532D7"/>
    <w:rsid w:val="00973BA8"/>
    <w:rsid w:val="0097402E"/>
    <w:rsid w:val="00974EC8"/>
    <w:rsid w:val="009907EE"/>
    <w:rsid w:val="00991982"/>
    <w:rsid w:val="009B0942"/>
    <w:rsid w:val="009B0FC3"/>
    <w:rsid w:val="009B4228"/>
    <w:rsid w:val="009C384D"/>
    <w:rsid w:val="009C56B0"/>
    <w:rsid w:val="009C72C3"/>
    <w:rsid w:val="009E03C7"/>
    <w:rsid w:val="009E7DCB"/>
    <w:rsid w:val="009F2D6A"/>
    <w:rsid w:val="009F3466"/>
    <w:rsid w:val="009F41CD"/>
    <w:rsid w:val="00A00C2C"/>
    <w:rsid w:val="00A00EF3"/>
    <w:rsid w:val="00A05B0D"/>
    <w:rsid w:val="00A06905"/>
    <w:rsid w:val="00A214BA"/>
    <w:rsid w:val="00A4434A"/>
    <w:rsid w:val="00A54180"/>
    <w:rsid w:val="00A56DBB"/>
    <w:rsid w:val="00A8074C"/>
    <w:rsid w:val="00A850A6"/>
    <w:rsid w:val="00A9112A"/>
    <w:rsid w:val="00AA6F83"/>
    <w:rsid w:val="00AB011C"/>
    <w:rsid w:val="00AB3922"/>
    <w:rsid w:val="00AB4B70"/>
    <w:rsid w:val="00AB7A46"/>
    <w:rsid w:val="00AC0201"/>
    <w:rsid w:val="00AC644D"/>
    <w:rsid w:val="00AD51B1"/>
    <w:rsid w:val="00AD5B42"/>
    <w:rsid w:val="00AD706E"/>
    <w:rsid w:val="00AE1661"/>
    <w:rsid w:val="00AF067A"/>
    <w:rsid w:val="00B0234F"/>
    <w:rsid w:val="00B12B53"/>
    <w:rsid w:val="00B17CE9"/>
    <w:rsid w:val="00B21F43"/>
    <w:rsid w:val="00B356BD"/>
    <w:rsid w:val="00B4158C"/>
    <w:rsid w:val="00B41CFF"/>
    <w:rsid w:val="00B4355B"/>
    <w:rsid w:val="00B43CEE"/>
    <w:rsid w:val="00B51420"/>
    <w:rsid w:val="00B6440E"/>
    <w:rsid w:val="00B658CC"/>
    <w:rsid w:val="00B853B5"/>
    <w:rsid w:val="00B85F62"/>
    <w:rsid w:val="00BA1027"/>
    <w:rsid w:val="00BA4C63"/>
    <w:rsid w:val="00BB1705"/>
    <w:rsid w:val="00BB3E97"/>
    <w:rsid w:val="00BB4F5A"/>
    <w:rsid w:val="00BB7FB5"/>
    <w:rsid w:val="00BC5225"/>
    <w:rsid w:val="00BD6CF9"/>
    <w:rsid w:val="00BE27C7"/>
    <w:rsid w:val="00BE6E1A"/>
    <w:rsid w:val="00BF4CFB"/>
    <w:rsid w:val="00BF4EFA"/>
    <w:rsid w:val="00C02EBF"/>
    <w:rsid w:val="00C109DD"/>
    <w:rsid w:val="00C12F04"/>
    <w:rsid w:val="00C16595"/>
    <w:rsid w:val="00C215FB"/>
    <w:rsid w:val="00C23462"/>
    <w:rsid w:val="00C27F7B"/>
    <w:rsid w:val="00C31BE1"/>
    <w:rsid w:val="00C3367D"/>
    <w:rsid w:val="00C46766"/>
    <w:rsid w:val="00C5065A"/>
    <w:rsid w:val="00C5294E"/>
    <w:rsid w:val="00C540DE"/>
    <w:rsid w:val="00C64272"/>
    <w:rsid w:val="00C71062"/>
    <w:rsid w:val="00C754F0"/>
    <w:rsid w:val="00C845C2"/>
    <w:rsid w:val="00C923BC"/>
    <w:rsid w:val="00C94196"/>
    <w:rsid w:val="00C94508"/>
    <w:rsid w:val="00CA58F4"/>
    <w:rsid w:val="00CA7E38"/>
    <w:rsid w:val="00CB4A3A"/>
    <w:rsid w:val="00CC2939"/>
    <w:rsid w:val="00CE0299"/>
    <w:rsid w:val="00CE41B2"/>
    <w:rsid w:val="00CF7841"/>
    <w:rsid w:val="00D03B33"/>
    <w:rsid w:val="00D04071"/>
    <w:rsid w:val="00D20EF5"/>
    <w:rsid w:val="00D214B4"/>
    <w:rsid w:val="00D220C7"/>
    <w:rsid w:val="00D2227E"/>
    <w:rsid w:val="00D25AD2"/>
    <w:rsid w:val="00D310AE"/>
    <w:rsid w:val="00D37EB3"/>
    <w:rsid w:val="00D4134F"/>
    <w:rsid w:val="00D41686"/>
    <w:rsid w:val="00D45844"/>
    <w:rsid w:val="00D56F33"/>
    <w:rsid w:val="00D604D5"/>
    <w:rsid w:val="00D65A66"/>
    <w:rsid w:val="00D65EE7"/>
    <w:rsid w:val="00D66465"/>
    <w:rsid w:val="00D6778A"/>
    <w:rsid w:val="00D75252"/>
    <w:rsid w:val="00D775A7"/>
    <w:rsid w:val="00D81002"/>
    <w:rsid w:val="00D8276B"/>
    <w:rsid w:val="00D85414"/>
    <w:rsid w:val="00D9005D"/>
    <w:rsid w:val="00DF3D11"/>
    <w:rsid w:val="00DF4EF4"/>
    <w:rsid w:val="00E00115"/>
    <w:rsid w:val="00E03CE4"/>
    <w:rsid w:val="00E15B1E"/>
    <w:rsid w:val="00E16FAF"/>
    <w:rsid w:val="00E17F14"/>
    <w:rsid w:val="00E2293B"/>
    <w:rsid w:val="00E309F1"/>
    <w:rsid w:val="00E338B0"/>
    <w:rsid w:val="00E37972"/>
    <w:rsid w:val="00E37CE5"/>
    <w:rsid w:val="00E42559"/>
    <w:rsid w:val="00E66024"/>
    <w:rsid w:val="00E66DC9"/>
    <w:rsid w:val="00E7119F"/>
    <w:rsid w:val="00E73DE1"/>
    <w:rsid w:val="00E81170"/>
    <w:rsid w:val="00EA3947"/>
    <w:rsid w:val="00EA6402"/>
    <w:rsid w:val="00EB1785"/>
    <w:rsid w:val="00ED4CAB"/>
    <w:rsid w:val="00EE2E3B"/>
    <w:rsid w:val="00EE33C4"/>
    <w:rsid w:val="00EF2F99"/>
    <w:rsid w:val="00F40817"/>
    <w:rsid w:val="00F47FFA"/>
    <w:rsid w:val="00F714B4"/>
    <w:rsid w:val="00F74C40"/>
    <w:rsid w:val="00F74E72"/>
    <w:rsid w:val="00F8730E"/>
    <w:rsid w:val="00F91A15"/>
    <w:rsid w:val="00F94DC2"/>
    <w:rsid w:val="00F96A90"/>
    <w:rsid w:val="00FA16F8"/>
    <w:rsid w:val="00FA2EC7"/>
    <w:rsid w:val="00FC69E7"/>
    <w:rsid w:val="00FC7F25"/>
    <w:rsid w:val="00FD3A4A"/>
    <w:rsid w:val="00FD45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26B7"/>
  <w15:chartTrackingRefBased/>
  <w15:docId w15:val="{9CA758C1-1D15-43FA-A94B-6D08D51E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F99"/>
    <w:pPr>
      <w:ind w:left="720"/>
      <w:contextualSpacing/>
    </w:pPr>
  </w:style>
  <w:style w:type="paragraph" w:styleId="Header">
    <w:name w:val="header"/>
    <w:basedOn w:val="Normal"/>
    <w:link w:val="HeaderChar"/>
    <w:uiPriority w:val="99"/>
    <w:unhideWhenUsed/>
    <w:rsid w:val="00E17F14"/>
    <w:pPr>
      <w:tabs>
        <w:tab w:val="center" w:pos="4513"/>
        <w:tab w:val="right" w:pos="9026"/>
      </w:tabs>
    </w:pPr>
  </w:style>
  <w:style w:type="character" w:customStyle="1" w:styleId="HeaderChar">
    <w:name w:val="Header Char"/>
    <w:basedOn w:val="DefaultParagraphFont"/>
    <w:link w:val="Header"/>
    <w:uiPriority w:val="99"/>
    <w:rsid w:val="00E17F14"/>
  </w:style>
  <w:style w:type="paragraph" w:styleId="Footer">
    <w:name w:val="footer"/>
    <w:basedOn w:val="Normal"/>
    <w:link w:val="FooterChar"/>
    <w:uiPriority w:val="99"/>
    <w:unhideWhenUsed/>
    <w:rsid w:val="00E17F14"/>
    <w:pPr>
      <w:tabs>
        <w:tab w:val="center" w:pos="4513"/>
        <w:tab w:val="right" w:pos="9026"/>
      </w:tabs>
    </w:pPr>
  </w:style>
  <w:style w:type="character" w:customStyle="1" w:styleId="FooterChar">
    <w:name w:val="Footer Char"/>
    <w:basedOn w:val="DefaultParagraphFont"/>
    <w:link w:val="Footer"/>
    <w:uiPriority w:val="99"/>
    <w:rsid w:val="00E17F14"/>
  </w:style>
  <w:style w:type="paragraph" w:styleId="BalloonText">
    <w:name w:val="Balloon Text"/>
    <w:basedOn w:val="Normal"/>
    <w:link w:val="BalloonTextChar"/>
    <w:uiPriority w:val="99"/>
    <w:semiHidden/>
    <w:unhideWhenUsed/>
    <w:rsid w:val="009025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560"/>
    <w:rPr>
      <w:rFonts w:ascii="Segoe UI" w:hAnsi="Segoe UI" w:cs="Segoe UI"/>
      <w:sz w:val="18"/>
      <w:szCs w:val="18"/>
    </w:rPr>
  </w:style>
  <w:style w:type="character" w:styleId="CommentReference">
    <w:name w:val="annotation reference"/>
    <w:basedOn w:val="DefaultParagraphFont"/>
    <w:uiPriority w:val="99"/>
    <w:semiHidden/>
    <w:unhideWhenUsed/>
    <w:rsid w:val="00C16595"/>
    <w:rPr>
      <w:sz w:val="16"/>
      <w:szCs w:val="16"/>
    </w:rPr>
  </w:style>
  <w:style w:type="paragraph" w:styleId="CommentText">
    <w:name w:val="annotation text"/>
    <w:basedOn w:val="Normal"/>
    <w:link w:val="CommentTextChar"/>
    <w:uiPriority w:val="99"/>
    <w:semiHidden/>
    <w:unhideWhenUsed/>
    <w:rsid w:val="00C16595"/>
    <w:rPr>
      <w:sz w:val="20"/>
      <w:szCs w:val="20"/>
    </w:rPr>
  </w:style>
  <w:style w:type="character" w:customStyle="1" w:styleId="CommentTextChar">
    <w:name w:val="Comment Text Char"/>
    <w:basedOn w:val="DefaultParagraphFont"/>
    <w:link w:val="CommentText"/>
    <w:uiPriority w:val="99"/>
    <w:semiHidden/>
    <w:rsid w:val="00C16595"/>
    <w:rPr>
      <w:sz w:val="20"/>
      <w:szCs w:val="20"/>
    </w:rPr>
  </w:style>
  <w:style w:type="paragraph" w:styleId="CommentSubject">
    <w:name w:val="annotation subject"/>
    <w:basedOn w:val="CommentText"/>
    <w:next w:val="CommentText"/>
    <w:link w:val="CommentSubjectChar"/>
    <w:uiPriority w:val="99"/>
    <w:semiHidden/>
    <w:unhideWhenUsed/>
    <w:rsid w:val="00C16595"/>
    <w:rPr>
      <w:b/>
      <w:bCs/>
    </w:rPr>
  </w:style>
  <w:style w:type="character" w:customStyle="1" w:styleId="CommentSubjectChar">
    <w:name w:val="Comment Subject Char"/>
    <w:basedOn w:val="CommentTextChar"/>
    <w:link w:val="CommentSubject"/>
    <w:uiPriority w:val="99"/>
    <w:semiHidden/>
    <w:rsid w:val="00C16595"/>
    <w:rPr>
      <w:b/>
      <w:bCs/>
      <w:sz w:val="20"/>
      <w:szCs w:val="20"/>
    </w:rPr>
  </w:style>
  <w:style w:type="paragraph" w:styleId="FootnoteText">
    <w:name w:val="footnote text"/>
    <w:basedOn w:val="Normal"/>
    <w:link w:val="FootnoteTextChar"/>
    <w:uiPriority w:val="99"/>
    <w:semiHidden/>
    <w:unhideWhenUsed/>
    <w:rsid w:val="0076398D"/>
    <w:rPr>
      <w:sz w:val="20"/>
      <w:szCs w:val="20"/>
    </w:rPr>
  </w:style>
  <w:style w:type="character" w:customStyle="1" w:styleId="FootnoteTextChar">
    <w:name w:val="Footnote Text Char"/>
    <w:basedOn w:val="DefaultParagraphFont"/>
    <w:link w:val="FootnoteText"/>
    <w:uiPriority w:val="99"/>
    <w:semiHidden/>
    <w:rsid w:val="0076398D"/>
    <w:rPr>
      <w:sz w:val="20"/>
      <w:szCs w:val="20"/>
    </w:rPr>
  </w:style>
  <w:style w:type="character" w:styleId="FootnoteReference">
    <w:name w:val="footnote reference"/>
    <w:basedOn w:val="DefaultParagraphFont"/>
    <w:uiPriority w:val="99"/>
    <w:semiHidden/>
    <w:unhideWhenUsed/>
    <w:rsid w:val="0076398D"/>
    <w:rPr>
      <w:vertAlign w:val="superscript"/>
    </w:rPr>
  </w:style>
  <w:style w:type="paragraph" w:styleId="Revision">
    <w:name w:val="Revision"/>
    <w:hidden/>
    <w:uiPriority w:val="99"/>
    <w:semiHidden/>
    <w:rsid w:val="00A850A6"/>
  </w:style>
  <w:style w:type="character" w:styleId="Hyperlink">
    <w:name w:val="Hyperlink"/>
    <w:basedOn w:val="DefaultParagraphFont"/>
    <w:uiPriority w:val="99"/>
    <w:unhideWhenUsed/>
    <w:rsid w:val="004C52DF"/>
    <w:rPr>
      <w:color w:val="0563C1" w:themeColor="hyperlink"/>
      <w:u w:val="single"/>
    </w:rPr>
  </w:style>
  <w:style w:type="paragraph" w:customStyle="1" w:styleId="Body">
    <w:name w:val="Body"/>
    <w:basedOn w:val="Normal"/>
    <w:uiPriority w:val="99"/>
    <w:rsid w:val="004C52DF"/>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a.org.au/inclusion-in-educ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a.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CA8D-C3EC-4663-8A11-304D1B20C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3644</Words>
  <Characters>20192</Characters>
  <Application>Microsoft Office Word</Application>
  <DocSecurity>0</DocSecurity>
  <Lines>388</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6</cp:revision>
  <cp:lastPrinted>2015-03-20T06:49:00Z</cp:lastPrinted>
  <dcterms:created xsi:type="dcterms:W3CDTF">2015-03-20T06:36:00Z</dcterms:created>
  <dcterms:modified xsi:type="dcterms:W3CDTF">2015-03-20T06:51:00Z</dcterms:modified>
</cp:coreProperties>
</file>