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B65" w:rsidRDefault="001E0217"/>
    <w:p w:rsidR="00DB0CB8" w:rsidRDefault="00DB0CB8"/>
    <w:p w:rsidR="00DB0CB8" w:rsidRDefault="00DB0CB8"/>
    <w:p w:rsidR="00DB0CB8" w:rsidRDefault="00DB0CB8"/>
    <w:p w:rsidR="00071791" w:rsidRDefault="00071791"/>
    <w:p w:rsidR="00DB0CB8" w:rsidRDefault="00DB0CB8"/>
    <w:p w:rsidR="00DB0CB8" w:rsidRDefault="00DB0CB8"/>
    <w:p w:rsidR="00DB0CB8" w:rsidRDefault="00DB0CB8">
      <w:r>
        <w:t xml:space="preserve">Senate </w:t>
      </w:r>
      <w:r w:rsidRPr="00DB0CB8">
        <w:t>Education and Employment Legislation Committee</w:t>
      </w:r>
    </w:p>
    <w:p w:rsidR="00DB0CB8" w:rsidRDefault="00DB0CB8" w:rsidP="00DB0CB8">
      <w:r>
        <w:t>PO Box 6100</w:t>
      </w:r>
    </w:p>
    <w:p w:rsidR="00DB0CB8" w:rsidRDefault="00DB0CB8" w:rsidP="00DB0CB8">
      <w:r>
        <w:t>Parliament House</w:t>
      </w:r>
    </w:p>
    <w:p w:rsidR="00DB0CB8" w:rsidRDefault="00DB0CB8" w:rsidP="00DB0CB8">
      <w:r>
        <w:t>CANBERRA ACT 2600</w:t>
      </w:r>
    </w:p>
    <w:p w:rsidR="00DB0CB8" w:rsidRDefault="00DB0CB8" w:rsidP="00DB0CB8">
      <w:r>
        <w:t xml:space="preserve">Email: </w:t>
      </w:r>
      <w:hyperlink r:id="rId8" w:history="1">
        <w:r w:rsidRPr="00412670">
          <w:rPr>
            <w:rStyle w:val="Hyperlink"/>
          </w:rPr>
          <w:t>eec.sen@aph.gov.au</w:t>
        </w:r>
      </w:hyperlink>
      <w:r>
        <w:t xml:space="preserve"> </w:t>
      </w:r>
    </w:p>
    <w:p w:rsidR="00DB0CB8" w:rsidRDefault="00DB0CB8" w:rsidP="00DB0CB8"/>
    <w:p w:rsidR="00DB0CB8" w:rsidRDefault="00DB0CB8" w:rsidP="00DB0CB8">
      <w:pPr>
        <w:rPr>
          <w:b/>
        </w:rPr>
      </w:pPr>
      <w:r>
        <w:rPr>
          <w:b/>
        </w:rPr>
        <w:t>RE: SOCIAL SECURITY LEGISLATION AMENDMENT (FURTHER STRENGTHENING JOB SEEKER COMPLIANCE) BILL 2015</w:t>
      </w:r>
    </w:p>
    <w:p w:rsidR="00DB0CB8" w:rsidRDefault="00DB0CB8" w:rsidP="00DB0CB8">
      <w:pPr>
        <w:rPr>
          <w:b/>
        </w:rPr>
      </w:pPr>
    </w:p>
    <w:p w:rsidR="00DB0CB8" w:rsidRPr="00DB0CB8" w:rsidRDefault="00DB0CB8" w:rsidP="00DB0CB8">
      <w:r>
        <w:t xml:space="preserve">Children with Disability Australia (CDA) welcomes the opportunity to contribute to the </w:t>
      </w:r>
      <w:r w:rsidRPr="00DB0CB8">
        <w:rPr>
          <w:i/>
        </w:rPr>
        <w:t>Social Security Legislation Amendment (Further Strengthening Job Seeker Compliance) Bill 2015</w:t>
      </w:r>
      <w:r>
        <w:rPr>
          <w:i/>
        </w:rPr>
        <w:t xml:space="preserve"> </w:t>
      </w:r>
      <w:r>
        <w:t>(the Bill).</w:t>
      </w:r>
      <w:r w:rsidR="004E7ED4">
        <w:t xml:space="preserve"> This submission will briefly discuss issues of relevance to young people with disability regarding the proposed Bill.</w:t>
      </w:r>
    </w:p>
    <w:p w:rsidR="00DB0CB8" w:rsidRDefault="00DB0CB8" w:rsidP="00DB0CB8"/>
    <w:p w:rsidR="001E2C39" w:rsidRDefault="00DB0CB8" w:rsidP="00DB0CB8">
      <w:r>
        <w:t>CDA is the national representative organisation for children and youn</w:t>
      </w:r>
      <w:r w:rsidR="00F44DB8">
        <w:t>g people with disability aged 0–</w:t>
      </w:r>
      <w:r>
        <w:t>25 years. The organisation is primarily funded through the Department of Social Services (DSS) and is a not for profit, community based organisation. CDA’s vision is that children and young people with disability living in Australia are afforded every opportunity to thrive, achieve their potential and that their rights and interests as individuals, members of a family and their community are met.</w:t>
      </w:r>
    </w:p>
    <w:p w:rsidR="001E2C39" w:rsidRDefault="001E2C39" w:rsidP="00DB0CB8"/>
    <w:p w:rsidR="001E2C39" w:rsidRDefault="001409A6" w:rsidP="00DB0CB8">
      <w:r>
        <w:t xml:space="preserve">The importance of work in providing </w:t>
      </w:r>
      <w:r w:rsidR="00C62862">
        <w:t xml:space="preserve">opportunities, facilitating community participation and supporting personal wellbeing </w:t>
      </w:r>
      <w:r>
        <w:t>is a firmly established value within the Australian communi</w:t>
      </w:r>
      <w:r w:rsidR="001E2C39">
        <w:t>ty.</w:t>
      </w:r>
      <w:r w:rsidR="00FB1D60">
        <w:t xml:space="preserve"> </w:t>
      </w:r>
      <w:r w:rsidR="00C62862">
        <w:t xml:space="preserve">This is reflected in </w:t>
      </w:r>
      <w:r w:rsidR="00FB1D60">
        <w:t>the aim of the Australian Government to promote the right to work and support people to find meaningful employment.</w:t>
      </w:r>
      <w:r w:rsidR="00FB1D60">
        <w:rPr>
          <w:rStyle w:val="FootnoteReference"/>
        </w:rPr>
        <w:footnoteReference w:id="1"/>
      </w:r>
    </w:p>
    <w:p w:rsidR="00E17E99" w:rsidRDefault="00E17E99" w:rsidP="00DB0CB8"/>
    <w:p w:rsidR="007522CC" w:rsidRDefault="007522CC" w:rsidP="00DB0CB8">
      <w:r>
        <w:lastRenderedPageBreak/>
        <w:t xml:space="preserve">Presently, young people in Australia face considerable challenges in securing employment. </w:t>
      </w:r>
      <w:r w:rsidR="00210033">
        <w:t xml:space="preserve">In September 2015, unemployment </w:t>
      </w:r>
      <w:r w:rsidR="00797E43">
        <w:t>among young people aged 15–</w:t>
      </w:r>
      <w:r w:rsidR="0028299D">
        <w:t xml:space="preserve">25 years </w:t>
      </w:r>
      <w:r w:rsidR="00210033">
        <w:t xml:space="preserve">was over double the </w:t>
      </w:r>
      <w:r w:rsidR="00D30E2A">
        <w:t>total</w:t>
      </w:r>
      <w:r w:rsidR="00210033">
        <w:t xml:space="preserve"> unemployment rate (12.9% and 6.2% respectively).</w:t>
      </w:r>
      <w:r w:rsidR="00210033">
        <w:rPr>
          <w:rStyle w:val="FootnoteReference"/>
        </w:rPr>
        <w:footnoteReference w:id="2"/>
      </w:r>
      <w:r w:rsidR="00210033">
        <w:t xml:space="preserve"> Further, a recent report by the Foundation for Young Australians found that young people are being adversely impacted by changes to the economy and labour markets</w:t>
      </w:r>
      <w:r w:rsidR="009B3194">
        <w:t>.</w:t>
      </w:r>
      <w:r w:rsidR="009B3194">
        <w:rPr>
          <w:rStyle w:val="FootnoteReference"/>
        </w:rPr>
        <w:footnoteReference w:id="3"/>
      </w:r>
    </w:p>
    <w:p w:rsidR="001E2C39" w:rsidRDefault="001E2C39" w:rsidP="00DB0CB8"/>
    <w:p w:rsidR="009F3643" w:rsidRDefault="00C62862" w:rsidP="00DB0CB8">
      <w:r>
        <w:t>Y</w:t>
      </w:r>
      <w:r w:rsidR="001409A6">
        <w:t>oung</w:t>
      </w:r>
      <w:r w:rsidR="005C2F8C">
        <w:t xml:space="preserve"> people with disability experience </w:t>
      </w:r>
      <w:r w:rsidR="00882A1D">
        <w:t>additional</w:t>
      </w:r>
      <w:r w:rsidR="005C2F8C">
        <w:t xml:space="preserve"> disadvantage in the area of employment. </w:t>
      </w:r>
      <w:r w:rsidR="001409A6">
        <w:t xml:space="preserve">This is clearly reflected in available statistics: </w:t>
      </w:r>
    </w:p>
    <w:p w:rsidR="008E1766" w:rsidRPr="004D7B71" w:rsidRDefault="008E1766" w:rsidP="008E1766">
      <w:pPr>
        <w:pStyle w:val="ListParagraph"/>
        <w:numPr>
          <w:ilvl w:val="0"/>
          <w:numId w:val="2"/>
        </w:numPr>
        <w:rPr>
          <w:rFonts w:eastAsia="Times New Roman" w:cs="Arial"/>
          <w:lang w:eastAsia="en-AU"/>
        </w:rPr>
      </w:pPr>
      <w:r w:rsidRPr="004D7B71">
        <w:rPr>
          <w:rFonts w:eastAsia="Times New Roman" w:cs="Arial"/>
          <w:lang w:eastAsia="en-AU"/>
        </w:rPr>
        <w:t>38% of young people aged 15–24 years with disability</w:t>
      </w:r>
      <w:r w:rsidRPr="0010324C">
        <w:rPr>
          <w:rFonts w:eastAsia="Times New Roman" w:cs="Arial"/>
          <w:lang w:eastAsia="en-AU"/>
        </w:rPr>
        <w:t xml:space="preserve"> either work, study, or </w:t>
      </w:r>
      <w:r w:rsidRPr="004D7B71">
        <w:rPr>
          <w:rFonts w:eastAsia="Times New Roman" w:cs="Arial"/>
          <w:lang w:eastAsia="en-AU"/>
        </w:rPr>
        <w:t xml:space="preserve">do </w:t>
      </w:r>
      <w:r w:rsidRPr="0010324C">
        <w:rPr>
          <w:rFonts w:eastAsia="Times New Roman" w:cs="Arial"/>
          <w:lang w:eastAsia="en-AU"/>
        </w:rPr>
        <w:t>a combination of both on a full time basis compared to</w:t>
      </w:r>
      <w:r w:rsidRPr="004D7B71">
        <w:rPr>
          <w:rFonts w:eastAsia="Times New Roman" w:cs="Arial"/>
          <w:lang w:eastAsia="en-AU"/>
        </w:rPr>
        <w:t xml:space="preserve"> 56% of young people without disability</w:t>
      </w:r>
      <w:r>
        <w:rPr>
          <w:rFonts w:eastAsia="Times New Roman" w:cs="Arial"/>
          <w:lang w:eastAsia="en-AU"/>
        </w:rPr>
        <w:t>;</w:t>
      </w:r>
      <w:r>
        <w:rPr>
          <w:rStyle w:val="FootnoteReference"/>
          <w:rFonts w:eastAsia="Times New Roman" w:cs="Arial"/>
          <w:lang w:eastAsia="en-AU"/>
        </w:rPr>
        <w:footnoteReference w:id="4"/>
      </w:r>
      <w:r w:rsidRPr="0010324C">
        <w:rPr>
          <w:rFonts w:eastAsia="Times New Roman" w:cs="Arial"/>
          <w:lang w:eastAsia="en-AU"/>
        </w:rPr>
        <w:t xml:space="preserve"> </w:t>
      </w:r>
    </w:p>
    <w:p w:rsidR="008E1766" w:rsidRPr="004D7B71" w:rsidRDefault="008E1766" w:rsidP="008E1766">
      <w:pPr>
        <w:pStyle w:val="ListParagraph"/>
        <w:numPr>
          <w:ilvl w:val="0"/>
          <w:numId w:val="2"/>
        </w:numPr>
        <w:rPr>
          <w:rFonts w:eastAsia="Times New Roman" w:cs="Arial"/>
          <w:lang w:eastAsia="en-AU"/>
        </w:rPr>
      </w:pPr>
      <w:r w:rsidRPr="0010324C">
        <w:rPr>
          <w:rFonts w:eastAsia="Times New Roman" w:cs="Arial"/>
          <w:lang w:eastAsia="en-AU"/>
        </w:rPr>
        <w:t>42% of young people with disabili</w:t>
      </w:r>
      <w:r w:rsidRPr="004D7B71">
        <w:rPr>
          <w:rFonts w:eastAsia="Times New Roman" w:cs="Arial"/>
          <w:lang w:eastAsia="en-AU"/>
        </w:rPr>
        <w:t>ty neither work nor study</w:t>
      </w:r>
      <w:r>
        <w:rPr>
          <w:rFonts w:eastAsia="Times New Roman" w:cs="Arial"/>
          <w:lang w:eastAsia="en-AU"/>
        </w:rPr>
        <w:t xml:space="preserve"> (there is n</w:t>
      </w:r>
      <w:r w:rsidRPr="004D7B71">
        <w:rPr>
          <w:rFonts w:eastAsia="Times New Roman" w:cs="Arial"/>
          <w:lang w:eastAsia="en-AU"/>
        </w:rPr>
        <w:t>o comparative data available for yo</w:t>
      </w:r>
      <w:r>
        <w:rPr>
          <w:rFonts w:eastAsia="Times New Roman" w:cs="Arial"/>
          <w:lang w:eastAsia="en-AU"/>
        </w:rPr>
        <w:t>ung people without disability);</w:t>
      </w:r>
      <w:r w:rsidRPr="004D7B71">
        <w:rPr>
          <w:rStyle w:val="FootnoteReference"/>
          <w:rFonts w:eastAsia="Times New Roman" w:cs="Arial"/>
          <w:lang w:eastAsia="en-AU"/>
        </w:rPr>
        <w:footnoteReference w:id="5"/>
      </w:r>
    </w:p>
    <w:p w:rsidR="008E1766" w:rsidRPr="008E1766" w:rsidRDefault="008E1766" w:rsidP="00DB0CB8">
      <w:pPr>
        <w:pStyle w:val="ListParagraph"/>
        <w:numPr>
          <w:ilvl w:val="0"/>
          <w:numId w:val="2"/>
        </w:numPr>
        <w:rPr>
          <w:rFonts w:eastAsia="Times New Roman" w:cs="Arial"/>
          <w:lang w:eastAsia="en-AU"/>
        </w:rPr>
      </w:pPr>
      <w:r w:rsidRPr="004D7B71">
        <w:rPr>
          <w:rFonts w:eastAsia="Times New Roman" w:cs="Arial"/>
          <w:lang w:eastAsia="en-AU"/>
        </w:rPr>
        <w:t>20</w:t>
      </w:r>
      <w:r w:rsidRPr="0010324C">
        <w:rPr>
          <w:rFonts w:eastAsia="Times New Roman" w:cs="Arial"/>
          <w:lang w:eastAsia="en-AU"/>
        </w:rPr>
        <w:t>% of young people with disability either work or study on a part time basis</w:t>
      </w:r>
      <w:r>
        <w:rPr>
          <w:rFonts w:eastAsia="Times New Roman" w:cs="Arial"/>
          <w:lang w:eastAsia="en-AU"/>
        </w:rPr>
        <w:t xml:space="preserve"> </w:t>
      </w:r>
      <w:r w:rsidRPr="004D7B71">
        <w:rPr>
          <w:rFonts w:eastAsia="Times New Roman" w:cs="Arial"/>
          <w:lang w:eastAsia="en-AU"/>
        </w:rPr>
        <w:t>(</w:t>
      </w:r>
      <w:r>
        <w:rPr>
          <w:rFonts w:eastAsia="Times New Roman" w:cs="Arial"/>
          <w:lang w:eastAsia="en-AU"/>
        </w:rPr>
        <w:t>there is n</w:t>
      </w:r>
      <w:r w:rsidRPr="004D7B71">
        <w:rPr>
          <w:rFonts w:eastAsia="Times New Roman" w:cs="Arial"/>
          <w:lang w:eastAsia="en-AU"/>
        </w:rPr>
        <w:t>o</w:t>
      </w:r>
      <w:r w:rsidRPr="0010324C">
        <w:rPr>
          <w:rFonts w:eastAsia="Times New Roman" w:cs="Arial"/>
          <w:lang w:eastAsia="en-AU"/>
        </w:rPr>
        <w:t xml:space="preserve"> comparative data</w:t>
      </w:r>
      <w:r w:rsidRPr="004D7B71">
        <w:rPr>
          <w:rFonts w:eastAsia="Times New Roman" w:cs="Arial"/>
          <w:lang w:eastAsia="en-AU"/>
        </w:rPr>
        <w:t xml:space="preserve"> available</w:t>
      </w:r>
      <w:r w:rsidRPr="0010324C">
        <w:rPr>
          <w:rFonts w:eastAsia="Times New Roman" w:cs="Arial"/>
          <w:lang w:eastAsia="en-AU"/>
        </w:rPr>
        <w:t xml:space="preserve"> for young people without disability</w:t>
      </w:r>
      <w:r>
        <w:rPr>
          <w:rFonts w:eastAsia="Times New Roman" w:cs="Arial"/>
          <w:lang w:eastAsia="en-AU"/>
        </w:rPr>
        <w:t>);</w:t>
      </w:r>
      <w:r w:rsidRPr="00DD67B9">
        <w:rPr>
          <w:rStyle w:val="FootnoteReference"/>
          <w:rFonts w:eastAsia="Times New Roman" w:cs="Arial"/>
          <w:lang w:eastAsia="en-AU"/>
        </w:rPr>
        <w:t xml:space="preserve"> </w:t>
      </w:r>
      <w:r w:rsidRPr="004D7B71">
        <w:rPr>
          <w:rStyle w:val="FootnoteReference"/>
          <w:rFonts w:eastAsia="Times New Roman" w:cs="Arial"/>
          <w:lang w:eastAsia="en-AU"/>
        </w:rPr>
        <w:footnoteReference w:id="6"/>
      </w:r>
    </w:p>
    <w:p w:rsidR="008E1766" w:rsidRPr="004D7B71" w:rsidRDefault="008E1766" w:rsidP="008E1766">
      <w:pPr>
        <w:pStyle w:val="ListParagraph"/>
        <w:numPr>
          <w:ilvl w:val="0"/>
          <w:numId w:val="2"/>
        </w:numPr>
        <w:rPr>
          <w:rFonts w:cs="Arial"/>
        </w:rPr>
      </w:pPr>
      <w:r w:rsidRPr="004D7B71">
        <w:rPr>
          <w:rFonts w:cs="Arial"/>
        </w:rPr>
        <w:t>People with disability in Australia are only half as likely to be employ</w:t>
      </w:r>
      <w:r>
        <w:rPr>
          <w:rFonts w:cs="Arial"/>
        </w:rPr>
        <w:t>ed as people without disability;</w:t>
      </w:r>
      <w:r w:rsidRPr="004D7B71">
        <w:rPr>
          <w:rStyle w:val="FootnoteReference"/>
          <w:rFonts w:cs="Arial"/>
        </w:rPr>
        <w:footnoteReference w:id="7"/>
      </w:r>
      <w:r>
        <w:rPr>
          <w:rFonts w:cs="Arial"/>
        </w:rPr>
        <w:t xml:space="preserve"> and</w:t>
      </w:r>
    </w:p>
    <w:p w:rsidR="008E1766" w:rsidRPr="00041817" w:rsidRDefault="008E1766" w:rsidP="008E1766">
      <w:pPr>
        <w:pStyle w:val="ListParagraph"/>
        <w:numPr>
          <w:ilvl w:val="0"/>
          <w:numId w:val="2"/>
        </w:numPr>
        <w:rPr>
          <w:rFonts w:cs="Arial"/>
        </w:rPr>
      </w:pPr>
      <w:r>
        <w:rPr>
          <w:rFonts w:cs="Arial"/>
        </w:rPr>
        <w:t xml:space="preserve">45% of people with </w:t>
      </w:r>
      <w:r w:rsidRPr="004D7B71">
        <w:rPr>
          <w:rFonts w:cs="Arial"/>
        </w:rPr>
        <w:t>disability in Australia live in or near poverty</w:t>
      </w:r>
      <w:r>
        <w:rPr>
          <w:rFonts w:cs="Arial"/>
        </w:rPr>
        <w:t>.</w:t>
      </w:r>
      <w:r w:rsidRPr="004D7B71">
        <w:rPr>
          <w:rStyle w:val="FootnoteReference"/>
          <w:rFonts w:cs="Arial"/>
        </w:rPr>
        <w:footnoteReference w:id="8"/>
      </w:r>
    </w:p>
    <w:p w:rsidR="005C2F8C" w:rsidRDefault="005C2F8C" w:rsidP="00DB0CB8"/>
    <w:p w:rsidR="00882A1D" w:rsidRDefault="00C2356B" w:rsidP="00E17E99">
      <w:r>
        <w:t xml:space="preserve">Young people with disability who experience unemployment or underemployment may be eligible for a range of income support payments, including the Disability Support Pension </w:t>
      </w:r>
      <w:r w:rsidR="0054263F">
        <w:t xml:space="preserve">(DSP) </w:t>
      </w:r>
      <w:r>
        <w:t xml:space="preserve">and Youth Disability Supplement, as well as the </w:t>
      </w:r>
      <w:proofErr w:type="spellStart"/>
      <w:r>
        <w:t>Newstart</w:t>
      </w:r>
      <w:proofErr w:type="spellEnd"/>
      <w:r>
        <w:t xml:space="preserve"> Allowance, Youth Allowance or the Parenting Payment which are the focus of the Bill.</w:t>
      </w:r>
    </w:p>
    <w:p w:rsidR="00C2356B" w:rsidRDefault="00C2356B" w:rsidP="00DB0CB8"/>
    <w:p w:rsidR="001E2C39" w:rsidRDefault="00C62862" w:rsidP="00DB0CB8">
      <w:r>
        <w:lastRenderedPageBreak/>
        <w:t xml:space="preserve">Key considerations </w:t>
      </w:r>
      <w:r w:rsidR="00D30E2A">
        <w:t>regarding unemployment of</w:t>
      </w:r>
      <w:r>
        <w:t xml:space="preserve"> young people with disability are discussed below, followed by </w:t>
      </w:r>
      <w:r w:rsidR="003E54CE">
        <w:t>comments about</w:t>
      </w:r>
      <w:r>
        <w:t xml:space="preserve"> the Bill.</w:t>
      </w:r>
    </w:p>
    <w:p w:rsidR="001E2C39" w:rsidRDefault="001E2C39" w:rsidP="00DB0CB8"/>
    <w:p w:rsidR="001E2C39" w:rsidRDefault="001E2C39" w:rsidP="00DB0CB8">
      <w:pPr>
        <w:rPr>
          <w:b/>
        </w:rPr>
      </w:pPr>
      <w:r>
        <w:rPr>
          <w:b/>
        </w:rPr>
        <w:t>Education</w:t>
      </w:r>
    </w:p>
    <w:p w:rsidR="009630A0" w:rsidRDefault="00A20434" w:rsidP="00A20434">
      <w:r w:rsidRPr="00A20434">
        <w:t>CDA recently provided</w:t>
      </w:r>
      <w:r>
        <w:t xml:space="preserve"> a lengthy submission to the</w:t>
      </w:r>
      <w:r w:rsidRPr="00A20434">
        <w:t xml:space="preserve"> Senate Inquiry into </w:t>
      </w:r>
      <w:r w:rsidRPr="00A20434">
        <w:rPr>
          <w:i/>
        </w:rPr>
        <w:t>Current levels of access and attainment for students with disability in the school system, and the impact on students and families associated with inadequate levels of support</w:t>
      </w:r>
      <w:r w:rsidRPr="00A20434">
        <w:t>.</w:t>
      </w:r>
      <w:r w:rsidR="009630A0">
        <w:rPr>
          <w:rStyle w:val="FootnoteReference"/>
        </w:rPr>
        <w:footnoteReference w:id="9"/>
      </w:r>
      <w:r w:rsidRPr="00A20434">
        <w:t xml:space="preserve"> This submission extensively details </w:t>
      </w:r>
      <w:r>
        <w:t xml:space="preserve">the depth and breadth of disadvantage experienced by students with disability. </w:t>
      </w:r>
      <w:r w:rsidR="00797E43" w:rsidRPr="00797E43">
        <w:t>A typical school experience for students with disability involves limited choice of school, discrimination, bullying, limited or no funding for support and resources, inadequately trained staff and</w:t>
      </w:r>
      <w:r w:rsidR="00797E43">
        <w:t xml:space="preserve"> a culture of low expectations.</w:t>
      </w:r>
      <w:r w:rsidR="007D43E9">
        <w:t xml:space="preserve"> </w:t>
      </w:r>
      <w:r w:rsidR="00071791">
        <w:t>CDA</w:t>
      </w:r>
      <w:r w:rsidR="00071791" w:rsidRPr="00071791">
        <w:t xml:space="preserve"> </w:t>
      </w:r>
      <w:r w:rsidR="00071791">
        <w:t xml:space="preserve">is </w:t>
      </w:r>
      <w:r w:rsidR="00071791" w:rsidRPr="00071791">
        <w:t>increasingly being informed of incidents of abuse which are too often seen as acceptable under the guise of necessary restrictive practices.</w:t>
      </w:r>
    </w:p>
    <w:p w:rsidR="009630A0" w:rsidRDefault="009630A0" w:rsidP="00A20434"/>
    <w:p w:rsidR="009630A0" w:rsidRPr="00FA4A9F" w:rsidRDefault="00062767" w:rsidP="00A20434">
      <w:r>
        <w:t>CDA strongly believes that t</w:t>
      </w:r>
      <w:r w:rsidR="009630A0">
        <w:t>he present education sy</w:t>
      </w:r>
      <w:r w:rsidR="0028299D">
        <w:t>stem</w:t>
      </w:r>
      <w:r w:rsidR="00797E43">
        <w:t xml:space="preserve"> is fa</w:t>
      </w:r>
      <w:r w:rsidR="0090368C">
        <w:t>iling students with disability and is providing few opportunities to con</w:t>
      </w:r>
      <w:r w:rsidR="003E54CE">
        <w:t>solidate foundational skills to</w:t>
      </w:r>
      <w:r w:rsidR="0090368C">
        <w:t xml:space="preserve"> find and maintain employment. This creates</w:t>
      </w:r>
      <w:r w:rsidR="00797E43">
        <w:t xml:space="preserve"> s</w:t>
      </w:r>
      <w:r w:rsidR="0090368C">
        <w:t xml:space="preserve">ignificant barriers for students with disability in </w:t>
      </w:r>
      <w:r w:rsidR="00797E43">
        <w:t>transitioning</w:t>
      </w:r>
      <w:r w:rsidR="0090368C">
        <w:t xml:space="preserve"> </w:t>
      </w:r>
      <w:r w:rsidR="00797E43">
        <w:t>to fu</w:t>
      </w:r>
      <w:r w:rsidR="0090368C">
        <w:t>rther education and employment.</w:t>
      </w:r>
    </w:p>
    <w:p w:rsidR="00062767" w:rsidRDefault="00062767" w:rsidP="00DB0CB8">
      <w:pPr>
        <w:rPr>
          <w:b/>
        </w:rPr>
      </w:pPr>
    </w:p>
    <w:p w:rsidR="001E2C39" w:rsidRPr="001E2C39" w:rsidRDefault="001E2C39" w:rsidP="00DB0CB8">
      <w:pPr>
        <w:rPr>
          <w:b/>
        </w:rPr>
      </w:pPr>
      <w:r>
        <w:rPr>
          <w:b/>
        </w:rPr>
        <w:t>Post school transition</w:t>
      </w:r>
    </w:p>
    <w:p w:rsidR="004F0202" w:rsidRDefault="00C52982" w:rsidP="00DB0CB8">
      <w:r>
        <w:t>A further issue of concern is post school transition of students with disability. This refers to</w:t>
      </w:r>
      <w:r w:rsidR="00062767" w:rsidRPr="00062767">
        <w:t xml:space="preserve"> a time period and/or a process where a young person is able to access information and make choices about their future after leaving school.</w:t>
      </w:r>
      <w:r>
        <w:t xml:space="preserve"> </w:t>
      </w:r>
      <w:r w:rsidR="004F0202">
        <w:t>A copy of a report prepared by CDA about post school transition of students with disability is attached for the Committee’s consideration (see Appendix A). This repor</w:t>
      </w:r>
      <w:r w:rsidR="003E54CE">
        <w:t>t is</w:t>
      </w:r>
      <w:r w:rsidR="000C36D3">
        <w:t xml:space="preserve"> yet to be released and is</w:t>
      </w:r>
      <w:r w:rsidR="004F0202">
        <w:t xml:space="preserve"> provided in confidence.</w:t>
      </w:r>
    </w:p>
    <w:p w:rsidR="004F0202" w:rsidRDefault="004F0202" w:rsidP="00DB0CB8"/>
    <w:p w:rsidR="001E2C39" w:rsidRDefault="004F0202" w:rsidP="00DB0CB8">
      <w:r>
        <w:t>Young</w:t>
      </w:r>
      <w:r w:rsidR="00C52982">
        <w:t xml:space="preserve"> people with disability have reported to CDA that </w:t>
      </w:r>
      <w:r>
        <w:t>their post school transition planning experiences have been</w:t>
      </w:r>
      <w:r w:rsidR="00C52982">
        <w:t xml:space="preserve"> highly unfair, unplanned and uncoordinated. </w:t>
      </w:r>
      <w:r w:rsidR="004446A4">
        <w:t xml:space="preserve">CDA has found that information about available support, services and pathways for post school transition is usually very difficult to locate. Further, transition planning for students with disability is often limited or non-existent. Key activities, such as work placements or part-time employment are routinely denied to students with disability. Finally, low expectations and negative attitudes </w:t>
      </w:r>
      <w:r w:rsidR="004446A4">
        <w:lastRenderedPageBreak/>
        <w:t>are resulting in narrow post school options being presented to young people with disability and families.</w:t>
      </w:r>
    </w:p>
    <w:p w:rsidR="00456EEA" w:rsidRDefault="00456EEA" w:rsidP="00DB0CB8"/>
    <w:p w:rsidR="00456EEA" w:rsidRDefault="000C36D3" w:rsidP="00DB0CB8">
      <w:r>
        <w:t xml:space="preserve">The lack of information, planning and opportunities for learning and skill development provided to young people with disability during this important time of post school transition </w:t>
      </w:r>
      <w:r w:rsidR="003E54CE">
        <w:t>creates</w:t>
      </w:r>
      <w:r>
        <w:t xml:space="preserve"> further barriers to </w:t>
      </w:r>
      <w:r w:rsidR="003E54CE">
        <w:t xml:space="preserve">accessing </w:t>
      </w:r>
      <w:r>
        <w:t>further educa</w:t>
      </w:r>
      <w:r w:rsidR="003E54CE">
        <w:t>tion and employment</w:t>
      </w:r>
      <w:r>
        <w:t>.</w:t>
      </w:r>
    </w:p>
    <w:p w:rsidR="009F3643" w:rsidRDefault="009F3643" w:rsidP="00DB0CB8"/>
    <w:p w:rsidR="00AA566E" w:rsidRDefault="00AA566E" w:rsidP="00DB0CB8">
      <w:pPr>
        <w:rPr>
          <w:b/>
        </w:rPr>
      </w:pPr>
      <w:r>
        <w:rPr>
          <w:b/>
        </w:rPr>
        <w:t>Employment</w:t>
      </w:r>
    </w:p>
    <w:p w:rsidR="00064ADE" w:rsidRDefault="00AA566E" w:rsidP="00DB0CB8">
      <w:r>
        <w:t xml:space="preserve">Young people with disability </w:t>
      </w:r>
      <w:r w:rsidR="00064ADE">
        <w:t>also experience significant barriers</w:t>
      </w:r>
      <w:r w:rsidR="003E54CE">
        <w:t xml:space="preserve"> and discrimination</w:t>
      </w:r>
      <w:r w:rsidR="00064ADE">
        <w:t xml:space="preserve"> in accessing employment. A key issue repor</w:t>
      </w:r>
      <w:r w:rsidR="003E54CE">
        <w:t>ted to CDA relates to attitudes. L</w:t>
      </w:r>
      <w:r w:rsidR="003E54CE" w:rsidRPr="003E54CE">
        <w:t xml:space="preserve">ow </w:t>
      </w:r>
      <w:r w:rsidR="003E54CE">
        <w:t xml:space="preserve">expectations regarding the </w:t>
      </w:r>
      <w:r w:rsidR="003E54CE" w:rsidRPr="003E54CE">
        <w:t>capacity and capabil</w:t>
      </w:r>
      <w:r w:rsidR="003E54CE">
        <w:t>ities of people with disability from</w:t>
      </w:r>
      <w:r w:rsidR="003E54CE" w:rsidRPr="003E54CE">
        <w:t xml:space="preserve"> employers and the broader community </w:t>
      </w:r>
      <w:r w:rsidR="003E54CE">
        <w:t xml:space="preserve">can lead to assumptions that disability </w:t>
      </w:r>
      <w:r w:rsidR="003E54CE" w:rsidRPr="003E54CE">
        <w:t>means inability to work</w:t>
      </w:r>
      <w:r w:rsidR="003E54CE">
        <w:t xml:space="preserve"> or that hiring people with disability is burdensome</w:t>
      </w:r>
      <w:r w:rsidR="003E54CE" w:rsidRPr="003E54CE">
        <w:t xml:space="preserve">. </w:t>
      </w:r>
      <w:r w:rsidR="00064ADE">
        <w:t xml:space="preserve">Further, there is a lack of coordination between services for young job seekers with disability and many supports have eligibility requirements that exclude large cohorts of young people. For example, Disability Employment Services do not provide assistance to </w:t>
      </w:r>
      <w:r w:rsidR="003E54CE">
        <w:t>students seeking part-time work</w:t>
      </w:r>
      <w:r w:rsidR="00064ADE">
        <w:t>.</w:t>
      </w:r>
      <w:r w:rsidR="00314FBB">
        <w:rPr>
          <w:rStyle w:val="FootnoteReference"/>
        </w:rPr>
        <w:footnoteReference w:id="10"/>
      </w:r>
    </w:p>
    <w:p w:rsidR="00064ADE" w:rsidRDefault="00064ADE" w:rsidP="00DB0CB8"/>
    <w:p w:rsidR="00AA566E" w:rsidRDefault="00AA566E" w:rsidP="00DB0CB8">
      <w:r>
        <w:t>The following are direct experiences reported to CDA by young people with disability and families:</w:t>
      </w:r>
    </w:p>
    <w:p w:rsidR="00B25D31" w:rsidRDefault="00B25D31" w:rsidP="00DB0CB8"/>
    <w:p w:rsidR="00B25D31" w:rsidRDefault="00B25D31" w:rsidP="00B25D31">
      <w:pPr>
        <w:ind w:left="720"/>
      </w:pPr>
      <w:r w:rsidRPr="00B25D31">
        <w:rPr>
          <w:i/>
        </w:rPr>
        <w:t>I feel stranded. I don’t think I have a future</w:t>
      </w:r>
      <w:r>
        <w:t xml:space="preserve"> – Young person.</w:t>
      </w:r>
    </w:p>
    <w:p w:rsidR="00B25D31" w:rsidRDefault="00B25D31" w:rsidP="00B25D31">
      <w:pPr>
        <w:ind w:left="720"/>
      </w:pPr>
    </w:p>
    <w:p w:rsidR="00B25D31" w:rsidRDefault="00B25D31" w:rsidP="00B25D31">
      <w:pPr>
        <w:ind w:left="720"/>
      </w:pPr>
      <w:r w:rsidRPr="00B25D31">
        <w:rPr>
          <w:i/>
        </w:rPr>
        <w:t>I tried the employment services but they could not help me as they said I was too disabled</w:t>
      </w:r>
      <w:r>
        <w:t xml:space="preserve"> – Young person.</w:t>
      </w:r>
    </w:p>
    <w:p w:rsidR="00B25D31" w:rsidRDefault="00B25D31" w:rsidP="00B25D31">
      <w:pPr>
        <w:ind w:left="720"/>
      </w:pPr>
    </w:p>
    <w:p w:rsidR="00B25D31" w:rsidRDefault="00B25D31" w:rsidP="00B25D31">
      <w:pPr>
        <w:ind w:left="720"/>
      </w:pPr>
      <w:r w:rsidRPr="00B25D31">
        <w:rPr>
          <w:i/>
        </w:rPr>
        <w:t>I would like to do harder jobs. I like people to explain and be patient and sometimes I need to be shown things more than once</w:t>
      </w:r>
      <w:r>
        <w:t xml:space="preserve"> – Young person.</w:t>
      </w:r>
    </w:p>
    <w:p w:rsidR="00B25D31" w:rsidRDefault="00B25D31" w:rsidP="00B25D31">
      <w:pPr>
        <w:ind w:left="720"/>
      </w:pPr>
    </w:p>
    <w:p w:rsidR="00B25D31" w:rsidRDefault="00B25D31" w:rsidP="00B25D31">
      <w:pPr>
        <w:ind w:left="720"/>
      </w:pPr>
      <w:r w:rsidRPr="00AA566E">
        <w:rPr>
          <w:i/>
        </w:rPr>
        <w:t xml:space="preserve">You think the education system is bad, wait until </w:t>
      </w:r>
      <w:r>
        <w:rPr>
          <w:i/>
        </w:rPr>
        <w:t xml:space="preserve">the </w:t>
      </w:r>
      <w:r w:rsidRPr="00AA566E">
        <w:rPr>
          <w:i/>
        </w:rPr>
        <w:t>employment system</w:t>
      </w:r>
      <w:r>
        <w:rPr>
          <w:i/>
        </w:rPr>
        <w:t>!</w:t>
      </w:r>
      <w:r>
        <w:t xml:space="preserve"> – Parent.</w:t>
      </w:r>
    </w:p>
    <w:p w:rsidR="0028299D" w:rsidRDefault="0028299D" w:rsidP="00DB0CB8"/>
    <w:p w:rsidR="0024373B" w:rsidRDefault="0054263F" w:rsidP="0024373B">
      <w:pPr>
        <w:rPr>
          <w:b/>
        </w:rPr>
      </w:pPr>
      <w:r>
        <w:rPr>
          <w:b/>
        </w:rPr>
        <w:t>Comments on</w:t>
      </w:r>
      <w:r w:rsidR="0024373B">
        <w:rPr>
          <w:b/>
        </w:rPr>
        <w:t xml:space="preserve"> </w:t>
      </w:r>
      <w:r w:rsidR="0019128D">
        <w:rPr>
          <w:b/>
        </w:rPr>
        <w:t>the Bill</w:t>
      </w:r>
    </w:p>
    <w:p w:rsidR="0024373B" w:rsidRDefault="00456EEA" w:rsidP="0024373B">
      <w:r>
        <w:lastRenderedPageBreak/>
        <w:t xml:space="preserve">The focus of the Bill is on compliance </w:t>
      </w:r>
      <w:r w:rsidR="004A0A0D">
        <w:t xml:space="preserve">with job </w:t>
      </w:r>
      <w:r w:rsidR="00854FD7">
        <w:t xml:space="preserve">seeking activities recipients </w:t>
      </w:r>
      <w:r w:rsidR="00AA566E">
        <w:t xml:space="preserve">of participation payments </w:t>
      </w:r>
      <w:r w:rsidR="00854FD7">
        <w:t xml:space="preserve">are required to undertake, with measures to strengthen penalties for failures to undertake </w:t>
      </w:r>
      <w:r w:rsidR="00AA566E">
        <w:t xml:space="preserve">prescribed </w:t>
      </w:r>
      <w:r w:rsidR="00854FD7">
        <w:t>activities</w:t>
      </w:r>
      <w:r w:rsidR="00AA566E">
        <w:t xml:space="preserve">. </w:t>
      </w:r>
      <w:r w:rsidR="00E112D8">
        <w:t xml:space="preserve">However, it is the view of CDA </w:t>
      </w:r>
      <w:r w:rsidR="00126009">
        <w:t xml:space="preserve">that these measures do not take into account the </w:t>
      </w:r>
      <w:r w:rsidR="0054263F">
        <w:t xml:space="preserve">significant and systemic </w:t>
      </w:r>
      <w:r w:rsidR="00126009">
        <w:t xml:space="preserve">barriers to employment </w:t>
      </w:r>
      <w:r w:rsidR="0054263F">
        <w:t>experienced by young people with disability</w:t>
      </w:r>
      <w:r w:rsidR="007D43E9">
        <w:t>.</w:t>
      </w:r>
      <w:r w:rsidR="00071791">
        <w:t xml:space="preserve"> </w:t>
      </w:r>
      <w:r w:rsidR="0054263F">
        <w:t>It is therefore the view of CDA that the measures contained in the Bill are unfair and should not</w:t>
      </w:r>
      <w:r w:rsidR="007D43E9">
        <w:t xml:space="preserve"> be implemented</w:t>
      </w:r>
      <w:r w:rsidR="0054263F">
        <w:t xml:space="preserve">. Rather, focus on the systemic issues relating to education, post school transition and employment should be prioritised. </w:t>
      </w:r>
    </w:p>
    <w:p w:rsidR="0024373B" w:rsidRDefault="0024373B" w:rsidP="0024373B"/>
    <w:p w:rsidR="0054263F" w:rsidRDefault="0054263F" w:rsidP="0024373B">
      <w:r>
        <w:t>The Explanatory Memorandum for the Bill includes a Statement of Compatibility with Human Rights. It states that, while imposing limits on the right to social security and the right to</w:t>
      </w:r>
      <w:r w:rsidR="0024373B">
        <w:t xml:space="preserve"> an adequate standard of living, the Bill </w:t>
      </w:r>
      <w:r w:rsidR="0024373B" w:rsidRPr="0024373B">
        <w:t xml:space="preserve">is </w:t>
      </w:r>
      <w:r w:rsidR="0024373B">
        <w:t>“</w:t>
      </w:r>
      <w:r w:rsidR="0024373B" w:rsidRPr="0024373B">
        <w:t>compatible with human rights because it promotes the right to work, and to the extent that it may limit human rights, the impact is for a legitimate objective, and is reasonable, necessary and proportionate.</w:t>
      </w:r>
      <w:r w:rsidR="0024373B">
        <w:t>”</w:t>
      </w:r>
    </w:p>
    <w:p w:rsidR="00753B56" w:rsidRDefault="00753B56" w:rsidP="0024373B"/>
    <w:p w:rsidR="00796916" w:rsidRDefault="00753B56" w:rsidP="0024373B">
      <w:r>
        <w:t xml:space="preserve">In addition to the rights cited in the Explanatory Memorandum, Australia is party to United Nations conventions which </w:t>
      </w:r>
      <w:r w:rsidRPr="00753B56">
        <w:t xml:space="preserve">contain clear </w:t>
      </w:r>
      <w:r>
        <w:t xml:space="preserve">and comprehensive </w:t>
      </w:r>
      <w:r w:rsidRPr="00753B56">
        <w:t xml:space="preserve">standards and obligations regarding the rights of children and </w:t>
      </w:r>
      <w:r w:rsidR="007D43E9">
        <w:t xml:space="preserve">young </w:t>
      </w:r>
      <w:r w:rsidRPr="00753B56">
        <w:t>people with disability to enjoy equal access to education and employment.</w:t>
      </w:r>
    </w:p>
    <w:p w:rsidR="00796916" w:rsidRDefault="00796916" w:rsidP="0024373B"/>
    <w:p w:rsidR="0024373B" w:rsidRPr="00796916" w:rsidRDefault="0024373B" w:rsidP="0024373B">
      <w:r w:rsidRPr="00796916">
        <w:t>Articles of relevance from the</w:t>
      </w:r>
      <w:r w:rsidR="00753B56" w:rsidRPr="00796916">
        <w:t xml:space="preserve"> Convention on the Rights of the Child</w:t>
      </w:r>
      <w:r w:rsidRPr="00796916">
        <w:t xml:space="preserve"> </w:t>
      </w:r>
      <w:r w:rsidR="00753B56" w:rsidRPr="00796916">
        <w:t>(</w:t>
      </w:r>
      <w:r w:rsidRPr="00796916">
        <w:t>CRC</w:t>
      </w:r>
      <w:r w:rsidR="00753B56" w:rsidRPr="00796916">
        <w:t>)</w:t>
      </w:r>
      <w:r w:rsidRPr="00796916">
        <w:t xml:space="preserve"> are as follows: </w:t>
      </w:r>
    </w:p>
    <w:p w:rsidR="00753B56" w:rsidRPr="00796916" w:rsidRDefault="00753B56" w:rsidP="0024373B"/>
    <w:p w:rsidR="0024373B" w:rsidRDefault="0024373B" w:rsidP="00796916">
      <w:r w:rsidRPr="00796916">
        <w:t>State Parties are to:</w:t>
      </w:r>
    </w:p>
    <w:p w:rsidR="00796916" w:rsidRPr="00796916" w:rsidRDefault="00796916" w:rsidP="00796916"/>
    <w:p w:rsidR="00796916" w:rsidRDefault="0024373B" w:rsidP="00796916">
      <w:r w:rsidRPr="00796916">
        <w:t xml:space="preserve">Article 23 </w:t>
      </w:r>
    </w:p>
    <w:p w:rsidR="0024373B" w:rsidRPr="00796916" w:rsidRDefault="0024373B" w:rsidP="00796916">
      <w:pPr>
        <w:rPr>
          <w:i/>
        </w:rPr>
      </w:pPr>
      <w:r w:rsidRPr="00796916">
        <w:rPr>
          <w:i/>
        </w:rPr>
        <w:t>Ensure that a child has “effective access to and receives education, training, health care services, rehabilitation services, preparation for employment and recreation opportunities in a manner conducive to the child’s achieving the fullest possible social integration and individual development, including his or her cultural and spiritual development.”</w:t>
      </w:r>
    </w:p>
    <w:p w:rsidR="0024373B" w:rsidRPr="00796916" w:rsidRDefault="0024373B" w:rsidP="00796916"/>
    <w:p w:rsidR="0024373B" w:rsidRPr="00796916" w:rsidRDefault="0024373B" w:rsidP="00796916">
      <w:r w:rsidRPr="00796916">
        <w:t>Article 28</w:t>
      </w:r>
    </w:p>
    <w:p w:rsidR="0024373B" w:rsidRPr="00796916" w:rsidRDefault="0024373B" w:rsidP="00796916">
      <w:pPr>
        <w:rPr>
          <w:i/>
        </w:rPr>
      </w:pPr>
      <w:r w:rsidRPr="00796916">
        <w:rPr>
          <w:i/>
        </w:rPr>
        <w:t xml:space="preserve">Encourage the development of different forms of secondary education, including general and vocational education, make them available and </w:t>
      </w:r>
      <w:r w:rsidRPr="00796916">
        <w:rPr>
          <w:i/>
        </w:rPr>
        <w:lastRenderedPageBreak/>
        <w:t xml:space="preserve">accessible to every child, and take appropriate measures such as the introduction of free education and offering financial assistance in case of need; make higher education accessible to all on the basis of capacity by every appropriate means; make educational and vocational information and guidance available </w:t>
      </w:r>
      <w:r w:rsidR="00796916" w:rsidRPr="00796916">
        <w:rPr>
          <w:i/>
        </w:rPr>
        <w:t>and accessible to all children.</w:t>
      </w:r>
    </w:p>
    <w:p w:rsidR="0024373B" w:rsidRPr="00796916" w:rsidRDefault="0024373B" w:rsidP="00796916"/>
    <w:p w:rsidR="0024373B" w:rsidRPr="00796916" w:rsidRDefault="0024373B" w:rsidP="00796916">
      <w:r w:rsidRPr="00796916">
        <w:t>Article 29</w:t>
      </w:r>
    </w:p>
    <w:p w:rsidR="0024373B" w:rsidRPr="00796916" w:rsidRDefault="0024373B" w:rsidP="00796916">
      <w:pPr>
        <w:rPr>
          <w:i/>
        </w:rPr>
      </w:pPr>
      <w:r w:rsidRPr="00796916">
        <w:rPr>
          <w:i/>
        </w:rPr>
        <w:t>Ensure “the preparation of the child for responsible life in a free society, in the spirit of understanding, peace, tolerance, equality of sexes, and friendship among all peoples, ethnic, national and religious groups and persons of indigenous origin.”</w:t>
      </w:r>
    </w:p>
    <w:p w:rsidR="0024373B" w:rsidRPr="00796916" w:rsidRDefault="0024373B" w:rsidP="00796916"/>
    <w:p w:rsidR="0024373B" w:rsidRPr="00796916" w:rsidRDefault="0024373B" w:rsidP="00796916">
      <w:r w:rsidRPr="00796916">
        <w:t xml:space="preserve">Articles of relevance from the </w:t>
      </w:r>
      <w:r w:rsidR="00753B56" w:rsidRPr="00796916">
        <w:t>Convention on the Rights of Persons with Disabilities (</w:t>
      </w:r>
      <w:r w:rsidRPr="00796916">
        <w:t>CRPD</w:t>
      </w:r>
      <w:r w:rsidR="00753B56" w:rsidRPr="00796916">
        <w:t>)</w:t>
      </w:r>
      <w:r w:rsidRPr="00796916">
        <w:t xml:space="preserve"> are as follows.</w:t>
      </w:r>
    </w:p>
    <w:p w:rsidR="0024373B" w:rsidRPr="00796916" w:rsidRDefault="0024373B" w:rsidP="00796916"/>
    <w:p w:rsidR="0024373B" w:rsidRPr="00796916" w:rsidRDefault="0024373B" w:rsidP="00796916">
      <w:r w:rsidRPr="00796916">
        <w:t>Article 24</w:t>
      </w:r>
    </w:p>
    <w:p w:rsidR="0024373B" w:rsidRPr="00796916" w:rsidRDefault="0024373B" w:rsidP="00796916">
      <w:pPr>
        <w:rPr>
          <w:i/>
        </w:rPr>
      </w:pPr>
      <w:r w:rsidRPr="00796916">
        <w:rPr>
          <w:i/>
        </w:rPr>
        <w:t>State Parties shall ensure an inclusive education system at all levels and lifelong learning directed to:</w:t>
      </w:r>
    </w:p>
    <w:p w:rsidR="0024373B" w:rsidRPr="00796916" w:rsidRDefault="0024373B" w:rsidP="00796916">
      <w:pPr>
        <w:rPr>
          <w:i/>
        </w:rPr>
      </w:pPr>
      <w:r w:rsidRPr="00796916">
        <w:rPr>
          <w:i/>
        </w:rPr>
        <w:t>a. The full development of human potential and sense of dignity and self-worth, and the strengthening of respect for human rights, fundamental rights and human diversity;</w:t>
      </w:r>
    </w:p>
    <w:p w:rsidR="0024373B" w:rsidRPr="00796916" w:rsidRDefault="0024373B" w:rsidP="00796916">
      <w:pPr>
        <w:rPr>
          <w:i/>
        </w:rPr>
      </w:pPr>
      <w:r w:rsidRPr="00796916">
        <w:rPr>
          <w:i/>
        </w:rPr>
        <w:t>b. The development by persons with disabilities of their personality, talents and creativity, as well as their mental and physical abilities, to their fullest potential; and</w:t>
      </w:r>
    </w:p>
    <w:p w:rsidR="0024373B" w:rsidRPr="00796916" w:rsidRDefault="0024373B" w:rsidP="00796916">
      <w:pPr>
        <w:rPr>
          <w:i/>
        </w:rPr>
      </w:pPr>
      <w:r w:rsidRPr="00796916">
        <w:rPr>
          <w:i/>
        </w:rPr>
        <w:t>c. Enabling persons with disabilities to participate</w:t>
      </w:r>
      <w:r w:rsidR="00796916">
        <w:rPr>
          <w:i/>
        </w:rPr>
        <w:t xml:space="preserve"> effectively in a free society.</w:t>
      </w:r>
    </w:p>
    <w:p w:rsidR="0024373B" w:rsidRPr="00796916" w:rsidRDefault="0024373B" w:rsidP="00796916"/>
    <w:p w:rsidR="0024373B" w:rsidRPr="00796916" w:rsidRDefault="0024373B" w:rsidP="00796916">
      <w:r w:rsidRPr="00796916">
        <w:t>Article 27</w:t>
      </w:r>
    </w:p>
    <w:p w:rsidR="0024373B" w:rsidRPr="00796916" w:rsidRDefault="0024373B" w:rsidP="00796916">
      <w:pPr>
        <w:rPr>
          <w:i/>
        </w:rPr>
      </w:pPr>
      <w:r w:rsidRPr="00796916">
        <w:rPr>
          <w:i/>
        </w:rPr>
        <w:t>State Parties recognize the right of persons with disabilities to work, on an equal basis with others; this includes the right to the opportunity to gain a living by work freely chosen or accepted in a labour market and work environment that is open, inclusive and accessible to persons with disabilities. States Parties shall safeguard and promote the realization of the right to work, including for those who acquire a disability during the course of employment, by taking appropriate steps, including through legislation.</w:t>
      </w:r>
    </w:p>
    <w:p w:rsidR="009F3643" w:rsidRDefault="009F3643" w:rsidP="00DB0CB8"/>
    <w:p w:rsidR="00796916" w:rsidRDefault="00796916" w:rsidP="00DB0CB8">
      <w:r>
        <w:lastRenderedPageBreak/>
        <w:t xml:space="preserve">Ensuring that these rights of young people with disability are upheld will require significant reform that focuses on improving and coordinating services, removing barriers and changing attitudes regarding disability. </w:t>
      </w:r>
      <w:r w:rsidR="00314FBB">
        <w:t>Broader reform is therefore required.</w:t>
      </w:r>
    </w:p>
    <w:p w:rsidR="00796916" w:rsidRDefault="00796916" w:rsidP="00DB0CB8"/>
    <w:p w:rsidR="009F3643" w:rsidRPr="003E5BD1" w:rsidRDefault="009F3643" w:rsidP="009F3643">
      <w:pPr>
        <w:rPr>
          <w:rFonts w:ascii="Calibri" w:hAnsi="Calibri"/>
        </w:rPr>
      </w:pPr>
      <w:r w:rsidRPr="003E5BD1">
        <w:rPr>
          <w:rFonts w:ascii="Calibri" w:hAnsi="Calibri"/>
        </w:rPr>
        <w:t>Thank you for the opportunity to contribute to this Inquiry and please do not hesitate to contact CDA if there are any questions regarding issues raised in this submission.</w:t>
      </w:r>
    </w:p>
    <w:p w:rsidR="009F3643" w:rsidRPr="003E5BD1" w:rsidRDefault="009F3643" w:rsidP="009F3643">
      <w:pPr>
        <w:rPr>
          <w:rFonts w:ascii="Calibri" w:hAnsi="Calibri"/>
          <w:b/>
        </w:rPr>
      </w:pPr>
    </w:p>
    <w:p w:rsidR="009F3643" w:rsidRPr="003E5BD1" w:rsidRDefault="009F3643" w:rsidP="009F3643">
      <w:pPr>
        <w:rPr>
          <w:rFonts w:ascii="Calibri" w:hAnsi="Calibri"/>
          <w:b/>
        </w:rPr>
      </w:pPr>
      <w:r w:rsidRPr="003E5BD1">
        <w:rPr>
          <w:rFonts w:ascii="Calibri" w:hAnsi="Calibri"/>
          <w:b/>
        </w:rPr>
        <w:t>CONTACT</w:t>
      </w:r>
    </w:p>
    <w:p w:rsidR="009F3643" w:rsidRPr="003E5BD1" w:rsidRDefault="009F3643" w:rsidP="009F3643">
      <w:pPr>
        <w:rPr>
          <w:rFonts w:ascii="Calibri" w:hAnsi="Calibri" w:cs="HelveticaNeue-Light"/>
          <w:lang w:val="en-GB"/>
        </w:rPr>
      </w:pPr>
      <w:r w:rsidRPr="003E5BD1">
        <w:rPr>
          <w:rFonts w:ascii="Calibri" w:hAnsi="Calibri" w:cs="HelveticaNeue-Light"/>
          <w:lang w:val="en-GB"/>
        </w:rPr>
        <w:t>Stephanie Gotlib</w:t>
      </w:r>
    </w:p>
    <w:p w:rsidR="009F3643" w:rsidRPr="003E5BD1" w:rsidRDefault="009F3643" w:rsidP="009F3643">
      <w:pPr>
        <w:rPr>
          <w:rFonts w:ascii="Calibri" w:hAnsi="Calibri" w:cs="HelveticaNeue-Light"/>
          <w:lang w:val="en-GB"/>
        </w:rPr>
      </w:pPr>
      <w:r w:rsidRPr="003E5BD1">
        <w:rPr>
          <w:rFonts w:ascii="Calibri" w:hAnsi="Calibri" w:cs="HelveticaNeue-Light"/>
          <w:lang w:val="en-GB"/>
        </w:rPr>
        <w:t>Chief Executive Officer</w:t>
      </w:r>
    </w:p>
    <w:p w:rsidR="009F3643" w:rsidRPr="003E5BD1" w:rsidRDefault="009F3643" w:rsidP="009F3643">
      <w:pPr>
        <w:rPr>
          <w:rFonts w:ascii="Calibri" w:hAnsi="Calibri" w:cs="HelveticaNeue-Light"/>
          <w:lang w:val="en-GB"/>
        </w:rPr>
      </w:pPr>
      <w:r w:rsidRPr="003E5BD1">
        <w:rPr>
          <w:rFonts w:ascii="Calibri" w:hAnsi="Calibri" w:cs="HelveticaNeue-Light"/>
          <w:lang w:val="en-GB"/>
        </w:rPr>
        <w:t>20 Derby Street, Collingwood VIC 3066</w:t>
      </w:r>
    </w:p>
    <w:p w:rsidR="009F3643" w:rsidRPr="003E5BD1" w:rsidRDefault="009F3643" w:rsidP="009F3643">
      <w:pPr>
        <w:rPr>
          <w:rFonts w:ascii="Calibri" w:hAnsi="Calibri" w:cs="HelveticaNeue-Light"/>
          <w:lang w:val="en-GB"/>
        </w:rPr>
      </w:pPr>
      <w:r w:rsidRPr="003E5BD1">
        <w:rPr>
          <w:rFonts w:ascii="Calibri" w:hAnsi="Calibri" w:cs="HelveticaNeue-Light"/>
          <w:lang w:val="en-GB"/>
        </w:rPr>
        <w:t>Phone 03 9417 1025 or 0425 724 230</w:t>
      </w:r>
    </w:p>
    <w:p w:rsidR="009F3643" w:rsidRPr="003E5BD1" w:rsidRDefault="009F3643" w:rsidP="009F3643">
      <w:pPr>
        <w:rPr>
          <w:rFonts w:ascii="Calibri" w:hAnsi="Calibri" w:cs="HelveticaNeue-Light"/>
          <w:lang w:val="en-GB"/>
        </w:rPr>
      </w:pPr>
      <w:r w:rsidRPr="003E5BD1">
        <w:rPr>
          <w:rFonts w:ascii="Calibri" w:hAnsi="Calibri" w:cs="HelveticaNeue-Light"/>
          <w:lang w:val="en-GB"/>
        </w:rPr>
        <w:t>stephanieg@cda.org.au</w:t>
      </w:r>
    </w:p>
    <w:p w:rsidR="00071791" w:rsidRPr="00071791" w:rsidRDefault="00071791" w:rsidP="00DB0CB8">
      <w:pPr>
        <w:rPr>
          <w:rFonts w:ascii="Calibri" w:hAnsi="Calibri" w:cs="HelveticaNeue-Light"/>
          <w:lang w:val="en-GB"/>
        </w:rPr>
      </w:pPr>
      <w:hyperlink r:id="rId9" w:history="1">
        <w:r w:rsidRPr="00B107D7">
          <w:rPr>
            <w:rStyle w:val="Hyperlink"/>
            <w:rFonts w:ascii="Calibri" w:hAnsi="Calibri" w:cs="HelveticaNeue-Light"/>
            <w:lang w:val="en-GB"/>
          </w:rPr>
          <w:t>www.cda.org.au</w:t>
        </w:r>
      </w:hyperlink>
      <w:bookmarkStart w:id="0" w:name="_GoBack"/>
      <w:bookmarkEnd w:id="0"/>
    </w:p>
    <w:sectPr w:rsidR="00071791" w:rsidRPr="0007179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D4E" w:rsidRDefault="007A7D4E" w:rsidP="008E1766">
      <w:r>
        <w:separator/>
      </w:r>
    </w:p>
  </w:endnote>
  <w:endnote w:type="continuationSeparator" w:id="0">
    <w:p w:rsidR="007A7D4E" w:rsidRDefault="007A7D4E" w:rsidP="008E1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D4E" w:rsidRDefault="007A7D4E" w:rsidP="008E1766">
      <w:r>
        <w:separator/>
      </w:r>
    </w:p>
  </w:footnote>
  <w:footnote w:type="continuationSeparator" w:id="0">
    <w:p w:rsidR="007A7D4E" w:rsidRDefault="007A7D4E" w:rsidP="008E1766">
      <w:r>
        <w:continuationSeparator/>
      </w:r>
    </w:p>
  </w:footnote>
  <w:footnote w:id="1">
    <w:p w:rsidR="00FB1D60" w:rsidRPr="00071791" w:rsidRDefault="00FB1D60">
      <w:pPr>
        <w:pStyle w:val="FootnoteText"/>
        <w:rPr>
          <w:sz w:val="18"/>
          <w:szCs w:val="18"/>
        </w:rPr>
      </w:pPr>
      <w:r w:rsidRPr="00071791">
        <w:rPr>
          <w:rStyle w:val="FootnoteReference"/>
          <w:sz w:val="18"/>
          <w:szCs w:val="18"/>
        </w:rPr>
        <w:footnoteRef/>
      </w:r>
      <w:r w:rsidRPr="00071791">
        <w:rPr>
          <w:sz w:val="18"/>
          <w:szCs w:val="18"/>
        </w:rPr>
        <w:t xml:space="preserve"> Commonwealth of Australia 2015, </w:t>
      </w:r>
      <w:r w:rsidRPr="00071791">
        <w:rPr>
          <w:i/>
          <w:sz w:val="18"/>
          <w:szCs w:val="18"/>
        </w:rPr>
        <w:t>Social Security Legislation Amendment (Further Strengthening Job Seeker Compliance) Bill 2015 Explanatory Memorandum</w:t>
      </w:r>
      <w:r w:rsidRPr="00071791">
        <w:rPr>
          <w:sz w:val="18"/>
          <w:szCs w:val="18"/>
        </w:rPr>
        <w:t>, Canberra, p. 42.</w:t>
      </w:r>
    </w:p>
  </w:footnote>
  <w:footnote w:id="2">
    <w:p w:rsidR="00210033" w:rsidRPr="00071791" w:rsidRDefault="00210033">
      <w:pPr>
        <w:pStyle w:val="FootnoteText"/>
        <w:rPr>
          <w:sz w:val="18"/>
          <w:szCs w:val="18"/>
        </w:rPr>
      </w:pPr>
      <w:r w:rsidRPr="00071791">
        <w:rPr>
          <w:rStyle w:val="FootnoteReference"/>
          <w:sz w:val="18"/>
          <w:szCs w:val="18"/>
        </w:rPr>
        <w:footnoteRef/>
      </w:r>
      <w:r w:rsidRPr="00071791">
        <w:rPr>
          <w:sz w:val="18"/>
          <w:szCs w:val="18"/>
        </w:rPr>
        <w:t xml:space="preserve"> Australian Bureau of Statistics 2015, </w:t>
      </w:r>
      <w:r w:rsidRPr="00071791">
        <w:rPr>
          <w:i/>
          <w:sz w:val="18"/>
          <w:szCs w:val="18"/>
        </w:rPr>
        <w:t xml:space="preserve">Labour Force Australia September 2015: Table 13. Labour force status for 15-24 year olds by Sex - Trend, Seasonally adjusted and Original, </w:t>
      </w:r>
      <w:r w:rsidRPr="00071791">
        <w:rPr>
          <w:sz w:val="18"/>
          <w:szCs w:val="18"/>
        </w:rPr>
        <w:t>Commonwealth of Australia, Canberra.</w:t>
      </w:r>
    </w:p>
  </w:footnote>
  <w:footnote w:id="3">
    <w:p w:rsidR="009B3194" w:rsidRPr="00071791" w:rsidRDefault="009B3194">
      <w:pPr>
        <w:pStyle w:val="FootnoteText"/>
        <w:rPr>
          <w:sz w:val="18"/>
          <w:szCs w:val="18"/>
        </w:rPr>
      </w:pPr>
      <w:r w:rsidRPr="00071791">
        <w:rPr>
          <w:rStyle w:val="FootnoteReference"/>
          <w:sz w:val="18"/>
          <w:szCs w:val="18"/>
        </w:rPr>
        <w:footnoteRef/>
      </w:r>
      <w:r w:rsidRPr="00071791">
        <w:rPr>
          <w:sz w:val="18"/>
          <w:szCs w:val="18"/>
        </w:rPr>
        <w:t xml:space="preserve"> Foundation for Young Australians 2015, </w:t>
      </w:r>
      <w:r w:rsidRPr="00071791">
        <w:rPr>
          <w:i/>
          <w:sz w:val="18"/>
          <w:szCs w:val="18"/>
        </w:rPr>
        <w:t xml:space="preserve">The New Work Order: Ensuring young Australians have skills and experience for the jobs of the future, not the past, </w:t>
      </w:r>
      <w:r w:rsidRPr="00071791">
        <w:rPr>
          <w:sz w:val="18"/>
          <w:szCs w:val="18"/>
        </w:rPr>
        <w:t>Melbourne.</w:t>
      </w:r>
    </w:p>
  </w:footnote>
  <w:footnote w:id="4">
    <w:p w:rsidR="008E1766" w:rsidRPr="00071791" w:rsidRDefault="008E1766" w:rsidP="008E1766">
      <w:pPr>
        <w:pStyle w:val="FootnoteText"/>
        <w:rPr>
          <w:sz w:val="18"/>
          <w:szCs w:val="18"/>
        </w:rPr>
      </w:pPr>
      <w:r w:rsidRPr="00071791">
        <w:rPr>
          <w:rStyle w:val="FootnoteReference"/>
          <w:sz w:val="18"/>
          <w:szCs w:val="18"/>
        </w:rPr>
        <w:footnoteRef/>
      </w:r>
      <w:r w:rsidRPr="00071791">
        <w:rPr>
          <w:sz w:val="18"/>
          <w:szCs w:val="18"/>
        </w:rPr>
        <w:t xml:space="preserve"> </w:t>
      </w:r>
      <w:r w:rsidRPr="00071791">
        <w:rPr>
          <w:rFonts w:eastAsia="Times New Roman" w:cs="Arial"/>
          <w:sz w:val="18"/>
          <w:szCs w:val="18"/>
          <w:lang w:eastAsia="en-AU"/>
        </w:rPr>
        <w:t xml:space="preserve">Australian Bureau of Statistics 2012, </w:t>
      </w:r>
      <w:r w:rsidRPr="00071791">
        <w:rPr>
          <w:rFonts w:eastAsia="Times New Roman" w:cs="Arial"/>
          <w:i/>
          <w:iCs/>
          <w:sz w:val="18"/>
          <w:szCs w:val="18"/>
          <w:lang w:eastAsia="en-AU"/>
        </w:rPr>
        <w:t xml:space="preserve">Australian Social Trends, </w:t>
      </w:r>
      <w:r w:rsidRPr="00071791">
        <w:rPr>
          <w:rFonts w:eastAsia="Times New Roman" w:cs="Arial"/>
          <w:sz w:val="18"/>
          <w:szCs w:val="18"/>
          <w:lang w:eastAsia="en-AU"/>
        </w:rPr>
        <w:t>Commonwealth of Australia, Canberra, viewed 17 March 2015,</w:t>
      </w:r>
      <w:r w:rsidRPr="00071791">
        <w:rPr>
          <w:sz w:val="18"/>
          <w:szCs w:val="18"/>
        </w:rPr>
        <w:t xml:space="preserve"> </w:t>
      </w:r>
      <w:hyperlink r:id="rId1" w:history="1">
        <w:r w:rsidRPr="00071791">
          <w:rPr>
            <w:rStyle w:val="Hyperlink"/>
            <w:rFonts w:eastAsia="Times New Roman" w:cs="Arial"/>
            <w:sz w:val="18"/>
            <w:szCs w:val="18"/>
            <w:lang w:eastAsia="en-AU"/>
          </w:rPr>
          <w:t>http://goo.gl/u0oAIp</w:t>
        </w:r>
      </w:hyperlink>
      <w:r w:rsidRPr="00071791">
        <w:rPr>
          <w:rFonts w:eastAsia="Times New Roman" w:cs="Arial"/>
          <w:sz w:val="18"/>
          <w:szCs w:val="18"/>
          <w:lang w:eastAsia="en-AU"/>
        </w:rPr>
        <w:t>.</w:t>
      </w:r>
    </w:p>
  </w:footnote>
  <w:footnote w:id="5">
    <w:p w:rsidR="008E1766" w:rsidRPr="00071791" w:rsidRDefault="008E1766" w:rsidP="008E1766">
      <w:pPr>
        <w:pStyle w:val="FootnoteText"/>
        <w:rPr>
          <w:rFonts w:eastAsia="Times New Roman" w:cs="Arial"/>
          <w:sz w:val="18"/>
          <w:szCs w:val="18"/>
          <w:lang w:eastAsia="en-AU"/>
        </w:rPr>
      </w:pPr>
      <w:r w:rsidRPr="00071791">
        <w:rPr>
          <w:rStyle w:val="FootnoteReference"/>
          <w:sz w:val="18"/>
          <w:szCs w:val="18"/>
        </w:rPr>
        <w:footnoteRef/>
      </w:r>
      <w:r w:rsidRPr="00071791">
        <w:rPr>
          <w:sz w:val="18"/>
          <w:szCs w:val="18"/>
        </w:rPr>
        <w:t xml:space="preserve"> </w:t>
      </w:r>
      <w:r w:rsidR="003E54CE" w:rsidRPr="00071791">
        <w:rPr>
          <w:rFonts w:eastAsia="Times New Roman" w:cs="Arial"/>
          <w:sz w:val="18"/>
          <w:szCs w:val="18"/>
          <w:lang w:eastAsia="en-AU"/>
        </w:rPr>
        <w:t xml:space="preserve">Australian Bureau of Statistics 2012, </w:t>
      </w:r>
      <w:r w:rsidR="003E54CE" w:rsidRPr="00071791">
        <w:rPr>
          <w:rFonts w:eastAsia="Times New Roman" w:cs="Arial"/>
          <w:i/>
          <w:iCs/>
          <w:sz w:val="18"/>
          <w:szCs w:val="18"/>
          <w:lang w:eastAsia="en-AU"/>
        </w:rPr>
        <w:t>Australian Social Trends.</w:t>
      </w:r>
    </w:p>
  </w:footnote>
  <w:footnote w:id="6">
    <w:p w:rsidR="008E1766" w:rsidRPr="00071791" w:rsidRDefault="008E1766" w:rsidP="008E1766">
      <w:pPr>
        <w:rPr>
          <w:rFonts w:eastAsia="Times New Roman" w:cs="Arial"/>
          <w:sz w:val="18"/>
          <w:szCs w:val="18"/>
          <w:lang w:eastAsia="en-AU"/>
        </w:rPr>
      </w:pPr>
      <w:r w:rsidRPr="00071791">
        <w:rPr>
          <w:rStyle w:val="FootnoteReference"/>
          <w:sz w:val="18"/>
          <w:szCs w:val="18"/>
        </w:rPr>
        <w:footnoteRef/>
      </w:r>
      <w:r w:rsidRPr="00071791">
        <w:rPr>
          <w:sz w:val="18"/>
          <w:szCs w:val="18"/>
        </w:rPr>
        <w:t xml:space="preserve"> Ibid.</w:t>
      </w:r>
    </w:p>
  </w:footnote>
  <w:footnote w:id="7">
    <w:p w:rsidR="008E1766" w:rsidRPr="00071791" w:rsidRDefault="008E1766" w:rsidP="008E1766">
      <w:pPr>
        <w:pStyle w:val="FootnoteText"/>
        <w:rPr>
          <w:rFonts w:cstheme="minorHAnsi"/>
          <w:sz w:val="18"/>
          <w:szCs w:val="18"/>
        </w:rPr>
      </w:pPr>
      <w:r w:rsidRPr="00071791">
        <w:rPr>
          <w:rStyle w:val="FootnoteReference"/>
          <w:rFonts w:cstheme="minorHAnsi"/>
          <w:sz w:val="18"/>
          <w:szCs w:val="18"/>
        </w:rPr>
        <w:footnoteRef/>
      </w:r>
      <w:r w:rsidRPr="00071791">
        <w:rPr>
          <w:rFonts w:cstheme="minorHAnsi"/>
          <w:sz w:val="18"/>
          <w:szCs w:val="18"/>
        </w:rPr>
        <w:t xml:space="preserve"> PricewaterhouseCoopers 2012, </w:t>
      </w:r>
      <w:r w:rsidRPr="00071791">
        <w:rPr>
          <w:rFonts w:cstheme="minorHAnsi"/>
          <w:i/>
          <w:sz w:val="18"/>
          <w:szCs w:val="18"/>
        </w:rPr>
        <w:t>Disability expectations: Investing in a better life, a stronger Australia,</w:t>
      </w:r>
      <w:r w:rsidRPr="00071791">
        <w:rPr>
          <w:rFonts w:cstheme="minorHAnsi"/>
          <w:sz w:val="18"/>
          <w:szCs w:val="18"/>
        </w:rPr>
        <w:t xml:space="preserve"> Australia.</w:t>
      </w:r>
    </w:p>
  </w:footnote>
  <w:footnote w:id="8">
    <w:p w:rsidR="008E1766" w:rsidRPr="00071791" w:rsidRDefault="008E1766" w:rsidP="008E1766">
      <w:pPr>
        <w:pStyle w:val="FootnoteText"/>
        <w:rPr>
          <w:rFonts w:cstheme="minorHAnsi"/>
          <w:sz w:val="18"/>
          <w:szCs w:val="18"/>
        </w:rPr>
      </w:pPr>
      <w:r w:rsidRPr="00071791">
        <w:rPr>
          <w:rStyle w:val="FootnoteReference"/>
          <w:rFonts w:cstheme="minorHAnsi"/>
          <w:sz w:val="18"/>
          <w:szCs w:val="18"/>
        </w:rPr>
        <w:footnoteRef/>
      </w:r>
      <w:r w:rsidRPr="00071791">
        <w:rPr>
          <w:rFonts w:cstheme="minorHAnsi"/>
          <w:sz w:val="18"/>
          <w:szCs w:val="18"/>
        </w:rPr>
        <w:t xml:space="preserve"> Ibid.</w:t>
      </w:r>
    </w:p>
  </w:footnote>
  <w:footnote w:id="9">
    <w:p w:rsidR="009630A0" w:rsidRPr="00071791" w:rsidRDefault="009630A0">
      <w:pPr>
        <w:pStyle w:val="FootnoteText"/>
        <w:rPr>
          <w:sz w:val="18"/>
          <w:szCs w:val="18"/>
        </w:rPr>
      </w:pPr>
      <w:r w:rsidRPr="00071791">
        <w:rPr>
          <w:rStyle w:val="FootnoteReference"/>
          <w:sz w:val="18"/>
          <w:szCs w:val="18"/>
        </w:rPr>
        <w:footnoteRef/>
      </w:r>
      <w:r w:rsidRPr="00071791">
        <w:rPr>
          <w:sz w:val="18"/>
          <w:szCs w:val="18"/>
        </w:rPr>
        <w:t xml:space="preserve"> Submission 257.</w:t>
      </w:r>
    </w:p>
  </w:footnote>
  <w:footnote w:id="10">
    <w:p w:rsidR="00314FBB" w:rsidRDefault="00314FBB">
      <w:pPr>
        <w:pStyle w:val="FootnoteText"/>
      </w:pPr>
      <w:r w:rsidRPr="00071791">
        <w:rPr>
          <w:rStyle w:val="FootnoteReference"/>
          <w:sz w:val="18"/>
          <w:szCs w:val="18"/>
        </w:rPr>
        <w:footnoteRef/>
      </w:r>
      <w:r w:rsidRPr="00071791">
        <w:rPr>
          <w:sz w:val="18"/>
          <w:szCs w:val="18"/>
        </w:rPr>
        <w:t xml:space="preserve"> Australian Government Department of Employment 2014</w:t>
      </w:r>
      <w:r w:rsidRPr="00071791">
        <w:rPr>
          <w:i/>
          <w:sz w:val="18"/>
          <w:szCs w:val="18"/>
        </w:rPr>
        <w:t>, Eligible School Leaver Guidelines</w:t>
      </w:r>
      <w:r w:rsidRPr="00071791">
        <w:rPr>
          <w:sz w:val="18"/>
          <w:szCs w:val="18"/>
        </w:rPr>
        <w:t>, Commonwealth of Australia, Canberra.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7118AD"/>
    <w:multiLevelType w:val="hybridMultilevel"/>
    <w:tmpl w:val="6A7458FC"/>
    <w:lvl w:ilvl="0" w:tplc="E368BC46">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6E2673F"/>
    <w:multiLevelType w:val="hybridMultilevel"/>
    <w:tmpl w:val="33849F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5E676D7"/>
    <w:multiLevelType w:val="hybridMultilevel"/>
    <w:tmpl w:val="E86E42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CB8"/>
    <w:rsid w:val="00024544"/>
    <w:rsid w:val="00062767"/>
    <w:rsid w:val="00064ADE"/>
    <w:rsid w:val="00071791"/>
    <w:rsid w:val="000C36D3"/>
    <w:rsid w:val="00126009"/>
    <w:rsid w:val="001409A6"/>
    <w:rsid w:val="0019128D"/>
    <w:rsid w:val="001E0217"/>
    <w:rsid w:val="001E2C39"/>
    <w:rsid w:val="00210033"/>
    <w:rsid w:val="0021281D"/>
    <w:rsid w:val="0024373B"/>
    <w:rsid w:val="00251C99"/>
    <w:rsid w:val="00252681"/>
    <w:rsid w:val="0028299D"/>
    <w:rsid w:val="00314FBB"/>
    <w:rsid w:val="00315599"/>
    <w:rsid w:val="003E54CE"/>
    <w:rsid w:val="004446A4"/>
    <w:rsid w:val="00456EEA"/>
    <w:rsid w:val="004A0A0D"/>
    <w:rsid w:val="004E7ED4"/>
    <w:rsid w:val="004F0202"/>
    <w:rsid w:val="0054263F"/>
    <w:rsid w:val="005C2F8C"/>
    <w:rsid w:val="00606D14"/>
    <w:rsid w:val="00646E99"/>
    <w:rsid w:val="00666487"/>
    <w:rsid w:val="006A0397"/>
    <w:rsid w:val="006F67AF"/>
    <w:rsid w:val="0071397B"/>
    <w:rsid w:val="007522CC"/>
    <w:rsid w:val="00753B56"/>
    <w:rsid w:val="00787B32"/>
    <w:rsid w:val="00796916"/>
    <w:rsid w:val="00797E43"/>
    <w:rsid w:val="007A7D4E"/>
    <w:rsid w:val="007C6E73"/>
    <w:rsid w:val="007D43E9"/>
    <w:rsid w:val="007D7591"/>
    <w:rsid w:val="00854FD7"/>
    <w:rsid w:val="00882A1D"/>
    <w:rsid w:val="008E1766"/>
    <w:rsid w:val="0090368C"/>
    <w:rsid w:val="00933051"/>
    <w:rsid w:val="009630A0"/>
    <w:rsid w:val="00991982"/>
    <w:rsid w:val="009B3194"/>
    <w:rsid w:val="009F3643"/>
    <w:rsid w:val="00A20434"/>
    <w:rsid w:val="00A90B69"/>
    <w:rsid w:val="00A90D9B"/>
    <w:rsid w:val="00AA0FFB"/>
    <w:rsid w:val="00AA566E"/>
    <w:rsid w:val="00B25D31"/>
    <w:rsid w:val="00C2356B"/>
    <w:rsid w:val="00C52982"/>
    <w:rsid w:val="00C62862"/>
    <w:rsid w:val="00CB7209"/>
    <w:rsid w:val="00CD5967"/>
    <w:rsid w:val="00D30E2A"/>
    <w:rsid w:val="00DB0CB8"/>
    <w:rsid w:val="00E112D8"/>
    <w:rsid w:val="00E17E99"/>
    <w:rsid w:val="00E55D7A"/>
    <w:rsid w:val="00F44DB8"/>
    <w:rsid w:val="00F96A90"/>
    <w:rsid w:val="00FA4A9F"/>
    <w:rsid w:val="00FB12EA"/>
    <w:rsid w:val="00FB1D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FD9F56-1A43-459F-A30A-B5D6F4217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0CB8"/>
    <w:rPr>
      <w:color w:val="0563C1" w:themeColor="hyperlink"/>
      <w:u w:val="single"/>
    </w:rPr>
  </w:style>
  <w:style w:type="paragraph" w:styleId="ListParagraph">
    <w:name w:val="List Paragraph"/>
    <w:aliases w:val="List Paragraph Number"/>
    <w:basedOn w:val="Normal"/>
    <w:link w:val="ListParagraphChar"/>
    <w:uiPriority w:val="34"/>
    <w:qFormat/>
    <w:rsid w:val="009F3643"/>
    <w:pPr>
      <w:ind w:left="720"/>
      <w:contextualSpacing/>
    </w:pPr>
  </w:style>
  <w:style w:type="paragraph" w:styleId="FootnoteText">
    <w:name w:val="footnote text"/>
    <w:basedOn w:val="Normal"/>
    <w:link w:val="FootnoteTextChar"/>
    <w:uiPriority w:val="99"/>
    <w:unhideWhenUsed/>
    <w:rsid w:val="008E1766"/>
    <w:rPr>
      <w:sz w:val="20"/>
      <w:szCs w:val="20"/>
    </w:rPr>
  </w:style>
  <w:style w:type="character" w:customStyle="1" w:styleId="FootnoteTextChar">
    <w:name w:val="Footnote Text Char"/>
    <w:basedOn w:val="DefaultParagraphFont"/>
    <w:link w:val="FootnoteText"/>
    <w:uiPriority w:val="99"/>
    <w:rsid w:val="008E1766"/>
    <w:rPr>
      <w:sz w:val="20"/>
      <w:szCs w:val="20"/>
    </w:rPr>
  </w:style>
  <w:style w:type="character" w:styleId="FootnoteReference">
    <w:name w:val="footnote reference"/>
    <w:basedOn w:val="DefaultParagraphFont"/>
    <w:uiPriority w:val="99"/>
    <w:unhideWhenUsed/>
    <w:rsid w:val="008E1766"/>
    <w:rPr>
      <w:vertAlign w:val="superscript"/>
    </w:rPr>
  </w:style>
  <w:style w:type="character" w:customStyle="1" w:styleId="ListParagraphChar">
    <w:name w:val="List Paragraph Char"/>
    <w:aliases w:val="List Paragraph Number Char"/>
    <w:basedOn w:val="DefaultParagraphFont"/>
    <w:link w:val="ListParagraph"/>
    <w:uiPriority w:val="34"/>
    <w:rsid w:val="008E1766"/>
  </w:style>
  <w:style w:type="paragraph" w:styleId="BalloonText">
    <w:name w:val="Balloon Text"/>
    <w:basedOn w:val="Normal"/>
    <w:link w:val="BalloonTextChar"/>
    <w:uiPriority w:val="99"/>
    <w:semiHidden/>
    <w:unhideWhenUsed/>
    <w:rsid w:val="003E54C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4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c.sen@aph.gov.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da.org.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goo.gl/u0oA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A8FA5-2101-42D6-ACFB-AF1631507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1668</Words>
  <Characters>9512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2015-10-22T22:42:00Z</cp:lastPrinted>
  <dcterms:created xsi:type="dcterms:W3CDTF">2015-10-23T02:45:00Z</dcterms:created>
  <dcterms:modified xsi:type="dcterms:W3CDTF">2015-10-23T02:45:00Z</dcterms:modified>
</cp:coreProperties>
</file>