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1DCD38" w14:textId="77777777" w:rsidR="00862A40" w:rsidRDefault="00862A40" w:rsidP="00862A40">
      <w:pPr>
        <w:keepNext/>
        <w:widowControl w:val="0"/>
        <w:suppressAutoHyphens/>
        <w:autoSpaceDE w:val="0"/>
        <w:autoSpaceDN w:val="0"/>
        <w:adjustRightInd w:val="0"/>
        <w:jc w:val="center"/>
        <w:textAlignment w:val="center"/>
        <w:outlineLvl w:val="0"/>
        <w:rPr>
          <w:b/>
          <w:sz w:val="56"/>
          <w:szCs w:val="28"/>
        </w:rPr>
      </w:pPr>
    </w:p>
    <w:p w14:paraId="5A56BF33" w14:textId="77777777" w:rsidR="00862A40" w:rsidRDefault="00862A40" w:rsidP="00862A40">
      <w:pPr>
        <w:keepNext/>
        <w:widowControl w:val="0"/>
        <w:suppressAutoHyphens/>
        <w:autoSpaceDE w:val="0"/>
        <w:autoSpaceDN w:val="0"/>
        <w:adjustRightInd w:val="0"/>
        <w:jc w:val="center"/>
        <w:textAlignment w:val="center"/>
        <w:outlineLvl w:val="0"/>
        <w:rPr>
          <w:b/>
          <w:sz w:val="56"/>
          <w:szCs w:val="28"/>
        </w:rPr>
      </w:pPr>
    </w:p>
    <w:p w14:paraId="4CF1E9E8" w14:textId="77777777" w:rsidR="00862A40" w:rsidRPr="0091600E" w:rsidRDefault="00862A40" w:rsidP="00862A40">
      <w:pPr>
        <w:keepNext/>
        <w:widowControl w:val="0"/>
        <w:suppressAutoHyphens/>
        <w:autoSpaceDE w:val="0"/>
        <w:autoSpaceDN w:val="0"/>
        <w:adjustRightInd w:val="0"/>
        <w:jc w:val="center"/>
        <w:textAlignment w:val="center"/>
        <w:outlineLvl w:val="0"/>
        <w:rPr>
          <w:b/>
          <w:sz w:val="56"/>
          <w:szCs w:val="28"/>
        </w:rPr>
      </w:pPr>
    </w:p>
    <w:p w14:paraId="77A75613" w14:textId="77777777" w:rsidR="00862A40" w:rsidRPr="001405B1" w:rsidRDefault="00862A40" w:rsidP="00862A40">
      <w:pPr>
        <w:keepNext/>
        <w:widowControl w:val="0"/>
        <w:suppressAutoHyphens/>
        <w:autoSpaceDE w:val="0"/>
        <w:autoSpaceDN w:val="0"/>
        <w:adjustRightInd w:val="0"/>
        <w:jc w:val="center"/>
        <w:textAlignment w:val="center"/>
        <w:outlineLvl w:val="0"/>
        <w:rPr>
          <w:rFonts w:cs="HelveticaNeue-Bold"/>
          <w:b/>
          <w:bCs/>
          <w:color w:val="000000"/>
          <w:sz w:val="72"/>
          <w:szCs w:val="56"/>
        </w:rPr>
      </w:pPr>
      <w:r>
        <w:rPr>
          <w:rFonts w:cs="HelveticaNeue-Bold"/>
          <w:b/>
          <w:bCs/>
          <w:color w:val="000000"/>
          <w:sz w:val="72"/>
          <w:szCs w:val="68"/>
        </w:rPr>
        <w:t>Australian Human Rights Commission</w:t>
      </w:r>
    </w:p>
    <w:p w14:paraId="699E0D36" w14:textId="77777777" w:rsidR="00862A40" w:rsidRDefault="00862A40" w:rsidP="00862A40">
      <w:pPr>
        <w:keepNext/>
        <w:widowControl w:val="0"/>
        <w:suppressAutoHyphens/>
        <w:autoSpaceDE w:val="0"/>
        <w:autoSpaceDN w:val="0"/>
        <w:adjustRightInd w:val="0"/>
        <w:jc w:val="center"/>
        <w:textAlignment w:val="center"/>
        <w:outlineLvl w:val="0"/>
        <w:rPr>
          <w:rFonts w:cs="HelveticaNeue-Bold"/>
          <w:b/>
          <w:bCs/>
          <w:color w:val="000000"/>
          <w:sz w:val="56"/>
          <w:szCs w:val="56"/>
        </w:rPr>
      </w:pPr>
    </w:p>
    <w:p w14:paraId="6F6DC9A0" w14:textId="77777777" w:rsidR="001C37E5" w:rsidRPr="006D2EA0" w:rsidRDefault="001C37E5" w:rsidP="00862A40">
      <w:pPr>
        <w:keepNext/>
        <w:widowControl w:val="0"/>
        <w:suppressAutoHyphens/>
        <w:autoSpaceDE w:val="0"/>
        <w:autoSpaceDN w:val="0"/>
        <w:adjustRightInd w:val="0"/>
        <w:jc w:val="center"/>
        <w:textAlignment w:val="center"/>
        <w:outlineLvl w:val="0"/>
        <w:rPr>
          <w:rFonts w:cs="HelveticaNeue-Bold"/>
          <w:b/>
          <w:bCs/>
          <w:color w:val="000000"/>
          <w:sz w:val="56"/>
          <w:szCs w:val="56"/>
        </w:rPr>
      </w:pPr>
    </w:p>
    <w:p w14:paraId="61DCE660" w14:textId="77777777" w:rsidR="00862A40" w:rsidRPr="006D2EA0" w:rsidRDefault="00862A40" w:rsidP="00862A40">
      <w:pPr>
        <w:keepNext/>
        <w:widowControl w:val="0"/>
        <w:suppressAutoHyphens/>
        <w:autoSpaceDE w:val="0"/>
        <w:autoSpaceDN w:val="0"/>
        <w:adjustRightInd w:val="0"/>
        <w:jc w:val="center"/>
        <w:textAlignment w:val="center"/>
        <w:outlineLvl w:val="0"/>
        <w:rPr>
          <w:rFonts w:cs="HelveticaNeue-Bold"/>
          <w:b/>
          <w:bCs/>
          <w:color w:val="000000"/>
          <w:sz w:val="56"/>
          <w:szCs w:val="56"/>
        </w:rPr>
      </w:pPr>
    </w:p>
    <w:p w14:paraId="727ED666" w14:textId="77777777" w:rsidR="00862A40" w:rsidRPr="006D2EA0" w:rsidRDefault="00862A40" w:rsidP="00862A40">
      <w:pPr>
        <w:keepNext/>
        <w:widowControl w:val="0"/>
        <w:suppressAutoHyphens/>
        <w:autoSpaceDE w:val="0"/>
        <w:autoSpaceDN w:val="0"/>
        <w:adjustRightInd w:val="0"/>
        <w:jc w:val="center"/>
        <w:textAlignment w:val="center"/>
        <w:outlineLvl w:val="0"/>
        <w:rPr>
          <w:rFonts w:cs="HelveticaNeue-Bold"/>
          <w:b/>
          <w:bCs/>
          <w:sz w:val="44"/>
          <w:szCs w:val="44"/>
        </w:rPr>
      </w:pPr>
      <w:r w:rsidRPr="00862A40">
        <w:rPr>
          <w:rFonts w:cs="HelveticaNeue-Bold"/>
          <w:b/>
          <w:bCs/>
          <w:color w:val="000000"/>
          <w:sz w:val="56"/>
          <w:szCs w:val="44"/>
        </w:rPr>
        <w:t xml:space="preserve">Optional Protocol to the Convention against Torture in the context of Youth </w:t>
      </w:r>
      <w:r w:rsidRPr="00862A40">
        <w:rPr>
          <w:rFonts w:cs="HelveticaNeue-Bold"/>
          <w:b/>
          <w:bCs/>
          <w:color w:val="000000"/>
          <w:sz w:val="56"/>
          <w:szCs w:val="44"/>
        </w:rPr>
        <w:lastRenderedPageBreak/>
        <w:t>Justice Detention Centres</w:t>
      </w:r>
    </w:p>
    <w:p w14:paraId="06F40BFB" w14:textId="77777777" w:rsidR="00862A40" w:rsidRPr="00DC072C" w:rsidRDefault="00862A40" w:rsidP="00862A40">
      <w:pPr>
        <w:keepNext/>
        <w:widowControl w:val="0"/>
        <w:suppressAutoHyphens/>
        <w:autoSpaceDE w:val="0"/>
        <w:autoSpaceDN w:val="0"/>
        <w:adjustRightInd w:val="0"/>
        <w:jc w:val="center"/>
        <w:textAlignment w:val="center"/>
        <w:outlineLvl w:val="0"/>
        <w:rPr>
          <w:rFonts w:cs="HelveticaNeue-Bold"/>
          <w:b/>
          <w:bCs/>
          <w:sz w:val="44"/>
          <w:szCs w:val="44"/>
        </w:rPr>
      </w:pPr>
    </w:p>
    <w:p w14:paraId="5B7C58A6" w14:textId="77777777" w:rsidR="00862A40" w:rsidRDefault="00862A40" w:rsidP="00862A40">
      <w:pPr>
        <w:keepNext/>
        <w:widowControl w:val="0"/>
        <w:suppressAutoHyphens/>
        <w:autoSpaceDE w:val="0"/>
        <w:autoSpaceDN w:val="0"/>
        <w:adjustRightInd w:val="0"/>
        <w:jc w:val="center"/>
        <w:textAlignment w:val="center"/>
        <w:outlineLvl w:val="0"/>
        <w:rPr>
          <w:rFonts w:cs="HelveticaNeue-Bold"/>
          <w:bCs/>
          <w:sz w:val="44"/>
          <w:szCs w:val="44"/>
        </w:rPr>
      </w:pPr>
    </w:p>
    <w:p w14:paraId="4C61C88C" w14:textId="77777777" w:rsidR="00862A40" w:rsidRDefault="00862A40" w:rsidP="00862A40">
      <w:pPr>
        <w:keepNext/>
        <w:widowControl w:val="0"/>
        <w:suppressAutoHyphens/>
        <w:autoSpaceDE w:val="0"/>
        <w:autoSpaceDN w:val="0"/>
        <w:adjustRightInd w:val="0"/>
        <w:jc w:val="center"/>
        <w:textAlignment w:val="center"/>
        <w:outlineLvl w:val="0"/>
        <w:rPr>
          <w:rFonts w:cs="HelveticaNeue-Bold"/>
          <w:bCs/>
          <w:sz w:val="44"/>
          <w:szCs w:val="44"/>
        </w:rPr>
      </w:pPr>
    </w:p>
    <w:p w14:paraId="5E578071" w14:textId="77777777" w:rsidR="00862A40" w:rsidRDefault="00862A40" w:rsidP="00862A40">
      <w:pPr>
        <w:keepNext/>
        <w:widowControl w:val="0"/>
        <w:suppressAutoHyphens/>
        <w:autoSpaceDE w:val="0"/>
        <w:autoSpaceDN w:val="0"/>
        <w:adjustRightInd w:val="0"/>
        <w:jc w:val="center"/>
        <w:textAlignment w:val="center"/>
        <w:outlineLvl w:val="0"/>
        <w:rPr>
          <w:rFonts w:cs="HelveticaNeue-Bold"/>
          <w:bCs/>
          <w:sz w:val="44"/>
          <w:szCs w:val="44"/>
        </w:rPr>
      </w:pPr>
    </w:p>
    <w:p w14:paraId="5DE76A3B" w14:textId="77777777" w:rsidR="00862A40" w:rsidRDefault="00862A40" w:rsidP="00862A40">
      <w:pPr>
        <w:keepNext/>
        <w:widowControl w:val="0"/>
        <w:suppressAutoHyphens/>
        <w:autoSpaceDE w:val="0"/>
        <w:autoSpaceDN w:val="0"/>
        <w:adjustRightInd w:val="0"/>
        <w:jc w:val="center"/>
        <w:textAlignment w:val="center"/>
        <w:outlineLvl w:val="0"/>
        <w:rPr>
          <w:rFonts w:cs="HelveticaNeue-Bold"/>
          <w:bCs/>
          <w:sz w:val="44"/>
          <w:szCs w:val="44"/>
        </w:rPr>
      </w:pPr>
    </w:p>
    <w:p w14:paraId="11E34AF4" w14:textId="77777777" w:rsidR="001C37E5" w:rsidRDefault="001C37E5" w:rsidP="00862A40">
      <w:pPr>
        <w:keepNext/>
        <w:widowControl w:val="0"/>
        <w:suppressAutoHyphens/>
        <w:autoSpaceDE w:val="0"/>
        <w:autoSpaceDN w:val="0"/>
        <w:adjustRightInd w:val="0"/>
        <w:jc w:val="center"/>
        <w:textAlignment w:val="center"/>
        <w:outlineLvl w:val="0"/>
        <w:rPr>
          <w:rFonts w:cs="HelveticaNeue-Bold"/>
          <w:bCs/>
          <w:sz w:val="44"/>
          <w:szCs w:val="44"/>
        </w:rPr>
      </w:pPr>
    </w:p>
    <w:p w14:paraId="57BF2D3C" w14:textId="77777777" w:rsidR="00862A40" w:rsidRDefault="00862A40" w:rsidP="00862A40">
      <w:pPr>
        <w:keepNext/>
        <w:widowControl w:val="0"/>
        <w:suppressAutoHyphens/>
        <w:autoSpaceDE w:val="0"/>
        <w:autoSpaceDN w:val="0"/>
        <w:adjustRightInd w:val="0"/>
        <w:jc w:val="center"/>
        <w:textAlignment w:val="center"/>
        <w:outlineLvl w:val="0"/>
        <w:rPr>
          <w:rFonts w:cs="HelveticaNeue-Bold"/>
          <w:bCs/>
          <w:sz w:val="44"/>
          <w:szCs w:val="44"/>
        </w:rPr>
      </w:pPr>
    </w:p>
    <w:p w14:paraId="5C373248" w14:textId="77777777" w:rsidR="00862A40" w:rsidRPr="006D2EA0" w:rsidRDefault="00862A40" w:rsidP="00862A40">
      <w:pPr>
        <w:keepNext/>
        <w:widowControl w:val="0"/>
        <w:suppressAutoHyphens/>
        <w:autoSpaceDE w:val="0"/>
        <w:autoSpaceDN w:val="0"/>
        <w:adjustRightInd w:val="0"/>
        <w:jc w:val="center"/>
        <w:textAlignment w:val="center"/>
        <w:outlineLvl w:val="0"/>
        <w:rPr>
          <w:rFonts w:cs="HelveticaNeue-Bold"/>
          <w:bCs/>
          <w:sz w:val="44"/>
          <w:szCs w:val="44"/>
        </w:rPr>
      </w:pPr>
    </w:p>
    <w:p w14:paraId="4C90EC0B" w14:textId="77777777" w:rsidR="00862A40" w:rsidRPr="00383530" w:rsidRDefault="00862A40" w:rsidP="00862A40">
      <w:pPr>
        <w:keepNext/>
        <w:widowControl w:val="0"/>
        <w:suppressAutoHyphens/>
        <w:autoSpaceDE w:val="0"/>
        <w:autoSpaceDN w:val="0"/>
        <w:adjustRightInd w:val="0"/>
        <w:jc w:val="center"/>
        <w:textAlignment w:val="center"/>
        <w:outlineLvl w:val="0"/>
        <w:rPr>
          <w:rFonts w:cs="HelveticaNeue-Bold"/>
          <w:b/>
          <w:bCs/>
          <w:sz w:val="40"/>
          <w:szCs w:val="40"/>
        </w:rPr>
      </w:pPr>
      <w:r w:rsidRPr="00383530">
        <w:rPr>
          <w:rFonts w:cs="HelveticaNeue-Bold"/>
          <w:b/>
          <w:bCs/>
          <w:sz w:val="40"/>
          <w:szCs w:val="40"/>
        </w:rPr>
        <w:t>Children and Young People with Disability Australia</w:t>
      </w:r>
    </w:p>
    <w:p w14:paraId="6EBC2D72" w14:textId="77777777" w:rsidR="00862A40" w:rsidRPr="00383530" w:rsidRDefault="00862A40" w:rsidP="00862A40">
      <w:pPr>
        <w:keepNext/>
        <w:widowControl w:val="0"/>
        <w:suppressAutoHyphens/>
        <w:autoSpaceDE w:val="0"/>
        <w:autoSpaceDN w:val="0"/>
        <w:adjustRightInd w:val="0"/>
        <w:jc w:val="center"/>
        <w:textAlignment w:val="center"/>
        <w:outlineLvl w:val="0"/>
        <w:rPr>
          <w:rFonts w:cs="HelveticaNeue-Bold"/>
          <w:b/>
          <w:bCs/>
          <w:sz w:val="40"/>
          <w:szCs w:val="40"/>
        </w:rPr>
      </w:pPr>
      <w:r w:rsidRPr="00383530">
        <w:rPr>
          <w:rFonts w:cs="HelveticaNeue-Bold"/>
          <w:b/>
          <w:bCs/>
          <w:sz w:val="40"/>
          <w:szCs w:val="40"/>
        </w:rPr>
        <w:t>Submission - June 2016</w:t>
      </w:r>
    </w:p>
    <w:p w14:paraId="44286B3F" w14:textId="77777777" w:rsidR="00862A40" w:rsidRDefault="00862A40" w:rsidP="00862A40">
      <w:pPr>
        <w:rPr>
          <w:rFonts w:cs="HelveticaNeue-Bold"/>
          <w:bCs/>
          <w:sz w:val="44"/>
          <w:szCs w:val="44"/>
        </w:rPr>
      </w:pPr>
      <w:r>
        <w:rPr>
          <w:rFonts w:cs="HelveticaNeue-Bold"/>
          <w:bCs/>
          <w:sz w:val="44"/>
          <w:szCs w:val="44"/>
        </w:rPr>
        <w:br w:type="page"/>
      </w:r>
    </w:p>
    <w:p w14:paraId="5DA71B0A" w14:textId="77777777" w:rsidR="00656536" w:rsidRDefault="00656536">
      <w:pPr>
        <w:rPr>
          <w:b/>
          <w:sz w:val="24"/>
        </w:rPr>
      </w:pPr>
      <w:r w:rsidRPr="00BD71FF">
        <w:rPr>
          <w:b/>
          <w:sz w:val="24"/>
        </w:rPr>
        <w:lastRenderedPageBreak/>
        <w:t>CONTENTS</w:t>
      </w:r>
    </w:p>
    <w:p w14:paraId="6EC52F96" w14:textId="77777777" w:rsidR="00656536" w:rsidRDefault="00656536">
      <w:pPr>
        <w:rPr>
          <w:b/>
        </w:rPr>
      </w:pPr>
    </w:p>
    <w:p w14:paraId="241AC80F" w14:textId="12321B18" w:rsidR="00FC5EBE" w:rsidRDefault="00FC5EBE" w:rsidP="001A1100">
      <w:pPr>
        <w:spacing w:line="360" w:lineRule="auto"/>
      </w:pPr>
      <w:r>
        <w:t>INTRODUCTION</w:t>
      </w:r>
      <w:r w:rsidR="001A1100">
        <w:tab/>
      </w:r>
      <w:r w:rsidR="001A1100">
        <w:tab/>
      </w:r>
      <w:r w:rsidR="001A1100">
        <w:tab/>
      </w:r>
      <w:r w:rsidR="001A1100">
        <w:tab/>
      </w:r>
      <w:r w:rsidR="001A1100">
        <w:tab/>
      </w:r>
      <w:r w:rsidR="001A1100">
        <w:tab/>
      </w:r>
      <w:r w:rsidR="001A1100">
        <w:tab/>
      </w:r>
      <w:r w:rsidR="001A1100">
        <w:tab/>
      </w:r>
      <w:r w:rsidR="001A1100">
        <w:tab/>
      </w:r>
      <w:r w:rsidR="001A1100">
        <w:tab/>
      </w:r>
      <w:r w:rsidR="001A1100">
        <w:tab/>
      </w:r>
      <w:r w:rsidR="00BD71FF">
        <w:t>3</w:t>
      </w:r>
    </w:p>
    <w:p w14:paraId="30499B1D" w14:textId="274614E7" w:rsidR="001A1100" w:rsidRDefault="001A1100" w:rsidP="001A1100">
      <w:pPr>
        <w:spacing w:line="360" w:lineRule="auto"/>
      </w:pPr>
      <w:r>
        <w:t>OPTIONAL PROTOCOL TO THE CONVENTION AGAINST TORTURE</w:t>
      </w:r>
      <w:r>
        <w:tab/>
      </w:r>
      <w:r>
        <w:tab/>
      </w:r>
      <w:r>
        <w:tab/>
      </w:r>
      <w:r>
        <w:tab/>
      </w:r>
      <w:r>
        <w:tab/>
      </w:r>
      <w:r w:rsidR="00BD71FF">
        <w:t>3</w:t>
      </w:r>
    </w:p>
    <w:p w14:paraId="12D06248" w14:textId="469CA9B3" w:rsidR="001A1100" w:rsidRDefault="001A1100" w:rsidP="001A1100">
      <w:pPr>
        <w:spacing w:line="360" w:lineRule="auto"/>
      </w:pPr>
      <w:r>
        <w:tab/>
      </w:r>
      <w:r>
        <w:t>Education Settings</w:t>
      </w:r>
      <w:r>
        <w:tab/>
      </w:r>
      <w:r>
        <w:tab/>
      </w:r>
      <w:r>
        <w:tab/>
      </w:r>
      <w:r>
        <w:tab/>
      </w:r>
      <w:r>
        <w:tab/>
      </w:r>
      <w:r>
        <w:tab/>
      </w:r>
      <w:r>
        <w:tab/>
      </w:r>
      <w:r>
        <w:tab/>
      </w:r>
      <w:r>
        <w:tab/>
      </w:r>
      <w:r w:rsidR="00BD71FF">
        <w:t>3</w:t>
      </w:r>
    </w:p>
    <w:p w14:paraId="5F572737" w14:textId="03271252" w:rsidR="001A1100" w:rsidRDefault="001A1100" w:rsidP="001A1100">
      <w:pPr>
        <w:spacing w:line="360" w:lineRule="auto"/>
      </w:pPr>
      <w:r>
        <w:tab/>
      </w:r>
      <w:r>
        <w:t>School Transport</w:t>
      </w:r>
      <w:r>
        <w:tab/>
      </w:r>
      <w:r>
        <w:tab/>
      </w:r>
      <w:r>
        <w:tab/>
      </w:r>
      <w:r>
        <w:tab/>
      </w:r>
      <w:r>
        <w:tab/>
      </w:r>
      <w:r>
        <w:tab/>
      </w:r>
      <w:r>
        <w:tab/>
      </w:r>
      <w:r>
        <w:tab/>
      </w:r>
      <w:r>
        <w:tab/>
      </w:r>
      <w:r w:rsidR="00BD71FF">
        <w:t>6</w:t>
      </w:r>
    </w:p>
    <w:p w14:paraId="2D8858A0" w14:textId="0CF6828C" w:rsidR="001A1100" w:rsidRDefault="001A1100" w:rsidP="001A1100">
      <w:pPr>
        <w:spacing w:line="360" w:lineRule="auto"/>
      </w:pPr>
      <w:r>
        <w:tab/>
      </w:r>
      <w:r>
        <w:t>Immigration Detention</w:t>
      </w:r>
      <w:r>
        <w:tab/>
      </w:r>
      <w:r>
        <w:tab/>
      </w:r>
      <w:r>
        <w:tab/>
      </w:r>
      <w:r>
        <w:tab/>
      </w:r>
      <w:r>
        <w:tab/>
      </w:r>
      <w:r>
        <w:tab/>
      </w:r>
      <w:r>
        <w:tab/>
      </w:r>
      <w:r>
        <w:tab/>
      </w:r>
      <w:r>
        <w:tab/>
      </w:r>
      <w:r w:rsidR="00BD71FF">
        <w:t>8</w:t>
      </w:r>
    </w:p>
    <w:p w14:paraId="62BCBE53" w14:textId="67FAF586" w:rsidR="001A1100" w:rsidRDefault="001A1100" w:rsidP="001A1100">
      <w:pPr>
        <w:spacing w:line="360" w:lineRule="auto"/>
      </w:pPr>
      <w:r>
        <w:tab/>
      </w:r>
      <w:r>
        <w:t>Features of a National Preventive Mechanism</w:t>
      </w:r>
      <w:r>
        <w:tab/>
      </w:r>
      <w:r>
        <w:tab/>
      </w:r>
      <w:r>
        <w:tab/>
      </w:r>
      <w:r>
        <w:tab/>
      </w:r>
      <w:r>
        <w:tab/>
      </w:r>
      <w:r>
        <w:tab/>
      </w:r>
      <w:r w:rsidR="00BD71FF">
        <w:t>9</w:t>
      </w:r>
    </w:p>
    <w:p w14:paraId="7DDE6BF0" w14:textId="21A9FD26" w:rsidR="001A1100" w:rsidRDefault="001A1100" w:rsidP="001A1100">
      <w:pPr>
        <w:spacing w:line="360" w:lineRule="auto"/>
      </w:pPr>
      <w:r>
        <w:t>YOUTH JUSTICE DETENTION CENTRES</w:t>
      </w:r>
      <w:r>
        <w:tab/>
      </w:r>
      <w:r>
        <w:tab/>
      </w:r>
      <w:r>
        <w:tab/>
      </w:r>
      <w:r>
        <w:tab/>
      </w:r>
      <w:r>
        <w:tab/>
      </w:r>
      <w:r>
        <w:tab/>
      </w:r>
      <w:r>
        <w:tab/>
      </w:r>
      <w:r>
        <w:tab/>
      </w:r>
      <w:r w:rsidR="00BD71FF">
        <w:t>9</w:t>
      </w:r>
    </w:p>
    <w:p w14:paraId="58DFC4B5" w14:textId="11615F71" w:rsidR="001A1100" w:rsidRDefault="001A1100" w:rsidP="001A1100">
      <w:pPr>
        <w:spacing w:line="360" w:lineRule="auto"/>
      </w:pPr>
      <w:r>
        <w:t>SPECIFIC RESPONSES TO QUESTIONS POSED BY THE NATIONAL CHILDREN’S COMMISSIONER</w:t>
      </w:r>
      <w:r>
        <w:tab/>
      </w:r>
      <w:r w:rsidR="00BD71FF">
        <w:t>10</w:t>
      </w:r>
    </w:p>
    <w:p w14:paraId="1B8A2A99" w14:textId="5F973436" w:rsidR="001A1100" w:rsidRDefault="001A1100" w:rsidP="001A1100">
      <w:pPr>
        <w:spacing w:line="360" w:lineRule="auto"/>
      </w:pPr>
      <w:r>
        <w:t>CONCLUSION</w:t>
      </w:r>
      <w:r>
        <w:tab/>
      </w:r>
      <w:r>
        <w:tab/>
      </w:r>
      <w:r>
        <w:tab/>
      </w:r>
      <w:r>
        <w:tab/>
      </w:r>
      <w:r>
        <w:tab/>
      </w:r>
      <w:r>
        <w:tab/>
      </w:r>
      <w:r>
        <w:tab/>
      </w:r>
      <w:r>
        <w:tab/>
      </w:r>
      <w:r>
        <w:tab/>
      </w:r>
      <w:r>
        <w:tab/>
      </w:r>
      <w:r>
        <w:tab/>
      </w:r>
      <w:r w:rsidR="00BD71FF">
        <w:t>12</w:t>
      </w:r>
    </w:p>
    <w:p w14:paraId="1E90F711" w14:textId="46BAE45E" w:rsidR="001A1100" w:rsidRDefault="001A1100" w:rsidP="001A1100">
      <w:pPr>
        <w:spacing w:line="360" w:lineRule="auto"/>
      </w:pPr>
      <w:r>
        <w:t>SUMMARY OF RECOMMENDATIONS</w:t>
      </w:r>
      <w:r>
        <w:tab/>
      </w:r>
      <w:r>
        <w:tab/>
      </w:r>
      <w:r>
        <w:tab/>
      </w:r>
      <w:r>
        <w:tab/>
      </w:r>
      <w:r>
        <w:tab/>
      </w:r>
      <w:r>
        <w:tab/>
      </w:r>
      <w:r>
        <w:tab/>
      </w:r>
      <w:r>
        <w:tab/>
      </w:r>
      <w:r w:rsidR="00BD71FF">
        <w:t>13</w:t>
      </w:r>
    </w:p>
    <w:p w14:paraId="13AE534A" w14:textId="0AD7C172" w:rsidR="001A1100" w:rsidRPr="00FC5EBE" w:rsidRDefault="001A1100" w:rsidP="001A1100">
      <w:pPr>
        <w:spacing w:line="360" w:lineRule="auto"/>
      </w:pPr>
      <w:r>
        <w:t>CONTACT</w:t>
      </w:r>
      <w:r>
        <w:tab/>
      </w:r>
      <w:r>
        <w:tab/>
      </w:r>
      <w:r>
        <w:tab/>
      </w:r>
      <w:r>
        <w:tab/>
      </w:r>
      <w:r>
        <w:tab/>
      </w:r>
      <w:r>
        <w:tab/>
      </w:r>
      <w:r>
        <w:tab/>
      </w:r>
      <w:r>
        <w:tab/>
      </w:r>
      <w:r>
        <w:tab/>
      </w:r>
      <w:r>
        <w:tab/>
      </w:r>
      <w:r>
        <w:tab/>
      </w:r>
      <w:r w:rsidR="00BD71FF">
        <w:t>14</w:t>
      </w:r>
    </w:p>
    <w:p w14:paraId="3279B59A" w14:textId="12E610A7" w:rsidR="00FC5EBE" w:rsidRPr="001A1100" w:rsidRDefault="001A1100" w:rsidP="001A1100">
      <w:pPr>
        <w:pStyle w:val="ListParagraph"/>
        <w:spacing w:line="360" w:lineRule="auto"/>
        <w:ind w:left="0"/>
      </w:pPr>
      <w:r>
        <w:t xml:space="preserve">APPENDIX A: </w:t>
      </w:r>
      <w:r w:rsidRPr="00C67F43">
        <w:t>Letter to the Attorney-General regarding School Transport</w:t>
      </w:r>
      <w:r>
        <w:tab/>
      </w:r>
    </w:p>
    <w:p w14:paraId="58EAF491" w14:textId="77777777" w:rsidR="00656536" w:rsidRDefault="00656536">
      <w:pPr>
        <w:rPr>
          <w:b/>
          <w:sz w:val="24"/>
        </w:rPr>
      </w:pPr>
      <w:r>
        <w:rPr>
          <w:b/>
          <w:sz w:val="24"/>
        </w:rPr>
        <w:br w:type="page"/>
      </w:r>
      <w:bookmarkStart w:id="0" w:name="_GoBack"/>
      <w:bookmarkEnd w:id="0"/>
    </w:p>
    <w:p w14:paraId="48B53119" w14:textId="77777777" w:rsidR="001C37E5" w:rsidRDefault="001C37E5">
      <w:pPr>
        <w:rPr>
          <w:b/>
          <w:sz w:val="24"/>
        </w:rPr>
      </w:pPr>
      <w:r w:rsidRPr="00080084">
        <w:rPr>
          <w:b/>
          <w:sz w:val="24"/>
        </w:rPr>
        <w:lastRenderedPageBreak/>
        <w:t>INTRO</w:t>
      </w:r>
      <w:r w:rsidR="0082705D" w:rsidRPr="00080084">
        <w:rPr>
          <w:b/>
          <w:sz w:val="24"/>
        </w:rPr>
        <w:t>DUCTION</w:t>
      </w:r>
    </w:p>
    <w:p w14:paraId="6A295E6D" w14:textId="77777777" w:rsidR="00080084" w:rsidRPr="00080084" w:rsidRDefault="00080084"/>
    <w:p w14:paraId="50186D57" w14:textId="77777777" w:rsidR="00080084" w:rsidRDefault="00080084" w:rsidP="00127A77">
      <w:r>
        <w:t xml:space="preserve">Children and Young People with Disability Australia (CYDA) welcomes the opportunity to contribute to the National Children’s Commissioner’s consultation regarding the </w:t>
      </w:r>
      <w:r w:rsidRPr="009D03AD">
        <w:rPr>
          <w:i/>
        </w:rPr>
        <w:t xml:space="preserve">Optional Protocol to the Convention against Torture </w:t>
      </w:r>
      <w:r w:rsidR="009D03AD">
        <w:t>(OPCAT) in the context of youth j</w:t>
      </w:r>
      <w:r w:rsidRPr="00080084">
        <w:t>usti</w:t>
      </w:r>
      <w:r w:rsidR="009D03AD">
        <w:t>ce detention c</w:t>
      </w:r>
      <w:r w:rsidRPr="00080084">
        <w:t>entres</w:t>
      </w:r>
      <w:r>
        <w:t xml:space="preserve">. </w:t>
      </w:r>
    </w:p>
    <w:p w14:paraId="5427721A" w14:textId="77777777" w:rsidR="008B5819" w:rsidRDefault="008B5819" w:rsidP="00127A77"/>
    <w:p w14:paraId="085144F0" w14:textId="77777777" w:rsidR="008B5819" w:rsidRPr="002C6B89" w:rsidRDefault="008B5819" w:rsidP="008B5819">
      <w:pPr>
        <w:rPr>
          <w:rFonts w:ascii="Calibri" w:hAnsi="Calibri"/>
        </w:rPr>
      </w:pPr>
      <w:r>
        <w:t>CYDA</w:t>
      </w:r>
      <w:r w:rsidRPr="002C6B89">
        <w:t xml:space="preserve"> </w:t>
      </w:r>
      <w:r w:rsidRPr="002C6B89">
        <w:rPr>
          <w:rFonts w:ascii="Calibri" w:hAnsi="Calibri"/>
        </w:rPr>
        <w:t xml:space="preserve">is the national representative organisation for children and young people with disability aged 0 to 25 years. The organisation is primarily funded through the Department of Social Services and is a not for profit organisation. </w:t>
      </w:r>
    </w:p>
    <w:p w14:paraId="30CE5779" w14:textId="77777777" w:rsidR="008B5819" w:rsidRPr="002C6B89" w:rsidRDefault="008B5819" w:rsidP="008B5819">
      <w:pPr>
        <w:rPr>
          <w:rFonts w:ascii="Calibri" w:hAnsi="Calibri"/>
        </w:rPr>
      </w:pPr>
    </w:p>
    <w:p w14:paraId="76FE7DD8" w14:textId="77777777" w:rsidR="008B5819" w:rsidRPr="002C6B89" w:rsidRDefault="008B5819" w:rsidP="008B5819">
      <w:pPr>
        <w:rPr>
          <w:rFonts w:ascii="Calibri" w:hAnsi="Calibri"/>
        </w:rPr>
      </w:pPr>
      <w:r w:rsidRPr="002C6B89">
        <w:rPr>
          <w:rFonts w:ascii="Calibri" w:hAnsi="Calibri"/>
        </w:rPr>
        <w:t>C</w:t>
      </w:r>
      <w:r>
        <w:rPr>
          <w:rFonts w:ascii="Calibri" w:hAnsi="Calibri"/>
        </w:rPr>
        <w:t>Y</w:t>
      </w:r>
      <w:r w:rsidRPr="002C6B89">
        <w:rPr>
          <w:rFonts w:ascii="Calibri" w:hAnsi="Calibri"/>
        </w:rPr>
        <w:t>DA’s vision is that children and young people with disability living in Australia are afforded every opportunity to thrive, achieve their potential and that their rights and interests as individuals, members of a family and their community are met.</w:t>
      </w:r>
    </w:p>
    <w:p w14:paraId="1C2EACD9" w14:textId="77777777" w:rsidR="008B5819" w:rsidRDefault="008B5819" w:rsidP="00127A77"/>
    <w:p w14:paraId="45A9D188" w14:textId="77777777" w:rsidR="003D3E11" w:rsidRDefault="008B5819" w:rsidP="00127A77">
      <w:r>
        <w:t xml:space="preserve">CYDA supports the ratification of </w:t>
      </w:r>
      <w:r w:rsidR="003D3E11">
        <w:t xml:space="preserve">the </w:t>
      </w:r>
      <w:r>
        <w:t xml:space="preserve">OPCAT by Australia to increase </w:t>
      </w:r>
      <w:r w:rsidR="003D3E11">
        <w:t xml:space="preserve">oversight </w:t>
      </w:r>
      <w:r w:rsidR="007C1E3C">
        <w:t xml:space="preserve">over places of detention </w:t>
      </w:r>
      <w:r w:rsidR="003D3E11">
        <w:t xml:space="preserve">and </w:t>
      </w:r>
      <w:r>
        <w:t>pr</w:t>
      </w:r>
      <w:r w:rsidR="00FE0A30">
        <w:t xml:space="preserve">event </w:t>
      </w:r>
      <w:r>
        <w:t>torture, cruel, inhuman or degrading treatment or p</w:t>
      </w:r>
      <w:r w:rsidRPr="008B5819">
        <w:t>unishment</w:t>
      </w:r>
      <w:r>
        <w:t>.</w:t>
      </w:r>
      <w:r w:rsidR="003D3E11">
        <w:t xml:space="preserve"> It is i</w:t>
      </w:r>
      <w:r w:rsidR="009D03AD">
        <w:t>mportant</w:t>
      </w:r>
      <w:r w:rsidR="003D3E11">
        <w:t xml:space="preserve"> that considerations around ratification of the OPCAT and the required National Preventive Mechanism (NPM) include a focus on the experiences of children and young people with disability.</w:t>
      </w:r>
    </w:p>
    <w:p w14:paraId="1ED819F0" w14:textId="77777777" w:rsidR="003D3E11" w:rsidRDefault="003D3E11" w:rsidP="00127A77"/>
    <w:p w14:paraId="6367C342" w14:textId="77777777" w:rsidR="008B5819" w:rsidRDefault="003D3E11" w:rsidP="00127A77">
      <w:r>
        <w:t xml:space="preserve">Incidents of torture, degrading treatment, abuse and detention </w:t>
      </w:r>
      <w:r w:rsidR="000F2AE2">
        <w:t>are sh</w:t>
      </w:r>
      <w:r w:rsidR="00BD5BDF">
        <w:t>amefully</w:t>
      </w:r>
      <w:r w:rsidR="000F2AE2">
        <w:t xml:space="preserve"> common for</w:t>
      </w:r>
      <w:r>
        <w:t xml:space="preserve"> children and young people with disability</w:t>
      </w:r>
      <w:r w:rsidR="000F2AE2">
        <w:t xml:space="preserve"> in Australia</w:t>
      </w:r>
      <w:r>
        <w:t xml:space="preserve">. However, frequently these experiences are not recognised as </w:t>
      </w:r>
      <w:r w:rsidR="009D03AD">
        <w:t>such</w:t>
      </w:r>
      <w:r>
        <w:t xml:space="preserve"> due to prevailing attitudes within the Australian community that </w:t>
      </w:r>
      <w:r w:rsidR="009D03AD">
        <w:t>justify and accept harm when experienced by children and young people with disability</w:t>
      </w:r>
      <w:r>
        <w:t xml:space="preserve">. An example of this is seclusion of students with disability in schools, which is often renamed and justified as ‘behaviour management.’ </w:t>
      </w:r>
    </w:p>
    <w:p w14:paraId="1EBAA839" w14:textId="77777777" w:rsidR="00080084" w:rsidRDefault="00080084" w:rsidP="00127A77"/>
    <w:p w14:paraId="79D46619" w14:textId="2F8B812C" w:rsidR="003D3E11" w:rsidRDefault="003D3E11" w:rsidP="00127A77">
      <w:r>
        <w:t xml:space="preserve">In addition, children </w:t>
      </w:r>
      <w:r w:rsidR="008D7334">
        <w:t xml:space="preserve">and young people </w:t>
      </w:r>
      <w:r>
        <w:t>with disability are overrepresented in youth justice detention centres, despite a lack of data and limited research.</w:t>
      </w:r>
      <w:r w:rsidR="00C13F84">
        <w:t xml:space="preserve"> It is therefore important that the specific </w:t>
      </w:r>
      <w:r w:rsidR="007C1E3C">
        <w:t>needs and circumstances</w:t>
      </w:r>
      <w:r w:rsidR="00C13F84">
        <w:t xml:space="preserve"> of children and young people with disability are considered in this project.</w:t>
      </w:r>
    </w:p>
    <w:p w14:paraId="645DD3A7" w14:textId="77777777" w:rsidR="0082705D" w:rsidRDefault="0082705D" w:rsidP="00127A77"/>
    <w:p w14:paraId="7E8D9032" w14:textId="77777777" w:rsidR="00C13F84" w:rsidRPr="00C13F84" w:rsidRDefault="009D03AD" w:rsidP="00127A77">
      <w:pPr>
        <w:rPr>
          <w:b/>
          <w:sz w:val="24"/>
        </w:rPr>
      </w:pPr>
      <w:r>
        <w:rPr>
          <w:b/>
          <w:sz w:val="24"/>
        </w:rPr>
        <w:t>OPTIONAL PROTOCOL TO</w:t>
      </w:r>
      <w:r w:rsidR="00C13F84">
        <w:rPr>
          <w:b/>
          <w:sz w:val="24"/>
        </w:rPr>
        <w:t xml:space="preserve"> THE CONVENTION AGAINST TORTURE</w:t>
      </w:r>
    </w:p>
    <w:p w14:paraId="17E1C8E6" w14:textId="77777777" w:rsidR="00C13F84" w:rsidRDefault="00C13F84" w:rsidP="00127A77"/>
    <w:p w14:paraId="4BE4E769" w14:textId="77777777" w:rsidR="00C13F84" w:rsidRDefault="005D697C" w:rsidP="00127A77">
      <w:r>
        <w:t xml:space="preserve">CYDA supports ratification of the OPCAT by Australia and welcomes the focus of the present consultation. </w:t>
      </w:r>
      <w:r w:rsidR="006534E1">
        <w:t xml:space="preserve">In particular, the NPM is seen as a useful oversight mechanism </w:t>
      </w:r>
      <w:r w:rsidR="007C1E3C">
        <w:t>to protect</w:t>
      </w:r>
      <w:r w:rsidR="006534E1">
        <w:t xml:space="preserve"> the human rights of people in detention</w:t>
      </w:r>
      <w:r w:rsidR="00FE0A30">
        <w:t xml:space="preserve">, </w:t>
      </w:r>
      <w:r w:rsidR="007C1E3C">
        <w:t>through</w:t>
      </w:r>
      <w:r w:rsidR="00645572">
        <w:t xml:space="preserve"> its mandate to inspect places of detention and </w:t>
      </w:r>
      <w:r w:rsidR="00FE0A30">
        <w:t>make recommendations to relevant authorities.</w:t>
      </w:r>
      <w:r w:rsidR="00FE0A30">
        <w:rPr>
          <w:rStyle w:val="FootnoteReference"/>
        </w:rPr>
        <w:footnoteReference w:id="1"/>
      </w:r>
      <w:r w:rsidR="00FE0A30">
        <w:t xml:space="preserve"> I</w:t>
      </w:r>
      <w:r w:rsidR="006534E1">
        <w:t xml:space="preserve">t is critical </w:t>
      </w:r>
      <w:r w:rsidR="00FE0A30">
        <w:t xml:space="preserve">to ensure </w:t>
      </w:r>
      <w:r w:rsidR="006534E1">
        <w:t>that an NPM has coverage and oversight of all circumstances where people in Australia are detained.</w:t>
      </w:r>
    </w:p>
    <w:p w14:paraId="278E8867" w14:textId="77777777" w:rsidR="006534E1" w:rsidRDefault="006534E1" w:rsidP="00127A77"/>
    <w:p w14:paraId="2213A86B" w14:textId="77777777" w:rsidR="006534E1" w:rsidRDefault="006534E1" w:rsidP="00127A77">
      <w:r>
        <w:t xml:space="preserve">As previously stated, children and young people with disability in Australia are </w:t>
      </w:r>
      <w:r w:rsidR="000F2AE2">
        <w:t>often</w:t>
      </w:r>
      <w:r>
        <w:t xml:space="preserve"> detained in institutional settings in Australia</w:t>
      </w:r>
      <w:r w:rsidR="000F2AE2">
        <w:t xml:space="preserve"> however this is </w:t>
      </w:r>
      <w:r w:rsidR="009D03AD">
        <w:t>rarely</w:t>
      </w:r>
      <w:r w:rsidR="000F2AE2">
        <w:t xml:space="preserve"> recognised</w:t>
      </w:r>
      <w:r>
        <w:t xml:space="preserve">. Further, CYDA has received frequent reports of experiences </w:t>
      </w:r>
      <w:r w:rsidR="000F2AE2">
        <w:t>of torture, degrading treatment and</w:t>
      </w:r>
      <w:r>
        <w:t xml:space="preserve"> abuse of children and young people with disability. It is critical that these experiences and circumstances are included within the scope of a NPM if developed in Australia.</w:t>
      </w:r>
    </w:p>
    <w:p w14:paraId="6730D1E8" w14:textId="77777777" w:rsidR="00D86D8B" w:rsidRPr="00A4422D" w:rsidRDefault="00D86D8B" w:rsidP="00127A77"/>
    <w:p w14:paraId="56F1A498" w14:textId="77777777" w:rsidR="00DB4604" w:rsidRPr="00A810DD" w:rsidRDefault="006534E1" w:rsidP="00127A77">
      <w:pPr>
        <w:rPr>
          <w:b/>
        </w:rPr>
      </w:pPr>
      <w:r>
        <w:rPr>
          <w:b/>
        </w:rPr>
        <w:t>Education Settings</w:t>
      </w:r>
    </w:p>
    <w:p w14:paraId="0F4449F7" w14:textId="77777777" w:rsidR="007C1E3C" w:rsidRDefault="007C4D3A" w:rsidP="000F2AE2">
      <w:r>
        <w:t xml:space="preserve">Students with disability frequently experience </w:t>
      </w:r>
      <w:r w:rsidR="009D03AD">
        <w:t>seclusion in education settings</w:t>
      </w:r>
      <w:r>
        <w:t xml:space="preserve">. </w:t>
      </w:r>
      <w:r w:rsidR="00DB4604">
        <w:t>The Australian Psychological Society</w:t>
      </w:r>
      <w:r w:rsidR="002B3496">
        <w:t xml:space="preserve"> (APS)</w:t>
      </w:r>
      <w:r w:rsidR="00DB4604">
        <w:t xml:space="preserve"> has defined seclusion as “solitary confinement of a person in a room or area (e.g. garden) from which their exit is prevented by a barrier or another person. Seclusion involves situations in which people believe they cannot or should not leave an area without permission.”</w:t>
      </w:r>
      <w:r w:rsidR="00DB4604">
        <w:rPr>
          <w:rStyle w:val="FootnoteReference"/>
        </w:rPr>
        <w:footnoteReference w:id="2"/>
      </w:r>
      <w:r w:rsidR="00DB4604">
        <w:t xml:space="preserve"> </w:t>
      </w:r>
    </w:p>
    <w:p w14:paraId="49D64E0A" w14:textId="77777777" w:rsidR="007C1E3C" w:rsidRDefault="007C1E3C" w:rsidP="000F2AE2"/>
    <w:p w14:paraId="3D7CB026" w14:textId="77777777" w:rsidR="000F2AE2" w:rsidRDefault="000F2AE2" w:rsidP="000F2AE2">
      <w:r>
        <w:t>The seclusion of students with disability is often justified as ‘behaviour management’ and it is also often reported to CYDA t</w:t>
      </w:r>
      <w:r w:rsidR="00CE3848">
        <w:t>hat it is used as a punishment.</w:t>
      </w:r>
      <w:r w:rsidR="009D03AD">
        <w:t xml:space="preserve"> </w:t>
      </w:r>
      <w:r w:rsidR="007C1E3C">
        <w:t xml:space="preserve">There are uncomfortable parallels between seclusion and arbitrary detention and deprivation of liberty however this is not often recognised. It is CYDA’s experience that it is rare for schools to provide appropriate behaviour support to students. </w:t>
      </w:r>
    </w:p>
    <w:p w14:paraId="737E6576" w14:textId="77777777" w:rsidR="00CE3848" w:rsidRDefault="00CE3848" w:rsidP="000F2AE2"/>
    <w:p w14:paraId="530760E5" w14:textId="77777777" w:rsidR="00CE3848" w:rsidRDefault="00CE3848" w:rsidP="000F2AE2">
      <w:r>
        <w:t>The following are direct experiences of seclusion reported to CYDA:</w:t>
      </w:r>
    </w:p>
    <w:p w14:paraId="5D1D02F0" w14:textId="77777777" w:rsidR="00CE3848" w:rsidRDefault="00CE3848" w:rsidP="000F2AE2"/>
    <w:p w14:paraId="3D06918C" w14:textId="502C548B" w:rsidR="004869A0" w:rsidRPr="004869A0" w:rsidRDefault="004869A0" w:rsidP="004869A0">
      <w:pPr>
        <w:ind w:left="720"/>
      </w:pPr>
      <w:r>
        <w:rPr>
          <w:i/>
        </w:rPr>
        <w:lastRenderedPageBreak/>
        <w:t>After being dragged by staff (my son)</w:t>
      </w:r>
      <w:r w:rsidRPr="004869A0">
        <w:rPr>
          <w:i/>
        </w:rPr>
        <w:t xml:space="preserve"> was put in a fenced</w:t>
      </w:r>
      <w:r w:rsidR="00403DA1">
        <w:rPr>
          <w:i/>
        </w:rPr>
        <w:t>-</w:t>
      </w:r>
      <w:r w:rsidRPr="004869A0">
        <w:rPr>
          <w:i/>
        </w:rPr>
        <w:t>in outdoor area by himself in the middle of winter without a jumper. The staff even closed the blinds so he couldn't see into the room. He was terrified and banging on the door begging to be let back in as witnessed by another parent. The school didn't notify me about the physical restraint nor the locking him outside alon</w:t>
      </w:r>
      <w:r>
        <w:rPr>
          <w:i/>
        </w:rPr>
        <w:t xml:space="preserve">e. I was told by another parent </w:t>
      </w:r>
      <w:r>
        <w:t>– Parent.</w:t>
      </w:r>
    </w:p>
    <w:p w14:paraId="400A71F7" w14:textId="77777777" w:rsidR="004869A0" w:rsidRDefault="004869A0" w:rsidP="004869A0">
      <w:pPr>
        <w:ind w:left="720"/>
        <w:rPr>
          <w:i/>
        </w:rPr>
      </w:pPr>
    </w:p>
    <w:p w14:paraId="6BC2DCDB" w14:textId="545EB400" w:rsidR="00CE3848" w:rsidRPr="004869A0" w:rsidRDefault="00CE3848" w:rsidP="004869A0">
      <w:pPr>
        <w:ind w:left="720"/>
      </w:pPr>
      <w:r w:rsidRPr="004869A0">
        <w:rPr>
          <w:i/>
        </w:rPr>
        <w:t xml:space="preserve">My child </w:t>
      </w:r>
      <w:r w:rsidR="004869A0">
        <w:rPr>
          <w:i/>
        </w:rPr>
        <w:t>would spend most of the</w:t>
      </w:r>
      <w:r w:rsidR="00C50ED0">
        <w:rPr>
          <w:i/>
        </w:rPr>
        <w:t xml:space="preserve"> </w:t>
      </w:r>
      <w:r w:rsidR="0007324A">
        <w:rPr>
          <w:i/>
        </w:rPr>
        <w:t>time</w:t>
      </w:r>
      <w:r w:rsidRPr="004869A0">
        <w:rPr>
          <w:i/>
        </w:rPr>
        <w:t xml:space="preserve"> he</w:t>
      </w:r>
      <w:r w:rsidR="0007324A">
        <w:rPr>
          <w:i/>
        </w:rPr>
        <w:t xml:space="preserve"> was permitted to attend school (which was under two hours)</w:t>
      </w:r>
      <w:r w:rsidRPr="004869A0">
        <w:rPr>
          <w:i/>
        </w:rPr>
        <w:t xml:space="preserve"> in a room with his aide with no windows. I would like to see any adult be subjected to those </w:t>
      </w:r>
      <w:r w:rsidR="004869A0">
        <w:rPr>
          <w:i/>
        </w:rPr>
        <w:t xml:space="preserve">conditions and see if they cope </w:t>
      </w:r>
      <w:r w:rsidR="004869A0">
        <w:t xml:space="preserve">– Parent. </w:t>
      </w:r>
    </w:p>
    <w:p w14:paraId="2D9FAC61" w14:textId="77777777" w:rsidR="004869A0" w:rsidRDefault="004869A0" w:rsidP="004869A0">
      <w:pPr>
        <w:ind w:left="720"/>
        <w:rPr>
          <w:i/>
        </w:rPr>
      </w:pPr>
    </w:p>
    <w:p w14:paraId="61A4D197" w14:textId="77777777" w:rsidR="004869A0" w:rsidRPr="004869A0" w:rsidRDefault="004869A0" w:rsidP="004869A0">
      <w:pPr>
        <w:ind w:left="720"/>
      </w:pPr>
      <w:r w:rsidRPr="004869A0">
        <w:rPr>
          <w:i/>
        </w:rPr>
        <w:t>My son has been sprayed with water to 'stop' a behaviour. He had his face held by an aide to teach him to look him in the eye. He was locked in a room alone with a ceiling fan going for most of the day, when I collected him he was on the floor asleep in his own vomit</w:t>
      </w:r>
      <w:r>
        <w:rPr>
          <w:i/>
        </w:rPr>
        <w:t xml:space="preserve"> </w:t>
      </w:r>
      <w:r>
        <w:t xml:space="preserve">– Parent. </w:t>
      </w:r>
    </w:p>
    <w:p w14:paraId="0B096B38" w14:textId="77777777" w:rsidR="005B58E1" w:rsidRPr="004869A0" w:rsidRDefault="005B58E1" w:rsidP="004869A0">
      <w:pPr>
        <w:ind w:left="720"/>
        <w:rPr>
          <w:i/>
        </w:rPr>
      </w:pPr>
    </w:p>
    <w:p w14:paraId="03630343" w14:textId="77777777" w:rsidR="005B58E1" w:rsidRPr="004869A0" w:rsidRDefault="004869A0" w:rsidP="004869A0">
      <w:pPr>
        <w:ind w:left="720"/>
      </w:pPr>
      <w:r>
        <w:rPr>
          <w:i/>
        </w:rPr>
        <w:t>(My child was) p</w:t>
      </w:r>
      <w:r w:rsidR="005B58E1" w:rsidRPr="004869A0">
        <w:rPr>
          <w:i/>
        </w:rPr>
        <w:t>laced in a small glassed office area in the corner of the classroom. He could not hear the</w:t>
      </w:r>
      <w:r w:rsidR="007C1E3C">
        <w:rPr>
          <w:i/>
        </w:rPr>
        <w:t xml:space="preserve"> class activity but could view (it)</w:t>
      </w:r>
      <w:r w:rsidR="005B58E1" w:rsidRPr="004869A0">
        <w:rPr>
          <w:i/>
        </w:rPr>
        <w:t>. When I complained</w:t>
      </w:r>
      <w:r w:rsidR="00403DA1">
        <w:rPr>
          <w:i/>
        </w:rPr>
        <w:t>,</w:t>
      </w:r>
      <w:r w:rsidR="005B58E1" w:rsidRPr="004869A0">
        <w:rPr>
          <w:i/>
        </w:rPr>
        <w:t xml:space="preserve"> the teacher placed paper on</w:t>
      </w:r>
      <w:r>
        <w:rPr>
          <w:i/>
        </w:rPr>
        <w:t xml:space="preserve"> the glass to restrict </w:t>
      </w:r>
      <w:r w:rsidR="00637AD5">
        <w:rPr>
          <w:i/>
        </w:rPr>
        <w:t xml:space="preserve">his </w:t>
      </w:r>
      <w:r>
        <w:rPr>
          <w:i/>
        </w:rPr>
        <w:t xml:space="preserve">view </w:t>
      </w:r>
      <w:r>
        <w:t xml:space="preserve">– Parent. </w:t>
      </w:r>
    </w:p>
    <w:p w14:paraId="0880D27F" w14:textId="77777777" w:rsidR="005B58E1" w:rsidRPr="004869A0" w:rsidRDefault="005B58E1" w:rsidP="004869A0">
      <w:pPr>
        <w:ind w:left="720"/>
        <w:rPr>
          <w:i/>
        </w:rPr>
      </w:pPr>
    </w:p>
    <w:p w14:paraId="51180B9B" w14:textId="77777777" w:rsidR="005B58E1" w:rsidRPr="004869A0" w:rsidRDefault="005B58E1" w:rsidP="004869A0">
      <w:pPr>
        <w:ind w:left="720"/>
      </w:pPr>
      <w:r w:rsidRPr="004869A0">
        <w:rPr>
          <w:i/>
        </w:rPr>
        <w:t xml:space="preserve">At </w:t>
      </w:r>
      <w:r w:rsidR="004869A0">
        <w:rPr>
          <w:i/>
        </w:rPr>
        <w:t>the</w:t>
      </w:r>
      <w:r w:rsidRPr="004869A0">
        <w:rPr>
          <w:i/>
        </w:rPr>
        <w:t xml:space="preserve"> school that my son use</w:t>
      </w:r>
      <w:r w:rsidR="004869A0">
        <w:rPr>
          <w:i/>
        </w:rPr>
        <w:t>d</w:t>
      </w:r>
      <w:r w:rsidRPr="004869A0">
        <w:rPr>
          <w:i/>
        </w:rPr>
        <w:t xml:space="preserve"> to attend, he</w:t>
      </w:r>
      <w:r w:rsidR="007C4D3A">
        <w:rPr>
          <w:i/>
        </w:rPr>
        <w:t xml:space="preserve"> and two other children aged five to six </w:t>
      </w:r>
      <w:r w:rsidRPr="004869A0">
        <w:rPr>
          <w:i/>
        </w:rPr>
        <w:t xml:space="preserve">years old were locked </w:t>
      </w:r>
      <w:r w:rsidR="004869A0">
        <w:rPr>
          <w:i/>
        </w:rPr>
        <w:t>inside a small windowless room</w:t>
      </w:r>
      <w:r w:rsidRPr="004869A0">
        <w:rPr>
          <w:i/>
        </w:rPr>
        <w:t xml:space="preserve"> called the </w:t>
      </w:r>
      <w:r w:rsidR="004869A0">
        <w:rPr>
          <w:i/>
        </w:rPr>
        <w:t>‘</w:t>
      </w:r>
      <w:r w:rsidRPr="004869A0">
        <w:rPr>
          <w:i/>
        </w:rPr>
        <w:t>thinking room.</w:t>
      </w:r>
      <w:r w:rsidR="004869A0">
        <w:rPr>
          <w:i/>
        </w:rPr>
        <w:t>’</w:t>
      </w:r>
      <w:r w:rsidRPr="004869A0">
        <w:rPr>
          <w:i/>
        </w:rPr>
        <w:t xml:space="preserve"> My son now has a fear of small </w:t>
      </w:r>
      <w:r w:rsidR="004869A0" w:rsidRPr="004869A0">
        <w:rPr>
          <w:i/>
        </w:rPr>
        <w:t>confined</w:t>
      </w:r>
      <w:r w:rsidR="004869A0">
        <w:rPr>
          <w:i/>
        </w:rPr>
        <w:t xml:space="preserve"> spaces such as lifts</w:t>
      </w:r>
      <w:r w:rsidR="007C4D3A">
        <w:rPr>
          <w:i/>
        </w:rPr>
        <w:t>…</w:t>
      </w:r>
      <w:r w:rsidRPr="004869A0">
        <w:rPr>
          <w:i/>
        </w:rPr>
        <w:t>I was not informed before or after</w:t>
      </w:r>
      <w:r w:rsidR="004869A0">
        <w:rPr>
          <w:i/>
        </w:rPr>
        <w:t>wards by his teacher or school P</w:t>
      </w:r>
      <w:r w:rsidRPr="004869A0">
        <w:rPr>
          <w:i/>
        </w:rPr>
        <w:t>rincipal of this event. It is only years later that my son remembers and has had the courage to tell me</w:t>
      </w:r>
      <w:r w:rsidR="004869A0">
        <w:rPr>
          <w:i/>
        </w:rPr>
        <w:t xml:space="preserve"> </w:t>
      </w:r>
      <w:r w:rsidR="004869A0">
        <w:t xml:space="preserve">– Parent. </w:t>
      </w:r>
    </w:p>
    <w:p w14:paraId="22821F5D" w14:textId="77777777" w:rsidR="005B58E1" w:rsidRPr="004869A0" w:rsidRDefault="005B58E1" w:rsidP="004869A0">
      <w:pPr>
        <w:ind w:left="720"/>
        <w:rPr>
          <w:i/>
        </w:rPr>
      </w:pPr>
    </w:p>
    <w:p w14:paraId="74F9F565" w14:textId="77777777" w:rsidR="000F2AE2" w:rsidRDefault="005B58E1" w:rsidP="00824CA9">
      <w:pPr>
        <w:ind w:left="720"/>
      </w:pPr>
      <w:r w:rsidRPr="004869A0">
        <w:rPr>
          <w:i/>
        </w:rPr>
        <w:t>My son</w:t>
      </w:r>
      <w:r w:rsidR="004869A0">
        <w:rPr>
          <w:i/>
        </w:rPr>
        <w:t xml:space="preserve"> attended a special school for six months when he was in P</w:t>
      </w:r>
      <w:r w:rsidRPr="004869A0">
        <w:rPr>
          <w:i/>
        </w:rPr>
        <w:t>rep... Big mistake</w:t>
      </w:r>
      <w:r w:rsidR="007C4D3A">
        <w:rPr>
          <w:i/>
        </w:rPr>
        <w:t>.</w:t>
      </w:r>
      <w:r w:rsidRPr="004869A0">
        <w:rPr>
          <w:i/>
        </w:rPr>
        <w:t xml:space="preserve"> He was put in a caged area outdoors to protect him from an aggressive student in his class, </w:t>
      </w:r>
      <w:r w:rsidR="004869A0">
        <w:rPr>
          <w:i/>
        </w:rPr>
        <w:t xml:space="preserve">(this was) </w:t>
      </w:r>
      <w:r w:rsidRPr="004869A0">
        <w:rPr>
          <w:i/>
        </w:rPr>
        <w:t>v</w:t>
      </w:r>
      <w:r w:rsidR="007C1E3C">
        <w:rPr>
          <w:i/>
        </w:rPr>
        <w:t>ery upsetting for us and him...</w:t>
      </w:r>
      <w:r w:rsidRPr="004869A0">
        <w:rPr>
          <w:i/>
        </w:rPr>
        <w:t>We quickly removed him from that school</w:t>
      </w:r>
      <w:r w:rsidR="004869A0">
        <w:rPr>
          <w:i/>
        </w:rPr>
        <w:t xml:space="preserve"> </w:t>
      </w:r>
      <w:r w:rsidR="004869A0">
        <w:t>– Parent.</w:t>
      </w:r>
    </w:p>
    <w:p w14:paraId="34480FE4" w14:textId="77777777" w:rsidR="00DB4604" w:rsidRDefault="00DB4604" w:rsidP="00DB4604"/>
    <w:p w14:paraId="4B965C65" w14:textId="77777777" w:rsidR="00E26607" w:rsidRDefault="00DB4604" w:rsidP="00127A77">
      <w:r>
        <w:t xml:space="preserve">CYDA is aware of numerous cases where enclosures have been used for students with disability. This issue </w:t>
      </w:r>
      <w:r w:rsidR="00740300">
        <w:t xml:space="preserve">was brought to national attention </w:t>
      </w:r>
      <w:r w:rsidR="00740300">
        <w:lastRenderedPageBreak/>
        <w:t xml:space="preserve">on </w:t>
      </w:r>
      <w:r w:rsidR="00DC23F1">
        <w:t>several</w:t>
      </w:r>
      <w:r w:rsidR="00740300">
        <w:t xml:space="preserve"> occasions in 2015, including a primary school student being repeatedly locked in a small room with boarded windows in Queensland</w:t>
      </w:r>
      <w:r w:rsidR="00740300">
        <w:rPr>
          <w:rStyle w:val="FootnoteReference"/>
        </w:rPr>
        <w:footnoteReference w:id="3"/>
      </w:r>
      <w:r w:rsidR="00740300">
        <w:t xml:space="preserve"> and the use of a cage for </w:t>
      </w:r>
      <w:r w:rsidR="00637AD5">
        <w:t xml:space="preserve">a </w:t>
      </w:r>
      <w:r w:rsidR="00740300">
        <w:t xml:space="preserve">student with disability </w:t>
      </w:r>
      <w:r w:rsidR="00B77507">
        <w:t>in</w:t>
      </w:r>
      <w:r w:rsidR="00740300">
        <w:t xml:space="preserve"> Canberra</w:t>
      </w:r>
      <w:r>
        <w:t>.</w:t>
      </w:r>
      <w:r>
        <w:rPr>
          <w:rStyle w:val="FootnoteReference"/>
        </w:rPr>
        <w:footnoteReference w:id="4"/>
      </w:r>
      <w:r w:rsidR="00740300">
        <w:t xml:space="preserve"> </w:t>
      </w:r>
      <w:r>
        <w:t>Other cases where the media has reported the use of small enclosures to seclude and abuse students with disability include in New South Wales</w:t>
      </w:r>
      <w:r>
        <w:rPr>
          <w:rStyle w:val="FootnoteReference"/>
        </w:rPr>
        <w:footnoteReference w:id="5"/>
      </w:r>
      <w:r>
        <w:t xml:space="preserve"> and Tasmania</w:t>
      </w:r>
      <w:r>
        <w:rPr>
          <w:rStyle w:val="FootnoteReference"/>
        </w:rPr>
        <w:footnoteReference w:id="6"/>
      </w:r>
      <w:r>
        <w:t xml:space="preserve"> in 2010.</w:t>
      </w:r>
      <w:r w:rsidR="004F2C54">
        <w:t xml:space="preserve"> These reports, as well as the direct experiences </w:t>
      </w:r>
      <w:r w:rsidR="007C1E3C">
        <w:t>shared with CYDA, demonstrate</w:t>
      </w:r>
      <w:r w:rsidR="004F2C54">
        <w:t xml:space="preserve"> that </w:t>
      </w:r>
      <w:r w:rsidR="007C4D3A">
        <w:t xml:space="preserve">cases of </w:t>
      </w:r>
      <w:r w:rsidR="004F2C54">
        <w:t xml:space="preserve">seclusion of students with disability within purpose built enclosures are far from isolated. </w:t>
      </w:r>
    </w:p>
    <w:p w14:paraId="62635BDE" w14:textId="77777777" w:rsidR="002B3496" w:rsidRDefault="002B3496" w:rsidP="006A5D44"/>
    <w:p w14:paraId="18C830F0" w14:textId="77777777" w:rsidR="002B3496" w:rsidRDefault="002B3496" w:rsidP="006A5D44">
      <w:r>
        <w:t xml:space="preserve">Further, students with disability also frequently experience restraint in </w:t>
      </w:r>
      <w:r w:rsidR="001E75B8">
        <w:t>education settings</w:t>
      </w:r>
      <w:r>
        <w:t>. The APS defines restraint as “a range of programs, procedures, and psychosocial techniques that can impede a person’s exercise of choice and self-determination, all of which prevent people from being able to exercise human and legal rights that are ordinarily available to other members of the community.”</w:t>
      </w:r>
      <w:r>
        <w:rPr>
          <w:rStyle w:val="FootnoteReference"/>
        </w:rPr>
        <w:footnoteReference w:id="7"/>
      </w:r>
      <w:r>
        <w:t xml:space="preserve"> </w:t>
      </w:r>
      <w:r w:rsidR="0029599D">
        <w:t>Different types of restraint include</w:t>
      </w:r>
      <w:r w:rsidR="00210E69">
        <w:t>:</w:t>
      </w:r>
    </w:p>
    <w:p w14:paraId="530A2022" w14:textId="77777777" w:rsidR="00B77507" w:rsidRDefault="00B77507" w:rsidP="006A5D44"/>
    <w:p w14:paraId="467F93FD" w14:textId="77777777" w:rsidR="00210E69" w:rsidRPr="0007324A" w:rsidRDefault="00210E69" w:rsidP="00656536">
      <w:pPr>
        <w:pStyle w:val="ListParagraph"/>
        <w:numPr>
          <w:ilvl w:val="0"/>
          <w:numId w:val="9"/>
        </w:numPr>
        <w:rPr>
          <w:i/>
          <w:szCs w:val="24"/>
        </w:rPr>
      </w:pPr>
      <w:r w:rsidRPr="0007324A">
        <w:rPr>
          <w:i/>
          <w:szCs w:val="24"/>
        </w:rPr>
        <w:t>Physical restraint refers to the prolonged use of any part of a person’s body to restrict t</w:t>
      </w:r>
      <w:r w:rsidRPr="00656536">
        <w:rPr>
          <w:i/>
          <w:szCs w:val="24"/>
        </w:rPr>
        <w:t>he free movement of that person;</w:t>
      </w:r>
    </w:p>
    <w:p w14:paraId="275D305F" w14:textId="77777777" w:rsidR="00210E69" w:rsidRPr="0007324A" w:rsidRDefault="00210E69" w:rsidP="00081787">
      <w:pPr>
        <w:pStyle w:val="ListParagraph"/>
        <w:numPr>
          <w:ilvl w:val="0"/>
          <w:numId w:val="9"/>
        </w:numPr>
        <w:rPr>
          <w:i/>
          <w:szCs w:val="24"/>
        </w:rPr>
      </w:pPr>
      <w:r w:rsidRPr="0007324A">
        <w:rPr>
          <w:i/>
          <w:szCs w:val="24"/>
        </w:rPr>
        <w:t>Chemical restraint involves the use of medication to control a person’s behaviour when that medication is not prescribed by a registered medical practitioner for treating a formally identi</w:t>
      </w:r>
      <w:r w:rsidRPr="00656536">
        <w:rPr>
          <w:i/>
          <w:szCs w:val="24"/>
        </w:rPr>
        <w:t>fied physical or mental illness;</w:t>
      </w:r>
    </w:p>
    <w:p w14:paraId="3D156FB9" w14:textId="77777777" w:rsidR="00210E69" w:rsidRPr="0007324A" w:rsidRDefault="00210E69" w:rsidP="00081787">
      <w:pPr>
        <w:pStyle w:val="ListParagraph"/>
        <w:numPr>
          <w:ilvl w:val="0"/>
          <w:numId w:val="9"/>
        </w:numPr>
        <w:rPr>
          <w:i/>
          <w:szCs w:val="24"/>
        </w:rPr>
      </w:pPr>
      <w:r w:rsidRPr="0007324A">
        <w:rPr>
          <w:i/>
          <w:szCs w:val="24"/>
        </w:rPr>
        <w:t>Mechanical restraint refers to the use of devices such as harnesses or straps to restrict the free movement of an individual or to prevent self-injury, with the exception of an authorised device recommended by a medical practitioner or therapist for therapeutic purposes, or devices required by l</w:t>
      </w:r>
      <w:r w:rsidRPr="00656536">
        <w:rPr>
          <w:i/>
          <w:szCs w:val="24"/>
        </w:rPr>
        <w:t xml:space="preserve">aw to transport a person safely; </w:t>
      </w:r>
      <w:r>
        <w:rPr>
          <w:szCs w:val="24"/>
        </w:rPr>
        <w:t>and</w:t>
      </w:r>
    </w:p>
    <w:p w14:paraId="7A6BE36C" w14:textId="77777777" w:rsidR="002B3496" w:rsidRPr="0007324A" w:rsidRDefault="00210E69" w:rsidP="0007324A">
      <w:pPr>
        <w:pStyle w:val="ListParagraph"/>
        <w:numPr>
          <w:ilvl w:val="0"/>
          <w:numId w:val="9"/>
        </w:numPr>
        <w:rPr>
          <w:i/>
          <w:sz w:val="20"/>
        </w:rPr>
      </w:pPr>
      <w:r w:rsidRPr="0007324A">
        <w:rPr>
          <w:i/>
          <w:szCs w:val="24"/>
        </w:rPr>
        <w:lastRenderedPageBreak/>
        <w:t>Psychosocial restraint is the use of social or material sanctions, or verbal threat of those sanctions, to attempt to</w:t>
      </w:r>
      <w:r w:rsidRPr="00656536">
        <w:rPr>
          <w:i/>
          <w:szCs w:val="24"/>
        </w:rPr>
        <w:t xml:space="preserve"> moderate a person’s behaviour.</w:t>
      </w:r>
      <w:r>
        <w:rPr>
          <w:rStyle w:val="FootnoteReference"/>
          <w:i/>
          <w:szCs w:val="24"/>
        </w:rPr>
        <w:footnoteReference w:id="8"/>
      </w:r>
    </w:p>
    <w:p w14:paraId="1800908F" w14:textId="77777777" w:rsidR="00210E69" w:rsidRDefault="00210E69" w:rsidP="0007324A">
      <w:pPr>
        <w:pStyle w:val="ListParagraph"/>
      </w:pPr>
    </w:p>
    <w:p w14:paraId="68B68E32" w14:textId="77777777" w:rsidR="0029599D" w:rsidRDefault="001E75B8" w:rsidP="0029599D">
      <w:r>
        <w:t>Experiences of restraint reported to CYDA include:</w:t>
      </w:r>
    </w:p>
    <w:p w14:paraId="3E7A029C" w14:textId="77777777" w:rsidR="001E75B8" w:rsidRDefault="001E75B8" w:rsidP="0029599D"/>
    <w:p w14:paraId="69C2EA78" w14:textId="77777777" w:rsidR="001E75B8" w:rsidRDefault="001E75B8" w:rsidP="001E75B8">
      <w:pPr>
        <w:pStyle w:val="ListParagraph"/>
        <w:ind w:left="714"/>
      </w:pPr>
      <w:r w:rsidRPr="00E73272">
        <w:rPr>
          <w:i/>
        </w:rPr>
        <w:t>Our son has been restrained in a chair that is bolted to a large piece of timber continuously throughout his day. He is only removed when taken to the toilet, where once again he is strapped to the toilet, or for outside play. While he is in class he is restrained at all times</w:t>
      </w:r>
      <w:r>
        <w:t xml:space="preserve"> – Parent.</w:t>
      </w:r>
    </w:p>
    <w:p w14:paraId="75A9E897" w14:textId="77777777" w:rsidR="008A19D3" w:rsidRDefault="008A19D3" w:rsidP="001E75B8">
      <w:pPr>
        <w:pStyle w:val="ListParagraph"/>
        <w:ind w:left="714"/>
      </w:pPr>
    </w:p>
    <w:p w14:paraId="124CD162" w14:textId="77777777" w:rsidR="008A19D3" w:rsidRDefault="008A19D3" w:rsidP="001E75B8">
      <w:pPr>
        <w:pStyle w:val="ListParagraph"/>
        <w:ind w:left="714"/>
      </w:pPr>
      <w:r w:rsidRPr="0007324A">
        <w:rPr>
          <w:i/>
        </w:rPr>
        <w:t>On numerous occasion</w:t>
      </w:r>
      <w:r w:rsidR="00C50ED0">
        <w:rPr>
          <w:i/>
        </w:rPr>
        <w:t>s</w:t>
      </w:r>
      <w:r w:rsidRPr="0007324A">
        <w:rPr>
          <w:i/>
        </w:rPr>
        <w:t xml:space="preserve"> the school had restrained (my son) to stop him from chasing a boy who hurt him</w:t>
      </w:r>
      <w:r>
        <w:t xml:space="preserve"> – Parent.</w:t>
      </w:r>
    </w:p>
    <w:p w14:paraId="28095F11" w14:textId="77777777" w:rsidR="008A19D3" w:rsidRDefault="008A19D3" w:rsidP="001E75B8">
      <w:pPr>
        <w:pStyle w:val="ListParagraph"/>
        <w:ind w:left="714"/>
      </w:pPr>
    </w:p>
    <w:p w14:paraId="0A90C713" w14:textId="77777777" w:rsidR="008A19D3" w:rsidRDefault="008A19D3" w:rsidP="001E75B8">
      <w:pPr>
        <w:pStyle w:val="ListParagraph"/>
        <w:ind w:left="714"/>
      </w:pPr>
      <w:r w:rsidRPr="0007324A">
        <w:rPr>
          <w:i/>
        </w:rPr>
        <w:t>(My son) has had teachers use intimidation and physically drag him down corridors for refusing to follow instructions</w:t>
      </w:r>
      <w:r>
        <w:t xml:space="preserve"> – Parent.</w:t>
      </w:r>
    </w:p>
    <w:p w14:paraId="6F31EAB5" w14:textId="77777777" w:rsidR="008A19D3" w:rsidRDefault="008A19D3" w:rsidP="001E75B8">
      <w:pPr>
        <w:pStyle w:val="ListParagraph"/>
        <w:ind w:left="714"/>
      </w:pPr>
    </w:p>
    <w:p w14:paraId="6906148B" w14:textId="77777777" w:rsidR="008A19D3" w:rsidRDefault="008A19D3" w:rsidP="001E75B8">
      <w:pPr>
        <w:pStyle w:val="ListParagraph"/>
        <w:ind w:left="714"/>
      </w:pPr>
      <w:r w:rsidRPr="0007324A">
        <w:rPr>
          <w:i/>
        </w:rPr>
        <w:t>Three to four adults (held my son) down. The last method we heard about was (staff) telling him to pretend he was a jellyfish</w:t>
      </w:r>
      <w:r w:rsidR="00403DA1">
        <w:rPr>
          <w:i/>
        </w:rPr>
        <w:t>,</w:t>
      </w:r>
      <w:r w:rsidRPr="0007324A">
        <w:rPr>
          <w:i/>
        </w:rPr>
        <w:t xml:space="preserve"> therefore going limp and not struggling. This was obviously after he had been restrained and put on the ground</w:t>
      </w:r>
      <w:r>
        <w:t xml:space="preserve"> – Parent.</w:t>
      </w:r>
    </w:p>
    <w:p w14:paraId="294EFCD4" w14:textId="77777777" w:rsidR="001E75B8" w:rsidRDefault="001E75B8" w:rsidP="001E75B8">
      <w:pPr>
        <w:pStyle w:val="ListParagraph"/>
        <w:ind w:left="714"/>
      </w:pPr>
    </w:p>
    <w:p w14:paraId="56460CCF" w14:textId="77777777" w:rsidR="001E75B8" w:rsidRDefault="001E75B8" w:rsidP="001E75B8">
      <w:pPr>
        <w:pStyle w:val="ListParagraph"/>
        <w:ind w:left="714"/>
      </w:pPr>
      <w:r w:rsidRPr="0007324A">
        <w:rPr>
          <w:i/>
        </w:rPr>
        <w:t>(My son) is currently being sedated to attend school. The school says he is doing well. His doctors say he is suffering a huge amount of emotional distress due to his education</w:t>
      </w:r>
      <w:r>
        <w:t xml:space="preserve"> – </w:t>
      </w:r>
      <w:r>
        <w:tab/>
        <w:t>Parent.</w:t>
      </w:r>
    </w:p>
    <w:p w14:paraId="58663917" w14:textId="77777777" w:rsidR="0029599D" w:rsidRDefault="0029599D" w:rsidP="0029599D"/>
    <w:p w14:paraId="64A903AA" w14:textId="27677564" w:rsidR="002B3496" w:rsidRDefault="0029599D" w:rsidP="006A5D44">
      <w:r>
        <w:t>CYDA believes that the treatment of students with disability in these circumstances constitutes torture or other cruel, inhuman or degrading treatment or punishment. The experience of seclusion for many children with disability involves: isolation for</w:t>
      </w:r>
      <w:r w:rsidR="008A63A7">
        <w:t xml:space="preserve"> long periods which</w:t>
      </w:r>
      <w:r w:rsidR="00C1434D">
        <w:t xml:space="preserve"> are reported to range from one</w:t>
      </w:r>
      <w:r w:rsidR="007F5EF7">
        <w:t xml:space="preserve"> hour to most of the school day</w:t>
      </w:r>
      <w:r>
        <w:t xml:space="preserve">; </w:t>
      </w:r>
      <w:r w:rsidR="008A63A7">
        <w:t>being exposed to weather without reasonable protection provided;</w:t>
      </w:r>
      <w:r>
        <w:t xml:space="preserve"> denial of food; denial of access to a toilet; and placement in the dark. </w:t>
      </w:r>
      <w:r w:rsidR="001E75B8">
        <w:t>Restraint frequently involves</w:t>
      </w:r>
      <w:r w:rsidR="00686BDA">
        <w:t>:</w:t>
      </w:r>
      <w:r w:rsidR="001E75B8">
        <w:t xml:space="preserve"> </w:t>
      </w:r>
      <w:r w:rsidR="008A63A7">
        <w:t>injury; and</w:t>
      </w:r>
      <w:r w:rsidR="001E75B8">
        <w:t xml:space="preserve"> restricted movement. S</w:t>
      </w:r>
      <w:r w:rsidR="00DC23F1">
        <w:t>tudents</w:t>
      </w:r>
      <w:r w:rsidR="001E75B8">
        <w:t xml:space="preserve"> and families</w:t>
      </w:r>
      <w:r w:rsidR="00DC23F1">
        <w:t xml:space="preserve"> frequently report high levels of distress and long term mental </w:t>
      </w:r>
      <w:r w:rsidR="00DC23F1">
        <w:lastRenderedPageBreak/>
        <w:t xml:space="preserve">health impacts for the children involved. </w:t>
      </w:r>
      <w:r w:rsidR="001E75B8">
        <w:t>This is reflected in the following experiences reported to CYDA:</w:t>
      </w:r>
    </w:p>
    <w:p w14:paraId="42FE8891" w14:textId="77777777" w:rsidR="009C7FC4" w:rsidRDefault="009C7FC4" w:rsidP="006A5D44"/>
    <w:p w14:paraId="39CA0D86" w14:textId="77777777" w:rsidR="009C7FC4" w:rsidRPr="00656536" w:rsidRDefault="009C7FC4" w:rsidP="0007324A">
      <w:pPr>
        <w:ind w:left="720"/>
      </w:pPr>
      <w:r w:rsidRPr="0007324A">
        <w:rPr>
          <w:i/>
        </w:rPr>
        <w:t>(My son has) anxiety due to school locking him I sensory room for lengthy periods of time and not redirecting his behaviour</w:t>
      </w:r>
      <w:r w:rsidR="003B5FD7">
        <w:rPr>
          <w:i/>
        </w:rPr>
        <w:t xml:space="preserve"> </w:t>
      </w:r>
      <w:r w:rsidR="003B5FD7">
        <w:t>– Parent.</w:t>
      </w:r>
    </w:p>
    <w:p w14:paraId="1775A845" w14:textId="77777777" w:rsidR="009C7FC4" w:rsidRPr="0007324A" w:rsidRDefault="009C7FC4" w:rsidP="0007324A">
      <w:pPr>
        <w:ind w:left="720"/>
        <w:rPr>
          <w:i/>
        </w:rPr>
      </w:pPr>
    </w:p>
    <w:p w14:paraId="17C529B3" w14:textId="77777777" w:rsidR="009C7FC4" w:rsidRPr="00656536" w:rsidRDefault="009C7FC4" w:rsidP="0007324A">
      <w:pPr>
        <w:ind w:left="720"/>
      </w:pPr>
      <w:r w:rsidRPr="0007324A">
        <w:rPr>
          <w:i/>
        </w:rPr>
        <w:t>The use of a time-out room at our current school, where they literally dragged my son kicking and screaming to the room, was the most horrific of my son’</w:t>
      </w:r>
      <w:r w:rsidR="003B5FD7" w:rsidRPr="00656536">
        <w:rPr>
          <w:i/>
        </w:rPr>
        <w:t>s experiences</w:t>
      </w:r>
      <w:r w:rsidR="003B5FD7">
        <w:t xml:space="preserve">- Parent. </w:t>
      </w:r>
    </w:p>
    <w:p w14:paraId="01DD6836" w14:textId="77777777" w:rsidR="009C7FC4" w:rsidRPr="0007324A" w:rsidRDefault="009C7FC4" w:rsidP="0007324A">
      <w:pPr>
        <w:ind w:left="720"/>
        <w:rPr>
          <w:i/>
        </w:rPr>
      </w:pPr>
    </w:p>
    <w:p w14:paraId="25F38B3A" w14:textId="77777777" w:rsidR="009C7FC4" w:rsidRPr="00656536" w:rsidRDefault="009C7FC4" w:rsidP="0007324A">
      <w:pPr>
        <w:ind w:left="720"/>
      </w:pPr>
      <w:r w:rsidRPr="0007324A">
        <w:rPr>
          <w:i/>
        </w:rPr>
        <w:t xml:space="preserve">My child has witnessed a child being kept in a restraint thereby appearing to normalise this behaviour. Whether you’re in the restraint or looking at someone else who is restrained </w:t>
      </w:r>
      <w:r w:rsidR="003B5FD7">
        <w:rPr>
          <w:i/>
        </w:rPr>
        <w:t xml:space="preserve">(it) </w:t>
      </w:r>
      <w:r w:rsidRPr="0007324A">
        <w:rPr>
          <w:i/>
        </w:rPr>
        <w:t>has an impact</w:t>
      </w:r>
      <w:r w:rsidR="003B5FD7">
        <w:t xml:space="preserve"> – Parent. </w:t>
      </w:r>
    </w:p>
    <w:p w14:paraId="0B30FEFA" w14:textId="77777777" w:rsidR="00DC23F1" w:rsidRDefault="00DC23F1" w:rsidP="006A5D44"/>
    <w:p w14:paraId="71B26B33" w14:textId="4735960A" w:rsidR="0029599D" w:rsidRDefault="0029599D" w:rsidP="0029599D">
      <w:r>
        <w:t>Despite experiences of restraint</w:t>
      </w:r>
      <w:r w:rsidR="003C0CC9">
        <w:t xml:space="preserve"> and seclusion</w:t>
      </w:r>
      <w:r>
        <w:t xml:space="preserve"> of students with disability frequently being reported to CYDA, there is no national data </w:t>
      </w:r>
      <w:r w:rsidR="003C0CC9">
        <w:t>on these experiences available</w:t>
      </w:r>
      <w:r>
        <w:t xml:space="preserve">. Further, many education authorities do not keep records of cases of </w:t>
      </w:r>
      <w:r w:rsidR="003C0CC9">
        <w:t xml:space="preserve">restraint, </w:t>
      </w:r>
      <w:r>
        <w:t>seclusion and other forms of abuse of students with disability. CYDA recently requested information about cases of alleged violence, abuse, neglect or exploitation (including restrictive practices) of students with disability through freedom of information legislation. All states aside from New South Wales and the Australian Capital Territory (ACT) informed that they do not collect this information or that providing the information would involve ‘unreasonable</w:t>
      </w:r>
      <w:r w:rsidR="00CA465B">
        <w:t xml:space="preserve"> diversion of resources.</w:t>
      </w:r>
      <w:r w:rsidR="00403DA1">
        <w:t>’</w:t>
      </w:r>
      <w:r>
        <w:t xml:space="preserve"> This illustrates the lack of reporting, oversight and accountability regarding seclusion of students with disability.</w:t>
      </w:r>
    </w:p>
    <w:p w14:paraId="64C76E13" w14:textId="77777777" w:rsidR="0029599D" w:rsidRDefault="0029599D" w:rsidP="006A5D44"/>
    <w:p w14:paraId="51D6B421" w14:textId="77777777" w:rsidR="006A5D44" w:rsidRPr="006A5D44" w:rsidRDefault="006A5D44" w:rsidP="006A5D44">
      <w:r>
        <w:t xml:space="preserve">It is </w:t>
      </w:r>
      <w:r w:rsidR="00DC23F1">
        <w:t xml:space="preserve">therefore </w:t>
      </w:r>
      <w:r>
        <w:t>the view of CYDA that an NPM enacted through Australia’s ratification of the OPCAT should have jurisdic</w:t>
      </w:r>
      <w:r w:rsidR="00DC23F1">
        <w:t xml:space="preserve">tion over education settings to ensure oversight and accountability for </w:t>
      </w:r>
      <w:r w:rsidR="003C0CC9">
        <w:t xml:space="preserve">restraint and </w:t>
      </w:r>
      <w:r w:rsidR="00DC23F1">
        <w:t xml:space="preserve">seclusion of students with </w:t>
      </w:r>
      <w:r w:rsidR="009D03AD">
        <w:t>disability, with a focus on prevention</w:t>
      </w:r>
      <w:r>
        <w:t xml:space="preserve">. CYDA has previously recommended that a national oversight body for the use of restraint and seclusion </w:t>
      </w:r>
      <w:r w:rsidR="00E947E1">
        <w:t xml:space="preserve">be established </w:t>
      </w:r>
      <w:r>
        <w:t>that alone is charged with the power to authorise the use of restrictive practices beyond a first unplanned emergency.</w:t>
      </w:r>
      <w:r w:rsidR="009D03AD">
        <w:t xml:space="preserve"> Further, this body should adopt an educative role to ensure that </w:t>
      </w:r>
      <w:r w:rsidR="003C0CC9">
        <w:t xml:space="preserve">restraint and </w:t>
      </w:r>
      <w:r w:rsidR="009D03AD">
        <w:t>seclusion is accurately recognised as abuse and a violation of human rights.</w:t>
      </w:r>
      <w:r w:rsidR="00E947E1">
        <w:t xml:space="preserve"> Consideration should therefore be given to how this role could fulfil the requirements for a NPM. </w:t>
      </w:r>
    </w:p>
    <w:p w14:paraId="34C93F0A" w14:textId="77777777" w:rsidR="006A5D44" w:rsidRDefault="006A5D44" w:rsidP="00127A77"/>
    <w:p w14:paraId="27842F70" w14:textId="77777777" w:rsidR="004D6B93" w:rsidRPr="004D6B93" w:rsidRDefault="004D6B93" w:rsidP="00127A77">
      <w:r>
        <w:rPr>
          <w:b/>
        </w:rPr>
        <w:t>Recommendation</w:t>
      </w:r>
      <w:r w:rsidR="00403DA1">
        <w:rPr>
          <w:b/>
        </w:rPr>
        <w:t xml:space="preserve"> 1</w:t>
      </w:r>
      <w:r>
        <w:rPr>
          <w:b/>
        </w:rPr>
        <w:t xml:space="preserve">: </w:t>
      </w:r>
      <w:r>
        <w:t xml:space="preserve">Ensure that a National Preventive Mechanism developed through Australia’s ratification of the </w:t>
      </w:r>
      <w:r w:rsidRPr="004D6B93">
        <w:rPr>
          <w:i/>
        </w:rPr>
        <w:t>Optional Protocol for the Convention Against Torture</w:t>
      </w:r>
      <w:r>
        <w:rPr>
          <w:i/>
        </w:rPr>
        <w:t xml:space="preserve"> </w:t>
      </w:r>
      <w:r>
        <w:t xml:space="preserve">is able to inspect, report on and make policy recommendations about education settings, with a particular focus on </w:t>
      </w:r>
      <w:r w:rsidR="003C0CC9">
        <w:t xml:space="preserve">restraint and </w:t>
      </w:r>
      <w:r>
        <w:t>seclusion of students with disability.</w:t>
      </w:r>
    </w:p>
    <w:p w14:paraId="151C9622" w14:textId="77777777" w:rsidR="004D6B93" w:rsidRDefault="004D6B93" w:rsidP="00127A77"/>
    <w:p w14:paraId="04B863E8" w14:textId="77777777" w:rsidR="00E26607" w:rsidRPr="00E947E1" w:rsidRDefault="00E947E1" w:rsidP="00127A77">
      <w:pPr>
        <w:contextualSpacing/>
      </w:pPr>
      <w:r w:rsidRPr="00E947E1">
        <w:rPr>
          <w:b/>
        </w:rPr>
        <w:t>Recommendation</w:t>
      </w:r>
      <w:r w:rsidR="00403DA1">
        <w:rPr>
          <w:b/>
        </w:rPr>
        <w:t xml:space="preserve"> 2</w:t>
      </w:r>
      <w:r w:rsidRPr="00E947E1">
        <w:rPr>
          <w:b/>
        </w:rPr>
        <w:t>:</w:t>
      </w:r>
      <w:r>
        <w:rPr>
          <w:b/>
        </w:rPr>
        <w:t xml:space="preserve"> </w:t>
      </w:r>
      <w:r>
        <w:t xml:space="preserve">Establishment of a national oversight body for the use of restraint and seclusion that alone is charged with the power to authorise the use of restrictive practices beyond a first unplanned emergency. This body should also record national data on the use of restraint and seclusion regardless of setting. </w:t>
      </w:r>
      <w:r w:rsidR="004D6B93">
        <w:t>This body could fulfil elements of the National Preventive Mechanism requirements.</w:t>
      </w:r>
    </w:p>
    <w:p w14:paraId="30DD6EAF" w14:textId="77777777" w:rsidR="00BB5F8B" w:rsidRDefault="00BB5F8B">
      <w:pPr>
        <w:rPr>
          <w:b/>
        </w:rPr>
      </w:pPr>
    </w:p>
    <w:p w14:paraId="39EBFA47" w14:textId="77777777" w:rsidR="006534E1" w:rsidRPr="006534E1" w:rsidRDefault="006534E1" w:rsidP="00127A77">
      <w:pPr>
        <w:rPr>
          <w:b/>
        </w:rPr>
      </w:pPr>
      <w:r>
        <w:rPr>
          <w:b/>
        </w:rPr>
        <w:t>School Transport</w:t>
      </w:r>
    </w:p>
    <w:p w14:paraId="2CED534E" w14:textId="77777777" w:rsidR="00A810DD" w:rsidRDefault="00A810DD" w:rsidP="00A810DD">
      <w:r>
        <w:t xml:space="preserve">School transport </w:t>
      </w:r>
      <w:r w:rsidR="00E160D1">
        <w:t xml:space="preserve">is another area CYDA strongly believes should be included within the </w:t>
      </w:r>
      <w:r w:rsidR="007121E5">
        <w:t>scope</w:t>
      </w:r>
      <w:r w:rsidR="00E160D1">
        <w:t xml:space="preserve"> of a potential NPM.</w:t>
      </w:r>
      <w:r>
        <w:t xml:space="preserve"> Policy and procedures</w:t>
      </w:r>
      <w:r w:rsidR="00E160D1">
        <w:t xml:space="preserve"> regarding school transport</w:t>
      </w:r>
      <w:r>
        <w:t xml:space="preserve"> vary in each jurisdiction. </w:t>
      </w:r>
      <w:r w:rsidR="007121E5">
        <w:t>CYDA’s</w:t>
      </w:r>
      <w:r>
        <w:t xml:space="preserve"> prominent concerns relate to the length of travel, pre-employment and ongoing screening of staff, qualifications and professional development for bus personnel and widespread inadequate policies and procedures. </w:t>
      </w:r>
    </w:p>
    <w:p w14:paraId="27A1A530" w14:textId="77777777" w:rsidR="00A810DD" w:rsidRDefault="00A810DD" w:rsidP="00A810DD"/>
    <w:p w14:paraId="7F4AF1B5" w14:textId="77777777" w:rsidR="009D03AD" w:rsidRDefault="00A810DD" w:rsidP="00A810DD">
      <w:r>
        <w:t xml:space="preserve">In Victoria, bus transport is provided to students enrolled in special schools. Presently the policy is that the travel time for each journey can be up to two hours for a student to travel to </w:t>
      </w:r>
      <w:r w:rsidR="00280719">
        <w:t>and</w:t>
      </w:r>
      <w:r>
        <w:t xml:space="preserve"> from school – a potential of four hours per day. CYDA is aware that children from as young as five years of age, are spending four hours a day traveling to and from school. In some instances this involves very short distances of less than 10km. This can mean that a child leaves home at 7.00am and returns at 5.00pm. </w:t>
      </w:r>
    </w:p>
    <w:p w14:paraId="7927B3B2" w14:textId="77777777" w:rsidR="009D03AD" w:rsidRDefault="009D03AD" w:rsidP="00A810DD"/>
    <w:p w14:paraId="0325B91E" w14:textId="77777777" w:rsidR="00D46771" w:rsidRDefault="00A810DD" w:rsidP="00D46771">
      <w:r>
        <w:t>In many instances the families must utilise school transport because of work or other family commitments so it is not simply a preferred choice of families but the only transport option. The extensive travel time immediately denies many children significant opportunities and experiences of play, recreation, extracurricul</w:t>
      </w:r>
      <w:r w:rsidR="00E5454F">
        <w:t xml:space="preserve">ar activities and family time. </w:t>
      </w:r>
      <w:r>
        <w:t>Further, for children with high health and physical care needs, the long periods spent travelling to and from school inhibits the provision of necessary support.</w:t>
      </w:r>
      <w:r w:rsidR="00D46771">
        <w:t xml:space="preserve"> Depending on jurisdiction and circumstance, many children who are dependent on this bus transport, are often denied the </w:t>
      </w:r>
      <w:r w:rsidR="00D46771">
        <w:lastRenderedPageBreak/>
        <w:t>opportunity to eat, drink or go to the toilet while travelling.</w:t>
      </w:r>
      <w:r w:rsidR="00280719">
        <w:t xml:space="preserve"> In previous incidents</w:t>
      </w:r>
      <w:r w:rsidR="00656536">
        <w:t>,</w:t>
      </w:r>
      <w:r w:rsidR="00280719">
        <w:t xml:space="preserve"> proposals have been made to withhold fluid intake from earlier in an attempt to prevent the need to urinate during the later bus trip. There have additionally been incidents where children have had toileting accidents due to their being no access to toilets, and the child must sit in urine or faeces </w:t>
      </w:r>
      <w:r w:rsidR="00686BDA">
        <w:t>for</w:t>
      </w:r>
      <w:r w:rsidR="00280719">
        <w:t xml:space="preserve"> the duration of subsequent bus travel.</w:t>
      </w:r>
    </w:p>
    <w:p w14:paraId="593B5457" w14:textId="77777777" w:rsidR="00E5454F" w:rsidRDefault="00E5454F" w:rsidP="00D46771"/>
    <w:p w14:paraId="541F8066" w14:textId="77777777" w:rsidR="00E5454F" w:rsidRDefault="00E5454F" w:rsidP="00D46771">
      <w:pPr>
        <w:contextualSpacing/>
      </w:pPr>
      <w:r w:rsidRPr="00716CBA">
        <w:t>In different jurisdictions it is unclear what mechanisms there are for training and supervision of staff that drive or chaperone on these transport services</w:t>
      </w:r>
      <w:r>
        <w:t>. The limited or poor policies and procedures in relation to school transport, notably regarding supervision, creates a significant risk. A lack of appropriate supervision</w:t>
      </w:r>
      <w:r w:rsidR="00280719">
        <w:t xml:space="preserve"> raises significant concerns regarding the quality and safeguarding provided to children with disability in this circumstance</w:t>
      </w:r>
      <w:r>
        <w:t xml:space="preserve">. </w:t>
      </w:r>
      <w:r w:rsidR="00280719">
        <w:t>Additionally, incidents of restraint through the use of seat belt locks are not uncommon for children utilising this method of transport.</w:t>
      </w:r>
    </w:p>
    <w:p w14:paraId="578D9E06" w14:textId="77777777" w:rsidR="00A810DD" w:rsidRDefault="00A810DD" w:rsidP="00A810DD"/>
    <w:p w14:paraId="6EF42544" w14:textId="77777777" w:rsidR="00A810DD" w:rsidRDefault="00A810DD" w:rsidP="00A810DD">
      <w:pPr>
        <w:rPr>
          <w:i/>
        </w:rPr>
      </w:pPr>
      <w:r>
        <w:t>Some experiences provided to CYDA include:</w:t>
      </w:r>
    </w:p>
    <w:p w14:paraId="2746A0C9" w14:textId="77777777" w:rsidR="00A810DD" w:rsidRPr="00A810DD" w:rsidRDefault="00A810DD" w:rsidP="00A810DD"/>
    <w:p w14:paraId="5B92F4E4" w14:textId="77777777" w:rsidR="00A810DD" w:rsidRPr="007A2C00" w:rsidRDefault="00A810DD" w:rsidP="00A810DD">
      <w:pPr>
        <w:pStyle w:val="ListParagraph"/>
        <w:rPr>
          <w:i/>
        </w:rPr>
      </w:pPr>
      <w:r w:rsidRPr="007A2C00">
        <w:rPr>
          <w:i/>
        </w:rPr>
        <w:t xml:space="preserve">My eight year old son used to spend up to four hours a day travelling to and from his school which was less than 10km away from our home </w:t>
      </w:r>
      <w:r>
        <w:t xml:space="preserve">– Parent. </w:t>
      </w:r>
    </w:p>
    <w:p w14:paraId="2FC9BFAC" w14:textId="77777777" w:rsidR="00A810DD" w:rsidRPr="007A2C00" w:rsidRDefault="00A810DD" w:rsidP="00A810DD">
      <w:pPr>
        <w:pStyle w:val="ListParagraph"/>
        <w:rPr>
          <w:i/>
        </w:rPr>
      </w:pPr>
    </w:p>
    <w:p w14:paraId="69CAF216" w14:textId="77777777" w:rsidR="00A810DD" w:rsidRPr="007A2C00" w:rsidRDefault="00A810DD" w:rsidP="00A810DD">
      <w:pPr>
        <w:pStyle w:val="ListParagraph"/>
        <w:rPr>
          <w:i/>
        </w:rPr>
      </w:pPr>
      <w:r w:rsidRPr="007A2C00">
        <w:rPr>
          <w:i/>
        </w:rPr>
        <w:t xml:space="preserve">I have a 10 year old son that attends (a special school) and can be traveling for 90 minutes or more each way every day. I feel that this is a disadvantage to him and many other children therefore I believe that the education department should do a review of their current policy </w:t>
      </w:r>
      <w:r>
        <w:t xml:space="preserve">– Parent. </w:t>
      </w:r>
    </w:p>
    <w:p w14:paraId="29B63692" w14:textId="77777777" w:rsidR="00A810DD" w:rsidRPr="007A2C00" w:rsidRDefault="00A810DD" w:rsidP="00A810DD">
      <w:pPr>
        <w:pStyle w:val="ListParagraph"/>
        <w:rPr>
          <w:i/>
        </w:rPr>
      </w:pPr>
    </w:p>
    <w:p w14:paraId="4E584D30" w14:textId="77777777" w:rsidR="00A810DD" w:rsidRPr="0041306A" w:rsidRDefault="00A810DD" w:rsidP="00A810DD">
      <w:pPr>
        <w:ind w:left="720"/>
        <w:rPr>
          <w:i/>
        </w:rPr>
      </w:pPr>
      <w:r w:rsidRPr="0041306A">
        <w:rPr>
          <w:i/>
        </w:rPr>
        <w:t>The many attributes associated with longer travel time</w:t>
      </w:r>
      <w:r>
        <w:rPr>
          <w:i/>
        </w:rPr>
        <w:t xml:space="preserve"> (for my son)</w:t>
      </w:r>
      <w:r w:rsidRPr="0041306A">
        <w:rPr>
          <w:i/>
        </w:rPr>
        <w:t xml:space="preserve"> are:</w:t>
      </w:r>
    </w:p>
    <w:p w14:paraId="2C961596" w14:textId="77777777" w:rsidR="00A810DD" w:rsidRDefault="00A810DD" w:rsidP="00A810DD">
      <w:pPr>
        <w:pStyle w:val="ListParagraph"/>
        <w:numPr>
          <w:ilvl w:val="0"/>
          <w:numId w:val="6"/>
        </w:numPr>
        <w:rPr>
          <w:i/>
        </w:rPr>
      </w:pPr>
      <w:r w:rsidRPr="003422AB">
        <w:rPr>
          <w:i/>
        </w:rPr>
        <w:t>Headaches every day from pure exhaustion due to travel time</w:t>
      </w:r>
      <w:r>
        <w:rPr>
          <w:i/>
        </w:rPr>
        <w:t>;</w:t>
      </w:r>
    </w:p>
    <w:p w14:paraId="14C6EB98" w14:textId="77777777" w:rsidR="00A810DD" w:rsidRDefault="00A810DD" w:rsidP="00A810DD">
      <w:pPr>
        <w:pStyle w:val="ListParagraph"/>
        <w:numPr>
          <w:ilvl w:val="0"/>
          <w:numId w:val="6"/>
        </w:numPr>
        <w:rPr>
          <w:i/>
        </w:rPr>
      </w:pPr>
      <w:r w:rsidRPr="003422AB">
        <w:rPr>
          <w:i/>
        </w:rPr>
        <w:t>Dehydration from not drinking and sitting in the hot bus for long periods</w:t>
      </w:r>
      <w:r>
        <w:rPr>
          <w:i/>
        </w:rPr>
        <w:t>;</w:t>
      </w:r>
    </w:p>
    <w:p w14:paraId="2E48E05D" w14:textId="77777777" w:rsidR="00A810DD" w:rsidRDefault="00A810DD" w:rsidP="00A810DD">
      <w:pPr>
        <w:pStyle w:val="ListParagraph"/>
        <w:numPr>
          <w:ilvl w:val="0"/>
          <w:numId w:val="6"/>
        </w:numPr>
        <w:rPr>
          <w:i/>
        </w:rPr>
      </w:pPr>
      <w:r w:rsidRPr="003422AB">
        <w:rPr>
          <w:i/>
        </w:rPr>
        <w:t>Not being able to go to the toilet for the duration of the bus trip</w:t>
      </w:r>
      <w:r>
        <w:rPr>
          <w:i/>
        </w:rPr>
        <w:t>;</w:t>
      </w:r>
    </w:p>
    <w:p w14:paraId="3CD427D4" w14:textId="77777777" w:rsidR="00A810DD" w:rsidRPr="00870764" w:rsidRDefault="00A810DD" w:rsidP="00A810DD">
      <w:pPr>
        <w:pStyle w:val="ListParagraph"/>
        <w:numPr>
          <w:ilvl w:val="0"/>
          <w:numId w:val="6"/>
        </w:numPr>
        <w:rPr>
          <w:i/>
        </w:rPr>
      </w:pPr>
      <w:r w:rsidRPr="003422AB">
        <w:rPr>
          <w:i/>
        </w:rPr>
        <w:t>No food w</w:t>
      </w:r>
      <w:r w:rsidRPr="00870764">
        <w:rPr>
          <w:i/>
        </w:rPr>
        <w:t>hilst</w:t>
      </w:r>
      <w:r w:rsidRPr="003422AB">
        <w:rPr>
          <w:i/>
        </w:rPr>
        <w:t xml:space="preserve"> on the bu</w:t>
      </w:r>
      <w:r w:rsidRPr="00870764">
        <w:rPr>
          <w:i/>
        </w:rPr>
        <w:t>s</w:t>
      </w:r>
      <w:r>
        <w:rPr>
          <w:i/>
        </w:rPr>
        <w:t>;</w:t>
      </w:r>
    </w:p>
    <w:p w14:paraId="3208B3E7" w14:textId="77777777" w:rsidR="00A810DD" w:rsidRDefault="00A810DD" w:rsidP="00A810DD">
      <w:pPr>
        <w:pStyle w:val="ListParagraph"/>
        <w:numPr>
          <w:ilvl w:val="0"/>
          <w:numId w:val="6"/>
        </w:numPr>
        <w:rPr>
          <w:i/>
        </w:rPr>
      </w:pPr>
      <w:r>
        <w:rPr>
          <w:i/>
        </w:rPr>
        <w:t>Sickness increased from (being)</w:t>
      </w:r>
      <w:r w:rsidRPr="003422AB">
        <w:rPr>
          <w:i/>
        </w:rPr>
        <w:t xml:space="preserve"> run down and sheer exhaustion</w:t>
      </w:r>
      <w:r>
        <w:rPr>
          <w:i/>
        </w:rPr>
        <w:t>;</w:t>
      </w:r>
    </w:p>
    <w:p w14:paraId="12EA6E20" w14:textId="77777777" w:rsidR="00A810DD" w:rsidRDefault="00A810DD" w:rsidP="00A810DD">
      <w:pPr>
        <w:pStyle w:val="ListParagraph"/>
        <w:numPr>
          <w:ilvl w:val="0"/>
          <w:numId w:val="6"/>
        </w:numPr>
        <w:rPr>
          <w:i/>
        </w:rPr>
      </w:pPr>
      <w:r w:rsidRPr="003422AB">
        <w:rPr>
          <w:i/>
        </w:rPr>
        <w:lastRenderedPageBreak/>
        <w:t>More meltdowns when he gets home</w:t>
      </w:r>
      <w:r>
        <w:rPr>
          <w:i/>
        </w:rPr>
        <w:t>;</w:t>
      </w:r>
    </w:p>
    <w:p w14:paraId="468F86DC" w14:textId="77777777" w:rsidR="00A810DD" w:rsidRDefault="00A810DD" w:rsidP="00A810DD">
      <w:pPr>
        <w:pStyle w:val="ListParagraph"/>
        <w:numPr>
          <w:ilvl w:val="0"/>
          <w:numId w:val="6"/>
        </w:numPr>
        <w:rPr>
          <w:i/>
        </w:rPr>
      </w:pPr>
      <w:r w:rsidRPr="003422AB">
        <w:rPr>
          <w:i/>
        </w:rPr>
        <w:t xml:space="preserve">Unable to eat properly at night </w:t>
      </w:r>
      <w:r>
        <w:rPr>
          <w:i/>
        </w:rPr>
        <w:t xml:space="preserve">(because he is) </w:t>
      </w:r>
      <w:r w:rsidRPr="003422AB">
        <w:rPr>
          <w:i/>
        </w:rPr>
        <w:t>too tired</w:t>
      </w:r>
      <w:r>
        <w:rPr>
          <w:i/>
        </w:rPr>
        <w:t>;</w:t>
      </w:r>
    </w:p>
    <w:p w14:paraId="0B357978" w14:textId="77777777" w:rsidR="00A810DD" w:rsidRDefault="00A810DD" w:rsidP="00A810DD">
      <w:pPr>
        <w:pStyle w:val="ListParagraph"/>
        <w:numPr>
          <w:ilvl w:val="0"/>
          <w:numId w:val="6"/>
        </w:numPr>
        <w:rPr>
          <w:i/>
        </w:rPr>
      </w:pPr>
      <w:r w:rsidRPr="003422AB">
        <w:rPr>
          <w:i/>
        </w:rPr>
        <w:t>Medication given way too early in the morning in order to catch a bus</w:t>
      </w:r>
      <w:r>
        <w:rPr>
          <w:i/>
        </w:rPr>
        <w:t>;</w:t>
      </w:r>
    </w:p>
    <w:p w14:paraId="1D81B861" w14:textId="761F2ED0" w:rsidR="00A810DD" w:rsidRDefault="00A810DD" w:rsidP="00A810DD">
      <w:pPr>
        <w:pStyle w:val="ListParagraph"/>
        <w:numPr>
          <w:ilvl w:val="0"/>
          <w:numId w:val="6"/>
        </w:numPr>
        <w:rPr>
          <w:i/>
        </w:rPr>
      </w:pPr>
      <w:r>
        <w:rPr>
          <w:i/>
        </w:rPr>
        <w:t>(</w:t>
      </w:r>
      <w:r w:rsidRPr="00870764">
        <w:rPr>
          <w:i/>
        </w:rPr>
        <w:t>Sensory issues)</w:t>
      </w:r>
      <w:r w:rsidRPr="003422AB">
        <w:rPr>
          <w:i/>
        </w:rPr>
        <w:t xml:space="preserve"> </w:t>
      </w:r>
      <w:r w:rsidRPr="00870764">
        <w:rPr>
          <w:i/>
        </w:rPr>
        <w:t>with the increased noise</w:t>
      </w:r>
      <w:r>
        <w:rPr>
          <w:i/>
        </w:rPr>
        <w:t>;</w:t>
      </w:r>
    </w:p>
    <w:p w14:paraId="148B152B" w14:textId="77777777" w:rsidR="00A810DD" w:rsidRDefault="00A810DD" w:rsidP="00A810DD">
      <w:pPr>
        <w:pStyle w:val="ListParagraph"/>
        <w:numPr>
          <w:ilvl w:val="0"/>
          <w:numId w:val="6"/>
        </w:numPr>
        <w:rPr>
          <w:i/>
        </w:rPr>
      </w:pPr>
      <w:r w:rsidRPr="003422AB">
        <w:rPr>
          <w:i/>
        </w:rPr>
        <w:t>We shou</w:t>
      </w:r>
      <w:r>
        <w:rPr>
          <w:i/>
        </w:rPr>
        <w:t xml:space="preserve">ld never put a cost </w:t>
      </w:r>
      <w:r w:rsidRPr="00870764">
        <w:rPr>
          <w:i/>
        </w:rPr>
        <w:t>figure on a child with (disability)</w:t>
      </w:r>
      <w:r w:rsidRPr="003422AB">
        <w:rPr>
          <w:i/>
        </w:rPr>
        <w:t xml:space="preserve">, </w:t>
      </w:r>
      <w:r>
        <w:rPr>
          <w:i/>
        </w:rPr>
        <w:t>(the school)</w:t>
      </w:r>
      <w:r w:rsidRPr="003422AB">
        <w:rPr>
          <w:i/>
        </w:rPr>
        <w:t xml:space="preserve"> currently disadvantage</w:t>
      </w:r>
      <w:r>
        <w:rPr>
          <w:i/>
        </w:rPr>
        <w:t>s</w:t>
      </w:r>
      <w:r w:rsidRPr="003422AB">
        <w:rPr>
          <w:i/>
        </w:rPr>
        <w:t xml:space="preserve"> our children making the buses bigger</w:t>
      </w:r>
      <w:r>
        <w:rPr>
          <w:i/>
        </w:rPr>
        <w:t xml:space="preserve"> (and) </w:t>
      </w:r>
      <w:r w:rsidRPr="003422AB">
        <w:rPr>
          <w:i/>
        </w:rPr>
        <w:t>trips longer instead of smaller buses and shorter routes</w:t>
      </w:r>
      <w:r>
        <w:rPr>
          <w:i/>
        </w:rPr>
        <w:t>;</w:t>
      </w:r>
    </w:p>
    <w:p w14:paraId="36B7C161" w14:textId="77777777" w:rsidR="00A810DD" w:rsidRDefault="00A810DD" w:rsidP="00A810DD">
      <w:pPr>
        <w:pStyle w:val="ListParagraph"/>
        <w:numPr>
          <w:ilvl w:val="0"/>
          <w:numId w:val="6"/>
        </w:numPr>
        <w:rPr>
          <w:i/>
        </w:rPr>
      </w:pPr>
      <w:r w:rsidRPr="003422AB">
        <w:rPr>
          <w:i/>
        </w:rPr>
        <w:t>The emotional and physical cost on a child</w:t>
      </w:r>
      <w:r w:rsidRPr="00870764">
        <w:rPr>
          <w:i/>
        </w:rPr>
        <w:t>;</w:t>
      </w:r>
    </w:p>
    <w:p w14:paraId="428266E7" w14:textId="77777777" w:rsidR="00A810DD" w:rsidRDefault="00A810DD" w:rsidP="00A810DD">
      <w:pPr>
        <w:pStyle w:val="ListParagraph"/>
        <w:numPr>
          <w:ilvl w:val="0"/>
          <w:numId w:val="6"/>
        </w:numPr>
        <w:rPr>
          <w:i/>
        </w:rPr>
      </w:pPr>
      <w:r w:rsidRPr="003422AB">
        <w:rPr>
          <w:i/>
        </w:rPr>
        <w:t>Not being able to join sports clubs events</w:t>
      </w:r>
      <w:r>
        <w:rPr>
          <w:i/>
        </w:rPr>
        <w:t xml:space="preserve"> (from)</w:t>
      </w:r>
      <w:r w:rsidRPr="00870764">
        <w:rPr>
          <w:i/>
        </w:rPr>
        <w:t xml:space="preserve"> Monday- Friday (because)</w:t>
      </w:r>
      <w:r w:rsidRPr="003422AB">
        <w:rPr>
          <w:i/>
        </w:rPr>
        <w:t xml:space="preserve"> they come home too late and too exhausted</w:t>
      </w:r>
      <w:r>
        <w:rPr>
          <w:i/>
        </w:rPr>
        <w:t>;</w:t>
      </w:r>
    </w:p>
    <w:p w14:paraId="1FB27C65" w14:textId="77777777" w:rsidR="00A810DD" w:rsidRDefault="00A810DD" w:rsidP="00A810DD">
      <w:pPr>
        <w:pStyle w:val="ListParagraph"/>
        <w:numPr>
          <w:ilvl w:val="0"/>
          <w:numId w:val="6"/>
        </w:numPr>
        <w:rPr>
          <w:i/>
        </w:rPr>
      </w:pPr>
      <w:r w:rsidRPr="00870764">
        <w:rPr>
          <w:i/>
        </w:rPr>
        <w:t>Miss out on</w:t>
      </w:r>
      <w:r>
        <w:rPr>
          <w:i/>
        </w:rPr>
        <w:t>…</w:t>
      </w:r>
      <w:r w:rsidRPr="003422AB">
        <w:rPr>
          <w:i/>
        </w:rPr>
        <w:t>after school therapies</w:t>
      </w:r>
      <w:r>
        <w:rPr>
          <w:i/>
        </w:rPr>
        <w:t>;</w:t>
      </w:r>
    </w:p>
    <w:p w14:paraId="1D5AE551" w14:textId="321FC356" w:rsidR="00A810DD" w:rsidRDefault="00C1434D" w:rsidP="00A810DD">
      <w:pPr>
        <w:pStyle w:val="ListParagraph"/>
        <w:numPr>
          <w:ilvl w:val="0"/>
          <w:numId w:val="6"/>
        </w:numPr>
        <w:rPr>
          <w:i/>
        </w:rPr>
      </w:pPr>
      <w:r>
        <w:rPr>
          <w:i/>
        </w:rPr>
        <w:t>The emotional tol</w:t>
      </w:r>
      <w:r w:rsidR="00A810DD" w:rsidRPr="003422AB">
        <w:rPr>
          <w:i/>
        </w:rPr>
        <w:t>l and stress on families due to having more meltdowns</w:t>
      </w:r>
      <w:r w:rsidR="00A810DD">
        <w:rPr>
          <w:i/>
        </w:rPr>
        <w:t>; and</w:t>
      </w:r>
    </w:p>
    <w:p w14:paraId="431C17DD" w14:textId="77777777" w:rsidR="00A810DD" w:rsidRPr="003422AB" w:rsidRDefault="00A810DD" w:rsidP="00A810DD">
      <w:pPr>
        <w:pStyle w:val="ListParagraph"/>
        <w:numPr>
          <w:ilvl w:val="0"/>
          <w:numId w:val="6"/>
        </w:numPr>
        <w:rPr>
          <w:i/>
        </w:rPr>
      </w:pPr>
      <w:r w:rsidRPr="00870764">
        <w:rPr>
          <w:i/>
        </w:rPr>
        <w:t>Teachers at (school)</w:t>
      </w:r>
      <w:r w:rsidRPr="003422AB">
        <w:rPr>
          <w:i/>
        </w:rPr>
        <w:t xml:space="preserve"> would find that these children are less attentive during the d</w:t>
      </w:r>
      <w:r w:rsidRPr="00870764">
        <w:rPr>
          <w:i/>
        </w:rPr>
        <w:t xml:space="preserve">ay and possibly more disruptive </w:t>
      </w:r>
      <w:r>
        <w:rPr>
          <w:i/>
        </w:rPr>
        <w:t>–</w:t>
      </w:r>
      <w:r w:rsidRPr="00870764">
        <w:rPr>
          <w:i/>
        </w:rPr>
        <w:t xml:space="preserve"> </w:t>
      </w:r>
      <w:r>
        <w:t xml:space="preserve">Parent. </w:t>
      </w:r>
    </w:p>
    <w:p w14:paraId="27CC3F0C" w14:textId="77777777" w:rsidR="00A810DD" w:rsidRDefault="00A810DD" w:rsidP="00A810DD">
      <w:pPr>
        <w:rPr>
          <w:b/>
        </w:rPr>
      </w:pPr>
    </w:p>
    <w:p w14:paraId="619B66F4" w14:textId="77777777" w:rsidR="00A810DD" w:rsidRPr="00A27695" w:rsidRDefault="00A810DD" w:rsidP="00A810DD">
      <w:pPr>
        <w:pStyle w:val="ListParagraph"/>
        <w:rPr>
          <w:i/>
        </w:rPr>
      </w:pPr>
      <w:r>
        <w:rPr>
          <w:i/>
        </w:rPr>
        <w:t>In June 2015</w:t>
      </w:r>
      <w:r w:rsidRPr="00A27695">
        <w:rPr>
          <w:i/>
        </w:rPr>
        <w:t>, a student who attends a special school in Melbourne was left on a locked bus for five hours because the driver failed to check that all students had exited. The student had fallen asleep when the other students exited the bus at 9am and was not found until 2.30pm.</w:t>
      </w:r>
    </w:p>
    <w:p w14:paraId="21C9964E" w14:textId="77777777" w:rsidR="00A810DD" w:rsidRDefault="00A810DD" w:rsidP="00A810DD">
      <w:pPr>
        <w:pStyle w:val="ListParagraph"/>
      </w:pPr>
    </w:p>
    <w:p w14:paraId="4D97E4E2" w14:textId="77777777" w:rsidR="00A810DD" w:rsidRPr="00A810DD" w:rsidRDefault="00A810DD" w:rsidP="00A810DD">
      <w:pPr>
        <w:pStyle w:val="ListParagraph"/>
        <w:rPr>
          <w:i/>
        </w:rPr>
      </w:pPr>
      <w:r w:rsidRPr="00A27695">
        <w:rPr>
          <w:i/>
        </w:rPr>
        <w:t>A boy aged eight years old who was completely independent in toileting and continent was not provided with any options in the event he needed to go to the toilet if required throughout his two hour trip to and from school. After wetting his pants on a trip as he could not hold on any longer, his parents sought action from the Department of Education to ensure he could go to the toilet if needed to. The Department advised this was not an available option for him instead suggesting a number of possible options including a) wearing a nappy b) withholding of fluids during the afternoon or c) the provision of an absorbent towel in the event a situation arose if he couldn’t access a toilet and simply couldn’t hold on any longer.</w:t>
      </w:r>
    </w:p>
    <w:p w14:paraId="573494EE" w14:textId="77777777" w:rsidR="00D46771" w:rsidRDefault="00D46771" w:rsidP="00A810DD"/>
    <w:p w14:paraId="17425EB5" w14:textId="0D390A77" w:rsidR="00A810DD" w:rsidRDefault="00A810DD" w:rsidP="00A810DD">
      <w:r>
        <w:lastRenderedPageBreak/>
        <w:t>In 2010 CYDA and the Disability Discrimination Legal Service, made representations to the Attorney-General regarding breaches of human rights conventions in school transport for students with disability in Victoria. The lett</w:t>
      </w:r>
      <w:r w:rsidR="00E5454F">
        <w:t xml:space="preserve">er informed of breaches of the </w:t>
      </w:r>
      <w:r w:rsidR="00E5454F">
        <w:rPr>
          <w:i/>
        </w:rPr>
        <w:t>Convention on the Rights of the Child</w:t>
      </w:r>
      <w:r>
        <w:t xml:space="preserve">, the </w:t>
      </w:r>
      <w:r>
        <w:rPr>
          <w:i/>
        </w:rPr>
        <w:t xml:space="preserve">Convention on the Rights of Persons with Disabilities </w:t>
      </w:r>
      <w:r>
        <w:t xml:space="preserve">and </w:t>
      </w:r>
      <w:r w:rsidRPr="00615E00">
        <w:rPr>
          <w:i/>
        </w:rPr>
        <w:t>Victorian Charter of Human Rights and Responsibilities</w:t>
      </w:r>
      <w:r>
        <w:rPr>
          <w:i/>
        </w:rPr>
        <w:t xml:space="preserve">. </w:t>
      </w:r>
      <w:r w:rsidR="00995697">
        <w:t>The submission is attached for the Commission’s consideration (see Appendix A). Many</w:t>
      </w:r>
      <w:r w:rsidR="00045913">
        <w:t xml:space="preserve"> of the rights breaches described can be defined as torture or other cruel, inhuman or degrading treatment. In the time since the letter was sent,</w:t>
      </w:r>
      <w:r>
        <w:t xml:space="preserve"> there has been no discernible change and students with disability continue to experience abuse and violation of rights due to lengthy school bus rides.</w:t>
      </w:r>
      <w:r w:rsidR="007121E5">
        <w:t xml:space="preserve"> </w:t>
      </w:r>
      <w:r w:rsidR="00C1434D">
        <w:t>School</w:t>
      </w:r>
      <w:r w:rsidR="00995697">
        <w:t xml:space="preserve"> transport should therefore also be included within the scope of an NPM.</w:t>
      </w:r>
    </w:p>
    <w:p w14:paraId="6837FCF9" w14:textId="77777777" w:rsidR="00DB39F6" w:rsidRDefault="00DB39F6" w:rsidP="00A810DD"/>
    <w:p w14:paraId="46F0D7A4" w14:textId="733540EE" w:rsidR="00DB39F6" w:rsidRDefault="00DB39F6" w:rsidP="00A810DD">
      <w:r>
        <w:t>It is presently unclear how the transition to the National Di</w:t>
      </w:r>
      <w:r w:rsidR="00C1434D">
        <w:t>sability Insurance Scheme</w:t>
      </w:r>
      <w:r>
        <w:t xml:space="preserve"> will impact the provision of school transport for students with disability. </w:t>
      </w:r>
      <w:r w:rsidR="00F2773F">
        <w:t>Recent media reports have suggested that the National Disability Insurance Agency in Victoria and Tasmania is developing a trial of alternative</w:t>
      </w:r>
      <w:r w:rsidR="00656536">
        <w:t xml:space="preserve"> transport</w:t>
      </w:r>
      <w:r w:rsidR="00F2773F">
        <w:t xml:space="preserve"> options, including taxis, car-share providers and other transport for students with NDIS funding packages.</w:t>
      </w:r>
      <w:r w:rsidR="00F2773F">
        <w:rPr>
          <w:rStyle w:val="FootnoteReference"/>
        </w:rPr>
        <w:footnoteReference w:id="9"/>
      </w:r>
      <w:r w:rsidR="00F2773F">
        <w:t xml:space="preserve"> CYDA has significant concerns regarding the reported proposal, particularly around the need to ensure appropriate safeguards and supervision. </w:t>
      </w:r>
    </w:p>
    <w:p w14:paraId="208D79BC" w14:textId="77777777" w:rsidR="00045913" w:rsidRDefault="00045913" w:rsidP="00A810DD"/>
    <w:p w14:paraId="6E83DBE3" w14:textId="77777777" w:rsidR="00C13F84" w:rsidRDefault="00995697" w:rsidP="00127A77">
      <w:r>
        <w:rPr>
          <w:b/>
        </w:rPr>
        <w:t>Recommendation</w:t>
      </w:r>
      <w:r w:rsidR="0081716E">
        <w:rPr>
          <w:b/>
        </w:rPr>
        <w:t xml:space="preserve"> 3</w:t>
      </w:r>
      <w:r>
        <w:rPr>
          <w:b/>
        </w:rPr>
        <w:t xml:space="preserve">: </w:t>
      </w:r>
      <w:r>
        <w:t xml:space="preserve">Ensure that a National Preventive Mechanism developed through Australia’s ratification of the </w:t>
      </w:r>
      <w:r w:rsidRPr="004D6B93">
        <w:rPr>
          <w:i/>
        </w:rPr>
        <w:t>Optional Protocol for the Convention Against Torture</w:t>
      </w:r>
      <w:r>
        <w:rPr>
          <w:i/>
        </w:rPr>
        <w:t xml:space="preserve"> </w:t>
      </w:r>
      <w:r>
        <w:t>is able to inspect, report on and make policy recommendations about school transport for students with disability.</w:t>
      </w:r>
    </w:p>
    <w:p w14:paraId="53979551" w14:textId="77777777" w:rsidR="00686BDA" w:rsidRDefault="00686BDA" w:rsidP="00127A77">
      <w:pPr>
        <w:rPr>
          <w:b/>
        </w:rPr>
      </w:pPr>
    </w:p>
    <w:p w14:paraId="79481605" w14:textId="77777777" w:rsidR="0055083A" w:rsidRDefault="0055083A" w:rsidP="00127A77">
      <w:pPr>
        <w:rPr>
          <w:b/>
        </w:rPr>
      </w:pPr>
      <w:r>
        <w:rPr>
          <w:b/>
        </w:rPr>
        <w:t>Immigration Detention</w:t>
      </w:r>
    </w:p>
    <w:p w14:paraId="5D81B699" w14:textId="5D08DC5A" w:rsidR="00F2773F" w:rsidRDefault="00ED1BE1" w:rsidP="00127A77">
      <w:r>
        <w:t xml:space="preserve">CYDA also supports the inclusion of immigration detention within the scope of an NPM. The Department of Immigration and Border Protection reported that in March 2016, there were 15 children in immigration </w:t>
      </w:r>
      <w:r>
        <w:lastRenderedPageBreak/>
        <w:t>detention and 317</w:t>
      </w:r>
      <w:r w:rsidR="00F3355C">
        <w:t xml:space="preserve"> children in community detention</w:t>
      </w:r>
      <w:r>
        <w:t>.</w:t>
      </w:r>
      <w:r>
        <w:rPr>
          <w:rStyle w:val="FootnoteReference"/>
        </w:rPr>
        <w:footnoteReference w:id="10"/>
      </w:r>
      <w:r>
        <w:t xml:space="preserve"> </w:t>
      </w:r>
      <w:r w:rsidR="00F3355C">
        <w:t xml:space="preserve">There is presently no data regarding the number of children with identified disability in this cohort. </w:t>
      </w:r>
      <w:r w:rsidR="00FC5EBE">
        <w:rPr>
          <w:szCs w:val="24"/>
        </w:rPr>
        <w:t xml:space="preserve">It was previously reported that in </w:t>
      </w:r>
      <w:r w:rsidR="00FC5EBE">
        <w:rPr>
          <w:szCs w:val="24"/>
        </w:rPr>
        <w:t>September 2014 there were 54 minors with identified disability in immigration detention</w:t>
      </w:r>
      <w:r w:rsidR="00FC5EBE">
        <w:rPr>
          <w:szCs w:val="24"/>
        </w:rPr>
        <w:t xml:space="preserve">, however there </w:t>
      </w:r>
      <w:r w:rsidR="00FC5EBE">
        <w:rPr>
          <w:szCs w:val="24"/>
        </w:rPr>
        <w:t>is a lack of clarity regarding how disability is defined an</w:t>
      </w:r>
      <w:r w:rsidR="00FC5EBE">
        <w:rPr>
          <w:szCs w:val="24"/>
        </w:rPr>
        <w:t>d identified</w:t>
      </w:r>
      <w:r w:rsidR="00FC5EBE">
        <w:rPr>
          <w:szCs w:val="24"/>
        </w:rPr>
        <w:t>.</w:t>
      </w:r>
      <w:r w:rsidR="00FC5EBE">
        <w:rPr>
          <w:rStyle w:val="FootnoteReference"/>
          <w:szCs w:val="24"/>
        </w:rPr>
        <w:footnoteReference w:id="11"/>
      </w:r>
      <w:r w:rsidR="00FC5EBE">
        <w:rPr>
          <w:szCs w:val="24"/>
        </w:rPr>
        <w:t xml:space="preserve"> </w:t>
      </w:r>
      <w:r w:rsidR="00C27CB8">
        <w:t>G</w:t>
      </w:r>
      <w:r w:rsidR="00F3355C">
        <w:t xml:space="preserve">iven prevailing concerns regarding the </w:t>
      </w:r>
      <w:r w:rsidR="00C27CB8">
        <w:t>impact of detention on children, particularly regarding prevalence of abuse and mental health impacts</w:t>
      </w:r>
      <w:r w:rsidR="00C1434D">
        <w:t>,</w:t>
      </w:r>
      <w:r w:rsidR="00F3355C">
        <w:rPr>
          <w:rStyle w:val="FootnoteReference"/>
        </w:rPr>
        <w:footnoteReference w:id="12"/>
      </w:r>
      <w:r w:rsidR="00C27CB8">
        <w:t xml:space="preserve"> it is important that immigration detention, including in offshore settings, are included within the scope of the NPM.</w:t>
      </w:r>
    </w:p>
    <w:p w14:paraId="5447044A" w14:textId="77777777" w:rsidR="00C27CB8" w:rsidRDefault="00C27CB8" w:rsidP="00127A77"/>
    <w:p w14:paraId="437C7CA0" w14:textId="77777777" w:rsidR="00686BDA" w:rsidRDefault="00C27CB8" w:rsidP="00686BDA">
      <w:r w:rsidRPr="0007324A">
        <w:rPr>
          <w:b/>
        </w:rPr>
        <w:t>Rec</w:t>
      </w:r>
      <w:r w:rsidR="00686BDA" w:rsidRPr="0007324A">
        <w:rPr>
          <w:b/>
        </w:rPr>
        <w:t>ommendation</w:t>
      </w:r>
      <w:r w:rsidR="0081716E">
        <w:rPr>
          <w:b/>
        </w:rPr>
        <w:t xml:space="preserve"> 4</w:t>
      </w:r>
      <w:r w:rsidRPr="0007324A">
        <w:rPr>
          <w:b/>
        </w:rPr>
        <w:t>:</w:t>
      </w:r>
      <w:r w:rsidR="00686BDA">
        <w:t xml:space="preserve"> Ensure that a National Preventive Mechanism developed through Australia’s ratification of the </w:t>
      </w:r>
      <w:r w:rsidR="00686BDA" w:rsidRPr="004D6B93">
        <w:rPr>
          <w:i/>
        </w:rPr>
        <w:t>Optional Protocol for the Convention Against Torture</w:t>
      </w:r>
      <w:r w:rsidR="00686BDA">
        <w:rPr>
          <w:i/>
        </w:rPr>
        <w:t xml:space="preserve"> </w:t>
      </w:r>
      <w:r w:rsidR="00686BDA">
        <w:t>is able to inspect, report on and make policy recommendations about immigration detention settings.</w:t>
      </w:r>
    </w:p>
    <w:p w14:paraId="19C5D5A0" w14:textId="77777777" w:rsidR="00F2773F" w:rsidRPr="00F3355C" w:rsidRDefault="00F2773F" w:rsidP="00127A77"/>
    <w:p w14:paraId="55A12A40" w14:textId="77777777" w:rsidR="0055083A" w:rsidRDefault="0055083A" w:rsidP="00127A77">
      <w:pPr>
        <w:rPr>
          <w:b/>
        </w:rPr>
      </w:pPr>
      <w:r>
        <w:rPr>
          <w:b/>
        </w:rPr>
        <w:t>Features of a National Preventive Mechanism</w:t>
      </w:r>
    </w:p>
    <w:p w14:paraId="22DEABE6" w14:textId="77777777" w:rsidR="000D6499" w:rsidRDefault="00202016" w:rsidP="00127A77">
      <w:r>
        <w:t>CYDA understands that the NPM requirement for states that have ratified the OPCAT can be fulfilled using existing organisations and institutions that undertake a similar role. Consideration</w:t>
      </w:r>
      <w:r w:rsidR="00286D8E">
        <w:t xml:space="preserve"> should</w:t>
      </w:r>
      <w:r>
        <w:t xml:space="preserve"> therefore be given to how existing organisations can be adequately resourced and where required, expanded, to fulfil the role of an NPM. Further, the gaps in existing oversight will need to be identified and addressed. For example, as previously stated, there is currently no oversight regarding </w:t>
      </w:r>
      <w:r w:rsidR="00686BDA">
        <w:t xml:space="preserve">restraint and </w:t>
      </w:r>
      <w:r>
        <w:t>seclusion of students with disability in schools.</w:t>
      </w:r>
    </w:p>
    <w:p w14:paraId="53755771" w14:textId="77777777" w:rsidR="001424E5" w:rsidRDefault="001424E5" w:rsidP="00127A77"/>
    <w:p w14:paraId="57A86F6D" w14:textId="77777777" w:rsidR="00656536" w:rsidRDefault="001424E5" w:rsidP="00127A77">
      <w:r w:rsidRPr="0007324A">
        <w:rPr>
          <w:b/>
        </w:rPr>
        <w:t>Rec</w:t>
      </w:r>
      <w:r w:rsidR="00686BDA" w:rsidRPr="0007324A">
        <w:rPr>
          <w:b/>
        </w:rPr>
        <w:t>ommendation</w:t>
      </w:r>
      <w:r w:rsidR="0081716E">
        <w:rPr>
          <w:b/>
        </w:rPr>
        <w:t xml:space="preserve"> 5</w:t>
      </w:r>
      <w:r w:rsidRPr="0007324A">
        <w:rPr>
          <w:b/>
        </w:rPr>
        <w:t>:</w:t>
      </w:r>
      <w:r>
        <w:t xml:space="preserve"> Undertake a review of existing oversight bodies at the national, state and territory level to establish which functions of the National Preventive Mechanism are currently being fulfilled within Australia to inform a gap analysis.</w:t>
      </w:r>
    </w:p>
    <w:p w14:paraId="73C79F95" w14:textId="77777777" w:rsidR="007A5EFC" w:rsidRDefault="007A5EFC" w:rsidP="007A5EFC"/>
    <w:p w14:paraId="4C42020D" w14:textId="77777777" w:rsidR="0055083A" w:rsidRDefault="0055083A" w:rsidP="00A43E76">
      <w:pPr>
        <w:rPr>
          <w:b/>
          <w:sz w:val="24"/>
        </w:rPr>
      </w:pPr>
      <w:r>
        <w:rPr>
          <w:b/>
          <w:sz w:val="24"/>
        </w:rPr>
        <w:t>YOUTH JUSTICE DETENTION CENTRES</w:t>
      </w:r>
    </w:p>
    <w:p w14:paraId="1B558E5B" w14:textId="77777777" w:rsidR="00A34FEE" w:rsidRDefault="00A34FEE" w:rsidP="00A34FEE"/>
    <w:p w14:paraId="3C430689" w14:textId="77777777" w:rsidR="00E432CA" w:rsidRDefault="00A34FEE" w:rsidP="00E432CA">
      <w:r w:rsidRPr="005D3E36">
        <w:t xml:space="preserve">At present there is no national data on the number of children with disability who have contact with the criminal justice system. Further, there </w:t>
      </w:r>
      <w:r w:rsidRPr="005D3E36">
        <w:lastRenderedPageBreak/>
        <w:t xml:space="preserve">is a wide disparity in results among smaller scale research on prevalence of children with disability in </w:t>
      </w:r>
      <w:r w:rsidR="00081787">
        <w:t>youth justice</w:t>
      </w:r>
      <w:r w:rsidR="00081787" w:rsidRPr="005D3E36">
        <w:t xml:space="preserve"> </w:t>
      </w:r>
      <w:r w:rsidRPr="005D3E36">
        <w:t>detention.</w:t>
      </w:r>
      <w:r w:rsidRPr="005D3E36">
        <w:rPr>
          <w:vertAlign w:val="superscript"/>
        </w:rPr>
        <w:footnoteReference w:id="13"/>
      </w:r>
      <w:r w:rsidRPr="005D3E36">
        <w:t xml:space="preserve"> </w:t>
      </w:r>
      <w:r w:rsidR="00E432CA" w:rsidRPr="005D3E36">
        <w:t>Research suggests that children and young people with cognitive disability are overrepresented in the criminal justice system.</w:t>
      </w:r>
      <w:r w:rsidR="00E432CA" w:rsidRPr="005D3E36">
        <w:rPr>
          <w:vertAlign w:val="superscript"/>
        </w:rPr>
        <w:footnoteReference w:id="14"/>
      </w:r>
      <w:r w:rsidR="00E432CA" w:rsidRPr="005D3E36">
        <w:t xml:space="preserve"> </w:t>
      </w:r>
    </w:p>
    <w:p w14:paraId="725E8890" w14:textId="77777777" w:rsidR="00E432CA" w:rsidRDefault="00E432CA" w:rsidP="00A34FEE"/>
    <w:p w14:paraId="2FA9F180" w14:textId="77777777" w:rsidR="00A34FEE" w:rsidRDefault="00E432CA" w:rsidP="00A34FEE">
      <w:r>
        <w:t xml:space="preserve">Further, any estimates of the proportion of children with disability in </w:t>
      </w:r>
      <w:r w:rsidR="00081787">
        <w:t xml:space="preserve">youth </w:t>
      </w:r>
      <w:r>
        <w:t xml:space="preserve">justice detention may be an underrepresentation. </w:t>
      </w:r>
      <w:r w:rsidRPr="00212EDC">
        <w:t>C</w:t>
      </w:r>
      <w:r>
        <w:t>Y</w:t>
      </w:r>
      <w:r w:rsidRPr="00212EDC">
        <w:t>DA is aware that many ch</w:t>
      </w:r>
      <w:r>
        <w:t>ildren with disability are</w:t>
      </w:r>
      <w:r w:rsidRPr="00212EDC">
        <w:t xml:space="preserve"> not recognised </w:t>
      </w:r>
      <w:r w:rsidR="00E31D69">
        <w:t>due to not having</w:t>
      </w:r>
      <w:r w:rsidRPr="00212EDC">
        <w:t xml:space="preserve"> a formal diagnosis</w:t>
      </w:r>
      <w:r w:rsidR="00E31D69">
        <w:t xml:space="preserve"> or </w:t>
      </w:r>
      <w:r>
        <w:t>not personally identify</w:t>
      </w:r>
      <w:r w:rsidR="00E31D69">
        <w:t>ing</w:t>
      </w:r>
      <w:r>
        <w:t xml:space="preserve"> as having a disability</w:t>
      </w:r>
      <w:r w:rsidRPr="00212EDC">
        <w:t xml:space="preserve">. Moreover, at times the knowledge and expertise is not available </w:t>
      </w:r>
      <w:r w:rsidR="00E31D69">
        <w:t>to identify if a child has</w:t>
      </w:r>
      <w:r w:rsidRPr="00212EDC">
        <w:t xml:space="preserve"> disability.</w:t>
      </w:r>
    </w:p>
    <w:p w14:paraId="25A298A3" w14:textId="77777777" w:rsidR="00627AF8" w:rsidRDefault="00627AF8" w:rsidP="00A34FEE"/>
    <w:p w14:paraId="69C67696" w14:textId="16F3949F" w:rsidR="00627AF8" w:rsidRDefault="00627AF8" w:rsidP="00A34FEE">
      <w:r>
        <w:t xml:space="preserve">Further, children who have had contact with the child protection </w:t>
      </w:r>
      <w:r w:rsidR="00656536">
        <w:t>system, including</w:t>
      </w:r>
      <w:r>
        <w:t xml:space="preserve"> children in out of home care (OOHC) are also disproportionately represented in </w:t>
      </w:r>
      <w:r w:rsidR="00081787">
        <w:t xml:space="preserve">youth justice </w:t>
      </w:r>
      <w:r>
        <w:t>detention.</w:t>
      </w:r>
      <w:r>
        <w:rPr>
          <w:rStyle w:val="FootnoteReference"/>
        </w:rPr>
        <w:footnoteReference w:id="15"/>
      </w:r>
      <w:r>
        <w:t xml:space="preserve"> C</w:t>
      </w:r>
      <w:r w:rsidRPr="00212EDC">
        <w:t xml:space="preserve">hildren with disability are </w:t>
      </w:r>
      <w:r>
        <w:t>believed</w:t>
      </w:r>
      <w:r w:rsidRPr="00212EDC">
        <w:t xml:space="preserve"> to be over</w:t>
      </w:r>
      <w:r>
        <w:t>represented in statutory OOHC despite there being</w:t>
      </w:r>
      <w:r w:rsidRPr="00212EDC">
        <w:t xml:space="preserve"> no</w:t>
      </w:r>
      <w:r>
        <w:t xml:space="preserve"> reliable</w:t>
      </w:r>
      <w:r w:rsidRPr="00212EDC">
        <w:t xml:space="preserve"> national data</w:t>
      </w:r>
      <w:r>
        <w:t>.</w:t>
      </w:r>
      <w:r w:rsidRPr="00212EDC">
        <w:t xml:space="preserve"> </w:t>
      </w:r>
      <w:r>
        <w:t>Limited a</w:t>
      </w:r>
      <w:r w:rsidRPr="00212EDC">
        <w:t>vailable research reflect</w:t>
      </w:r>
      <w:r>
        <w:t>s</w:t>
      </w:r>
      <w:r w:rsidRPr="00212EDC">
        <w:t xml:space="preserve"> this high representation. </w:t>
      </w:r>
      <w:r>
        <w:t>R</w:t>
      </w:r>
      <w:r w:rsidRPr="00212EDC">
        <w:t>esearch undertaken by the Victorian Equal Opportunity and Human Rights Commission, CREATE Foundation and OzChild indicate</w:t>
      </w:r>
      <w:r>
        <w:t>d</w:t>
      </w:r>
      <w:r w:rsidRPr="00212EDC">
        <w:t xml:space="preserve"> that the prevalence of disability within the </w:t>
      </w:r>
      <w:r>
        <w:t xml:space="preserve">OOHC </w:t>
      </w:r>
      <w:r w:rsidRPr="00212EDC">
        <w:t>population</w:t>
      </w:r>
      <w:r>
        <w:t>s surveyed was 14 per cent, 22.5 per cent and 42 per cent</w:t>
      </w:r>
      <w:r w:rsidRPr="00212EDC">
        <w:t xml:space="preserve"> respectively.</w:t>
      </w:r>
      <w:r w:rsidRPr="00212EDC">
        <w:rPr>
          <w:vertAlign w:val="superscript"/>
        </w:rPr>
        <w:footnoteReference w:id="16"/>
      </w:r>
      <w:r w:rsidRPr="00212EDC">
        <w:t xml:space="preserve"> Even when consid</w:t>
      </w:r>
      <w:r>
        <w:t>ering the lowest estimate of 14 per cent</w:t>
      </w:r>
      <w:r w:rsidRPr="00212EDC">
        <w:t xml:space="preserve">, this is almost double the prevalence rate of children </w:t>
      </w:r>
      <w:r>
        <w:t xml:space="preserve">and young people </w:t>
      </w:r>
      <w:r w:rsidRPr="00212EDC">
        <w:t xml:space="preserve">with disability </w:t>
      </w:r>
      <w:r>
        <w:t xml:space="preserve">aged 0 to 24 </w:t>
      </w:r>
      <w:r w:rsidRPr="00212EDC">
        <w:t>in</w:t>
      </w:r>
      <w:r w:rsidR="008D7334">
        <w:t xml:space="preserve"> the Australian population (7.7</w:t>
      </w:r>
      <w:r>
        <w:t xml:space="preserve"> per cent</w:t>
      </w:r>
      <w:r w:rsidRPr="00212EDC">
        <w:t>).</w:t>
      </w:r>
      <w:r w:rsidRPr="00212EDC">
        <w:rPr>
          <w:vertAlign w:val="superscript"/>
        </w:rPr>
        <w:footnoteReference w:id="17"/>
      </w:r>
      <w:r>
        <w:t xml:space="preserve"> </w:t>
      </w:r>
      <w:r w:rsidRPr="005D3E36">
        <w:lastRenderedPageBreak/>
        <w:t>Again, the issue of unrecognised disability may be a critical barrier to accurate data.</w:t>
      </w:r>
      <w:r>
        <w:t xml:space="preserve"> </w:t>
      </w:r>
    </w:p>
    <w:p w14:paraId="7DC03C5E" w14:textId="77777777" w:rsidR="00627AF8" w:rsidRDefault="00627AF8" w:rsidP="00A34FEE"/>
    <w:p w14:paraId="52D8E738" w14:textId="77777777" w:rsidR="00611427" w:rsidRDefault="00627AF8" w:rsidP="00A43E76">
      <w:r>
        <w:t>It is therefore important to consider the needs of children with disability in</w:t>
      </w:r>
      <w:r w:rsidR="00081787">
        <w:t xml:space="preserve"> youth justice</w:t>
      </w:r>
      <w:r>
        <w:t xml:space="preserve"> detention when developing considerations and recommendations regarding ratification of </w:t>
      </w:r>
      <w:r w:rsidR="00E31D69">
        <w:t>the OPCAT and designing an NPM.</w:t>
      </w:r>
    </w:p>
    <w:p w14:paraId="662B3FF5" w14:textId="77777777" w:rsidR="00E31D69" w:rsidRDefault="00E31D69" w:rsidP="00A43E76"/>
    <w:p w14:paraId="24419A6F" w14:textId="77777777" w:rsidR="001055E0" w:rsidRDefault="00E31D69" w:rsidP="00A43E76">
      <w:r>
        <w:rPr>
          <w:b/>
        </w:rPr>
        <w:t>Recommendation</w:t>
      </w:r>
      <w:r w:rsidR="0081716E">
        <w:rPr>
          <w:b/>
        </w:rPr>
        <w:t xml:space="preserve"> 6</w:t>
      </w:r>
      <w:r>
        <w:rPr>
          <w:b/>
        </w:rPr>
        <w:t xml:space="preserve">: </w:t>
      </w:r>
      <w:r>
        <w:t xml:space="preserve">States and territories </w:t>
      </w:r>
      <w:r w:rsidR="001055E0">
        <w:t xml:space="preserve">collaborate to </w:t>
      </w:r>
      <w:r w:rsidR="00812CCC">
        <w:t xml:space="preserve">more accurately identify and </w:t>
      </w:r>
      <w:r w:rsidR="001055E0">
        <w:t>establish mechanisms to</w:t>
      </w:r>
      <w:r>
        <w:t xml:space="preserve"> collect data regarding </w:t>
      </w:r>
      <w:r w:rsidR="00812CCC">
        <w:t xml:space="preserve">children with disability </w:t>
      </w:r>
      <w:r>
        <w:t>who come into contact with the criminal justice system, including those in youth justice detention.</w:t>
      </w:r>
    </w:p>
    <w:p w14:paraId="03CE548B" w14:textId="77777777" w:rsidR="00E31D69" w:rsidRDefault="00E31D69" w:rsidP="00A43E76">
      <w:pPr>
        <w:rPr>
          <w:rFonts w:ascii="Calibri" w:hAnsi="Calibri"/>
          <w:b/>
          <w:sz w:val="24"/>
        </w:rPr>
      </w:pPr>
    </w:p>
    <w:p w14:paraId="1D8DFF29" w14:textId="77777777" w:rsidR="00611427" w:rsidRPr="00611427" w:rsidRDefault="00611427" w:rsidP="00A43E76">
      <w:pPr>
        <w:rPr>
          <w:rFonts w:ascii="Calibri" w:hAnsi="Calibri"/>
          <w:b/>
          <w:sz w:val="24"/>
        </w:rPr>
      </w:pPr>
      <w:r>
        <w:rPr>
          <w:rFonts w:ascii="Calibri" w:hAnsi="Calibri"/>
          <w:b/>
          <w:sz w:val="24"/>
        </w:rPr>
        <w:t>SPECIFIC RESPONSES TO QUESTIONS POSED BY THE NATIONAL CHILDREN’S COMMISSIONER</w:t>
      </w:r>
    </w:p>
    <w:p w14:paraId="6B82973E" w14:textId="77777777" w:rsidR="00A43E76" w:rsidRPr="00BA65A3" w:rsidRDefault="00A43E76" w:rsidP="00A43E76">
      <w:pPr>
        <w:rPr>
          <w:rFonts w:ascii="Calibri" w:hAnsi="Calibri"/>
          <w:b/>
        </w:rPr>
      </w:pPr>
    </w:p>
    <w:p w14:paraId="0BF10D14" w14:textId="77777777" w:rsidR="00A43E76" w:rsidRDefault="00A43E76" w:rsidP="00A43E76">
      <w:pPr>
        <w:rPr>
          <w:rFonts w:ascii="Calibri" w:hAnsi="Calibri"/>
          <w:b/>
        </w:rPr>
      </w:pPr>
      <w:r w:rsidRPr="00BA65A3">
        <w:rPr>
          <w:rFonts w:ascii="Calibri" w:hAnsi="Calibri"/>
          <w:b/>
        </w:rPr>
        <w:t>How well do children and young people in correctional detention (youth justice centres and adult facilities) understand their human rights, including those under the Convention on the Rights of the Child? What could be done to better promote the human rights of children in these facilities?</w:t>
      </w:r>
    </w:p>
    <w:p w14:paraId="6724094D" w14:textId="00379449" w:rsidR="000B13B7" w:rsidRDefault="000B13B7" w:rsidP="00A43E76">
      <w:pPr>
        <w:rPr>
          <w:rFonts w:ascii="Calibri" w:hAnsi="Calibri"/>
        </w:rPr>
      </w:pPr>
      <w:r>
        <w:rPr>
          <w:rFonts w:ascii="Calibri" w:hAnsi="Calibri"/>
        </w:rPr>
        <w:t>B</w:t>
      </w:r>
      <w:r w:rsidR="003117B1">
        <w:rPr>
          <w:rFonts w:ascii="Calibri" w:hAnsi="Calibri"/>
        </w:rPr>
        <w:t xml:space="preserve">eing detained by definition involves a denial of rights. </w:t>
      </w:r>
      <w:r w:rsidR="008C75C1">
        <w:rPr>
          <w:rFonts w:ascii="Calibri" w:hAnsi="Calibri"/>
        </w:rPr>
        <w:t>This is particularly the case for children, who overwhelmingly come from disadvantaged backgrounds, with many children in youth justice detention having previously experienced interaction with the child protection system and homelessness.</w:t>
      </w:r>
      <w:r w:rsidR="008C75C1">
        <w:rPr>
          <w:rStyle w:val="FootnoteReference"/>
          <w:rFonts w:ascii="Calibri" w:hAnsi="Calibri"/>
        </w:rPr>
        <w:footnoteReference w:id="18"/>
      </w:r>
      <w:r w:rsidR="008C75C1">
        <w:rPr>
          <w:rFonts w:ascii="Calibri" w:hAnsi="Calibri"/>
        </w:rPr>
        <w:t xml:space="preserve"> </w:t>
      </w:r>
    </w:p>
    <w:p w14:paraId="6C85C98E" w14:textId="77777777" w:rsidR="000B13B7" w:rsidRDefault="000B13B7" w:rsidP="00A43E76">
      <w:pPr>
        <w:rPr>
          <w:rFonts w:ascii="Calibri" w:hAnsi="Calibri"/>
        </w:rPr>
      </w:pPr>
    </w:p>
    <w:p w14:paraId="63922CB8" w14:textId="77777777" w:rsidR="00CA465B" w:rsidRDefault="008C75C1" w:rsidP="00A43E76">
      <w:pPr>
        <w:rPr>
          <w:rFonts w:ascii="Calibri" w:hAnsi="Calibri"/>
        </w:rPr>
      </w:pPr>
      <w:r>
        <w:rPr>
          <w:rFonts w:ascii="Calibri" w:hAnsi="Calibri"/>
        </w:rPr>
        <w:t xml:space="preserve">As a society we recognise the inherent vulnerabilities of children and aim to afford </w:t>
      </w:r>
      <w:r w:rsidR="00147B99">
        <w:rPr>
          <w:rFonts w:ascii="Calibri" w:hAnsi="Calibri"/>
        </w:rPr>
        <w:t xml:space="preserve">appropriate </w:t>
      </w:r>
      <w:r>
        <w:rPr>
          <w:rFonts w:ascii="Calibri" w:hAnsi="Calibri"/>
        </w:rPr>
        <w:t xml:space="preserve">protections. </w:t>
      </w:r>
      <w:r w:rsidR="00147B99">
        <w:rPr>
          <w:rFonts w:ascii="Calibri" w:hAnsi="Calibri"/>
        </w:rPr>
        <w:t xml:space="preserve">However, </w:t>
      </w:r>
      <w:r>
        <w:rPr>
          <w:rFonts w:ascii="Calibri" w:hAnsi="Calibri"/>
        </w:rPr>
        <w:t>many areas of disadvantage that contribute to offending behaviour of children are not addressed</w:t>
      </w:r>
      <w:r w:rsidR="00147B99">
        <w:rPr>
          <w:rFonts w:ascii="Calibri" w:hAnsi="Calibri"/>
        </w:rPr>
        <w:t xml:space="preserve">. </w:t>
      </w:r>
      <w:r>
        <w:rPr>
          <w:rFonts w:ascii="Calibri" w:hAnsi="Calibri"/>
        </w:rPr>
        <w:t>This was most recently reflected in a report regarding Australia’s progress in</w:t>
      </w:r>
      <w:r w:rsidR="00147B99">
        <w:rPr>
          <w:rFonts w:ascii="Calibri" w:hAnsi="Calibri"/>
        </w:rPr>
        <w:t xml:space="preserve"> meeting its obligations under</w:t>
      </w:r>
      <w:r>
        <w:rPr>
          <w:rFonts w:ascii="Calibri" w:hAnsi="Calibri"/>
        </w:rPr>
        <w:t xml:space="preserve"> the </w:t>
      </w:r>
      <w:r>
        <w:rPr>
          <w:rFonts w:ascii="Calibri" w:hAnsi="Calibri"/>
          <w:i/>
        </w:rPr>
        <w:t xml:space="preserve">Convention on the Rights of the Child, </w:t>
      </w:r>
      <w:r>
        <w:rPr>
          <w:rFonts w:ascii="Calibri" w:hAnsi="Calibri"/>
        </w:rPr>
        <w:t>which stated</w:t>
      </w:r>
      <w:r w:rsidR="000B13B7">
        <w:rPr>
          <w:rFonts w:ascii="Calibri" w:hAnsi="Calibri"/>
        </w:rPr>
        <w:t>:</w:t>
      </w:r>
    </w:p>
    <w:p w14:paraId="79CA6A7A" w14:textId="77777777" w:rsidR="008C75C1" w:rsidRDefault="008C75C1" w:rsidP="00A43E76">
      <w:pPr>
        <w:rPr>
          <w:rFonts w:ascii="Calibri" w:hAnsi="Calibri"/>
        </w:rPr>
      </w:pPr>
    </w:p>
    <w:p w14:paraId="6563D024" w14:textId="77777777" w:rsidR="008C75C1" w:rsidRPr="000B13B7" w:rsidRDefault="008C75C1" w:rsidP="006A26B8">
      <w:pPr>
        <w:ind w:left="720"/>
        <w:rPr>
          <w:rFonts w:ascii="Calibri" w:hAnsi="Calibri"/>
        </w:rPr>
      </w:pPr>
      <w:r w:rsidRPr="006A26B8">
        <w:rPr>
          <w:rFonts w:ascii="Calibri" w:hAnsi="Calibri"/>
          <w:i/>
        </w:rPr>
        <w:t xml:space="preserve">It is now widely understood that various forms of social and economic disadvantage can increase the likelihood of young </w:t>
      </w:r>
      <w:r w:rsidRPr="006A26B8">
        <w:rPr>
          <w:rFonts w:ascii="Calibri" w:hAnsi="Calibri"/>
          <w:i/>
        </w:rPr>
        <w:lastRenderedPageBreak/>
        <w:t>people coming into conflict with the law…The criminal justice system is an inappropriate vehicle for addressing these social and economic issues faced by vulnerable and at risk young people.</w:t>
      </w:r>
      <w:r w:rsidR="000B13B7">
        <w:rPr>
          <w:rStyle w:val="FootnoteReference"/>
          <w:rFonts w:ascii="Calibri" w:hAnsi="Calibri"/>
          <w:i/>
        </w:rPr>
        <w:footnoteReference w:id="19"/>
      </w:r>
    </w:p>
    <w:p w14:paraId="4134DECD" w14:textId="77777777" w:rsidR="00CA465B" w:rsidRDefault="00CA465B" w:rsidP="00A43E76">
      <w:pPr>
        <w:rPr>
          <w:rFonts w:ascii="Calibri" w:hAnsi="Calibri"/>
        </w:rPr>
      </w:pPr>
    </w:p>
    <w:p w14:paraId="245443A1" w14:textId="054E5D46" w:rsidR="003117B1" w:rsidRDefault="000B13B7" w:rsidP="00A43E76">
      <w:pPr>
        <w:rPr>
          <w:rFonts w:ascii="Calibri" w:hAnsi="Calibri"/>
        </w:rPr>
      </w:pPr>
      <w:r>
        <w:rPr>
          <w:rFonts w:ascii="Calibri" w:hAnsi="Calibri"/>
        </w:rPr>
        <w:t xml:space="preserve">Given the considerable disadvantage typically confronting all children, including children with disability, in correctional detention, there is a risk that many are not aware of their rights and entitlements. </w:t>
      </w:r>
      <w:r w:rsidR="003117B1">
        <w:rPr>
          <w:rFonts w:ascii="Calibri" w:hAnsi="Calibri"/>
        </w:rPr>
        <w:t>It is important that all children in youth justice detention centres receive accessible information about rights, in both verbal and written formats, including easy read information.</w:t>
      </w:r>
      <w:r w:rsidR="00CA465B">
        <w:rPr>
          <w:rFonts w:ascii="Calibri" w:hAnsi="Calibri"/>
        </w:rPr>
        <w:t xml:space="preserve"> This particularly critical to ensure </w:t>
      </w:r>
      <w:r>
        <w:rPr>
          <w:rFonts w:ascii="Calibri" w:hAnsi="Calibri"/>
        </w:rPr>
        <w:t>access for</w:t>
      </w:r>
      <w:r w:rsidR="00CA465B">
        <w:rPr>
          <w:rFonts w:ascii="Calibri" w:hAnsi="Calibri"/>
        </w:rPr>
        <w:t xml:space="preserve"> children </w:t>
      </w:r>
      <w:r>
        <w:rPr>
          <w:rFonts w:ascii="Calibri" w:hAnsi="Calibri"/>
        </w:rPr>
        <w:t>and young people</w:t>
      </w:r>
      <w:r w:rsidR="007F5EF7">
        <w:rPr>
          <w:rFonts w:ascii="Calibri" w:hAnsi="Calibri"/>
        </w:rPr>
        <w:t xml:space="preserve"> with disability</w:t>
      </w:r>
      <w:r>
        <w:rPr>
          <w:rFonts w:ascii="Calibri" w:hAnsi="Calibri"/>
        </w:rPr>
        <w:t xml:space="preserve"> </w:t>
      </w:r>
      <w:r w:rsidR="00CA465B">
        <w:rPr>
          <w:rFonts w:ascii="Calibri" w:hAnsi="Calibri"/>
        </w:rPr>
        <w:t xml:space="preserve">with </w:t>
      </w:r>
      <w:r>
        <w:rPr>
          <w:rFonts w:ascii="Calibri" w:hAnsi="Calibri"/>
        </w:rPr>
        <w:t>a diverse range of support needs</w:t>
      </w:r>
      <w:r w:rsidR="00CA465B">
        <w:rPr>
          <w:rFonts w:ascii="Calibri" w:hAnsi="Calibri"/>
        </w:rPr>
        <w:t xml:space="preserve">. </w:t>
      </w:r>
      <w:r w:rsidR="003117B1">
        <w:rPr>
          <w:rFonts w:ascii="Calibri" w:hAnsi="Calibri"/>
        </w:rPr>
        <w:t>CYDA understands that information about rights is provided in certain jurisdictions. It is</w:t>
      </w:r>
      <w:r w:rsidR="00403D7B">
        <w:rPr>
          <w:rFonts w:ascii="Calibri" w:hAnsi="Calibri"/>
        </w:rPr>
        <w:t xml:space="preserve"> also</w:t>
      </w:r>
      <w:r w:rsidR="003117B1">
        <w:rPr>
          <w:rFonts w:ascii="Calibri" w:hAnsi="Calibri"/>
        </w:rPr>
        <w:t xml:space="preserve"> important that</w:t>
      </w:r>
      <w:r w:rsidR="00403D7B">
        <w:rPr>
          <w:rFonts w:ascii="Calibri" w:hAnsi="Calibri"/>
        </w:rPr>
        <w:t xml:space="preserve"> there is</w:t>
      </w:r>
      <w:r w:rsidR="003117B1">
        <w:rPr>
          <w:rFonts w:ascii="Calibri" w:hAnsi="Calibri"/>
        </w:rPr>
        <w:t xml:space="preserve"> ongoing review of </w:t>
      </w:r>
      <w:r w:rsidR="00403D7B">
        <w:rPr>
          <w:rFonts w:ascii="Calibri" w:hAnsi="Calibri"/>
        </w:rPr>
        <w:t>any information provided about rights</w:t>
      </w:r>
      <w:r w:rsidR="003117B1">
        <w:rPr>
          <w:rFonts w:ascii="Calibri" w:hAnsi="Calibri"/>
        </w:rPr>
        <w:t xml:space="preserve">, including direct feedback from </w:t>
      </w:r>
      <w:r w:rsidR="001D19F2">
        <w:rPr>
          <w:rFonts w:ascii="Calibri" w:hAnsi="Calibri"/>
        </w:rPr>
        <w:t xml:space="preserve">children and </w:t>
      </w:r>
      <w:r w:rsidR="003117B1">
        <w:rPr>
          <w:rFonts w:ascii="Calibri" w:hAnsi="Calibri"/>
        </w:rPr>
        <w:t>young people.</w:t>
      </w:r>
    </w:p>
    <w:p w14:paraId="4FB33335" w14:textId="77777777" w:rsidR="003117B1" w:rsidRDefault="003117B1" w:rsidP="00A43E76">
      <w:pPr>
        <w:rPr>
          <w:rFonts w:ascii="Calibri" w:hAnsi="Calibri"/>
        </w:rPr>
      </w:pPr>
    </w:p>
    <w:p w14:paraId="28C0492E" w14:textId="499BE598" w:rsidR="001055E0" w:rsidRDefault="003117B1" w:rsidP="00A43E76">
      <w:pPr>
        <w:rPr>
          <w:rFonts w:ascii="Calibri" w:hAnsi="Calibri"/>
        </w:rPr>
      </w:pPr>
      <w:r>
        <w:rPr>
          <w:rFonts w:ascii="Calibri" w:hAnsi="Calibri"/>
        </w:rPr>
        <w:t>Further</w:t>
      </w:r>
      <w:r w:rsidR="00611427">
        <w:rPr>
          <w:rFonts w:ascii="Calibri" w:hAnsi="Calibri"/>
        </w:rPr>
        <w:t xml:space="preserve">, children also have a fundamental right to protection as identified in the </w:t>
      </w:r>
      <w:r w:rsidR="00611427">
        <w:rPr>
          <w:rFonts w:ascii="Calibri" w:hAnsi="Calibri"/>
          <w:i/>
        </w:rPr>
        <w:t>Convention on the Rights of the Child.</w:t>
      </w:r>
      <w:r w:rsidR="00611427">
        <w:rPr>
          <w:rStyle w:val="FootnoteReference"/>
          <w:rFonts w:ascii="Calibri" w:hAnsi="Calibri"/>
          <w:i/>
        </w:rPr>
        <w:footnoteReference w:id="20"/>
      </w:r>
      <w:r w:rsidR="00611427">
        <w:rPr>
          <w:rFonts w:ascii="Calibri" w:hAnsi="Calibri"/>
          <w:i/>
        </w:rPr>
        <w:t xml:space="preserve"> </w:t>
      </w:r>
      <w:r w:rsidR="00611427">
        <w:rPr>
          <w:rFonts w:ascii="Calibri" w:hAnsi="Calibri"/>
        </w:rPr>
        <w:t xml:space="preserve">In the case of children in youth justice detention centres, this places the fundamental obligation for upholding the rights of </w:t>
      </w:r>
      <w:r w:rsidR="008D7334">
        <w:rPr>
          <w:rFonts w:ascii="Calibri" w:hAnsi="Calibri"/>
        </w:rPr>
        <w:t xml:space="preserve">children </w:t>
      </w:r>
      <w:r w:rsidR="00611427">
        <w:rPr>
          <w:rFonts w:ascii="Calibri" w:hAnsi="Calibri"/>
        </w:rPr>
        <w:t>on service providers and government</w:t>
      </w:r>
      <w:r w:rsidR="00E31D69">
        <w:rPr>
          <w:rFonts w:ascii="Calibri" w:hAnsi="Calibri"/>
        </w:rPr>
        <w:t>s</w:t>
      </w:r>
      <w:r w:rsidR="00611427">
        <w:rPr>
          <w:rFonts w:ascii="Calibri" w:hAnsi="Calibri"/>
        </w:rPr>
        <w:t>. Strong safeguards and policy that reflects a human rights framework must therefore be embedded at all levels of service provision.</w:t>
      </w:r>
    </w:p>
    <w:p w14:paraId="73C423C7" w14:textId="77777777" w:rsidR="003117B1" w:rsidRDefault="003117B1" w:rsidP="00A43E76">
      <w:pPr>
        <w:rPr>
          <w:rFonts w:ascii="Calibri" w:hAnsi="Calibri"/>
        </w:rPr>
      </w:pPr>
    </w:p>
    <w:p w14:paraId="469D80BB" w14:textId="15E75139" w:rsidR="003117B1" w:rsidRDefault="003117B1" w:rsidP="00A43E76">
      <w:pPr>
        <w:rPr>
          <w:rFonts w:ascii="Calibri" w:hAnsi="Calibri"/>
        </w:rPr>
      </w:pPr>
      <w:r w:rsidRPr="0007324A">
        <w:rPr>
          <w:rFonts w:ascii="Calibri" w:hAnsi="Calibri"/>
          <w:b/>
        </w:rPr>
        <w:t>Rec</w:t>
      </w:r>
      <w:r w:rsidR="00403D7B" w:rsidRPr="0007324A">
        <w:rPr>
          <w:rFonts w:ascii="Calibri" w:hAnsi="Calibri"/>
          <w:b/>
        </w:rPr>
        <w:t>ommendation</w:t>
      </w:r>
      <w:r w:rsidR="00147B99">
        <w:rPr>
          <w:rFonts w:ascii="Calibri" w:hAnsi="Calibri"/>
          <w:b/>
        </w:rPr>
        <w:t xml:space="preserve"> 7</w:t>
      </w:r>
      <w:r w:rsidRPr="0007324A">
        <w:rPr>
          <w:rFonts w:ascii="Calibri" w:hAnsi="Calibri"/>
          <w:b/>
        </w:rPr>
        <w:t>:</w:t>
      </w:r>
      <w:r>
        <w:rPr>
          <w:rFonts w:ascii="Calibri" w:hAnsi="Calibri"/>
        </w:rPr>
        <w:t xml:space="preserve"> Ensure appropriate and accessible information about rights is provided to </w:t>
      </w:r>
      <w:r w:rsidR="000E522C">
        <w:rPr>
          <w:rFonts w:ascii="Calibri" w:hAnsi="Calibri"/>
        </w:rPr>
        <w:t>ALL</w:t>
      </w:r>
      <w:r>
        <w:rPr>
          <w:rFonts w:ascii="Calibri" w:hAnsi="Calibri"/>
        </w:rPr>
        <w:t xml:space="preserve"> children in youth justice detention.</w:t>
      </w:r>
    </w:p>
    <w:p w14:paraId="23604E17" w14:textId="77777777" w:rsidR="003117B1" w:rsidRDefault="003117B1" w:rsidP="00A43E76">
      <w:pPr>
        <w:rPr>
          <w:rFonts w:ascii="Calibri" w:hAnsi="Calibri"/>
        </w:rPr>
      </w:pPr>
    </w:p>
    <w:p w14:paraId="40A09F1F" w14:textId="2A5CEA79" w:rsidR="003117B1" w:rsidRDefault="003117B1" w:rsidP="00A43E76">
      <w:pPr>
        <w:rPr>
          <w:rFonts w:ascii="Calibri" w:hAnsi="Calibri"/>
        </w:rPr>
      </w:pPr>
      <w:r w:rsidRPr="0007324A">
        <w:rPr>
          <w:rFonts w:ascii="Calibri" w:hAnsi="Calibri"/>
          <w:b/>
        </w:rPr>
        <w:t>Rec</w:t>
      </w:r>
      <w:r w:rsidR="00403D7B" w:rsidRPr="0007324A">
        <w:rPr>
          <w:rFonts w:ascii="Calibri" w:hAnsi="Calibri"/>
          <w:b/>
        </w:rPr>
        <w:t>ommendation</w:t>
      </w:r>
      <w:r w:rsidR="00147B99">
        <w:rPr>
          <w:rFonts w:ascii="Calibri" w:hAnsi="Calibri"/>
          <w:b/>
        </w:rPr>
        <w:t xml:space="preserve"> 8</w:t>
      </w:r>
      <w:r w:rsidRPr="0007324A">
        <w:rPr>
          <w:rFonts w:ascii="Calibri" w:hAnsi="Calibri"/>
          <w:b/>
        </w:rPr>
        <w:t>:</w:t>
      </w:r>
      <w:r>
        <w:rPr>
          <w:rFonts w:ascii="Calibri" w:hAnsi="Calibri"/>
        </w:rPr>
        <w:t xml:space="preserve"> Develop mechanisms to review information about rights that is provided to children</w:t>
      </w:r>
      <w:r w:rsidR="008D7334">
        <w:rPr>
          <w:rFonts w:ascii="Calibri" w:hAnsi="Calibri"/>
        </w:rPr>
        <w:t xml:space="preserve"> </w:t>
      </w:r>
      <w:r>
        <w:rPr>
          <w:rFonts w:ascii="Calibri" w:hAnsi="Calibri"/>
        </w:rPr>
        <w:t>in youth justice detention which includes direct feedback from children.</w:t>
      </w:r>
    </w:p>
    <w:p w14:paraId="6D054F23" w14:textId="77777777" w:rsidR="00A43E76" w:rsidRPr="00BA65A3" w:rsidRDefault="00A43E76" w:rsidP="00A43E76">
      <w:pPr>
        <w:rPr>
          <w:rFonts w:ascii="Calibri" w:hAnsi="Calibri"/>
          <w:b/>
        </w:rPr>
      </w:pPr>
    </w:p>
    <w:p w14:paraId="7FB9DA9C" w14:textId="77777777" w:rsidR="00A43E76" w:rsidRDefault="00A43E76" w:rsidP="00A43E76">
      <w:pPr>
        <w:rPr>
          <w:rFonts w:ascii="Calibri" w:hAnsi="Calibri"/>
          <w:b/>
        </w:rPr>
      </w:pPr>
      <w:r w:rsidRPr="00BA65A3">
        <w:rPr>
          <w:rFonts w:ascii="Calibri" w:hAnsi="Calibri"/>
          <w:b/>
        </w:rPr>
        <w:t>How well do staff understand and promote children’s rights, including those under the Convention on the Rights of the Child?</w:t>
      </w:r>
    </w:p>
    <w:p w14:paraId="18049E44" w14:textId="77777777" w:rsidR="00E74B92" w:rsidRDefault="00CA11E6" w:rsidP="00A43E76">
      <w:r>
        <w:rPr>
          <w:rFonts w:ascii="Calibri" w:hAnsi="Calibri"/>
        </w:rPr>
        <w:lastRenderedPageBreak/>
        <w:t>It is important that all institutions that work with children uphold human rights. One key mechanism to ensure this occurs is through adop</w:t>
      </w:r>
      <w:r w:rsidR="00E74B92">
        <w:rPr>
          <w:rFonts w:ascii="Calibri" w:hAnsi="Calibri"/>
        </w:rPr>
        <w:t>ting child safe standards and</w:t>
      </w:r>
      <w:r>
        <w:rPr>
          <w:rFonts w:ascii="Calibri" w:hAnsi="Calibri"/>
        </w:rPr>
        <w:t xml:space="preserve"> accreditation.</w:t>
      </w:r>
      <w:r w:rsidR="00BC3D40">
        <w:rPr>
          <w:rFonts w:ascii="Calibri" w:hAnsi="Calibri"/>
        </w:rPr>
        <w:t xml:space="preserve"> </w:t>
      </w:r>
      <w:r w:rsidR="00BC3D40" w:rsidRPr="00EE53B0">
        <w:t xml:space="preserve">Broadly, child safe organisations emphasise the rights of children to protection and to have a safe childhood, with these values underpinning workforce culture. </w:t>
      </w:r>
      <w:r w:rsidR="00E74B92">
        <w:t>Policies, procedures and staff training around the human rights and developmental needs of all children is a core aspect of child safe practice.</w:t>
      </w:r>
    </w:p>
    <w:p w14:paraId="04385978" w14:textId="77777777" w:rsidR="00E74B92" w:rsidRDefault="00E74B92" w:rsidP="00A43E76"/>
    <w:p w14:paraId="00CCFE01" w14:textId="11644F89" w:rsidR="00CA11E6" w:rsidRPr="00E74B92" w:rsidRDefault="00BC3D40" w:rsidP="00A43E76">
      <w:r w:rsidRPr="007877E1">
        <w:t>There is great diversity between states and territories as to whether organisations providing the care of children are required to have child safe accreditation. It is the view of C</w:t>
      </w:r>
      <w:r>
        <w:t>Y</w:t>
      </w:r>
      <w:r w:rsidRPr="007877E1">
        <w:t xml:space="preserve">DA that </w:t>
      </w:r>
      <w:r>
        <w:t xml:space="preserve">there needs to be a requirement for all </w:t>
      </w:r>
      <w:r w:rsidRPr="007877E1">
        <w:t>organisations that have the care of children</w:t>
      </w:r>
      <w:r>
        <w:t xml:space="preserve"> </w:t>
      </w:r>
      <w:r w:rsidRPr="007877E1">
        <w:t>to maintain a child safe accreditation.</w:t>
      </w:r>
      <w:r>
        <w:t xml:space="preserve"> Presently, significant work regarding the definition and development of child safe standards is being undertaken through the </w:t>
      </w:r>
      <w:r>
        <w:rPr>
          <w:i/>
        </w:rPr>
        <w:t>Royal Commission into Institutional Child Sexual Abuse.</w:t>
      </w:r>
      <w:r>
        <w:rPr>
          <w:rStyle w:val="FootnoteReference"/>
          <w:i/>
        </w:rPr>
        <w:footnoteReference w:id="21"/>
      </w:r>
      <w:r w:rsidR="00E74B92">
        <w:rPr>
          <w:i/>
        </w:rPr>
        <w:t xml:space="preserve"> </w:t>
      </w:r>
      <w:r w:rsidR="00E74B92">
        <w:t xml:space="preserve">This current work in this area may be of valuable assistance for Australia in meeting its requirements to prevent torture and other </w:t>
      </w:r>
      <w:r w:rsidR="00C1434D">
        <w:t>inhuman</w:t>
      </w:r>
      <w:r w:rsidR="00E74B92">
        <w:t xml:space="preserve"> treatment under the OPCAT.</w:t>
      </w:r>
    </w:p>
    <w:p w14:paraId="533922AF" w14:textId="77777777" w:rsidR="00E74B92" w:rsidRDefault="00E74B92" w:rsidP="00A43E76">
      <w:pPr>
        <w:rPr>
          <w:rFonts w:ascii="Calibri" w:hAnsi="Calibri"/>
        </w:rPr>
      </w:pPr>
    </w:p>
    <w:p w14:paraId="51F487DD" w14:textId="77777777" w:rsidR="00E74B92" w:rsidRPr="00E74B92" w:rsidRDefault="00E74B92" w:rsidP="00A43E76">
      <w:r>
        <w:rPr>
          <w:b/>
        </w:rPr>
        <w:t>Recommendation</w:t>
      </w:r>
      <w:r w:rsidR="00147B99">
        <w:rPr>
          <w:b/>
        </w:rPr>
        <w:t xml:space="preserve"> 9</w:t>
      </w:r>
      <w:r>
        <w:rPr>
          <w:b/>
        </w:rPr>
        <w:t xml:space="preserve">: </w:t>
      </w:r>
      <w:r w:rsidR="00403D7B">
        <w:t>Establishment of m</w:t>
      </w:r>
      <w:r>
        <w:t>andatory requirements to ensure all organisations providing services to children implement child safe policies and accreditation</w:t>
      </w:r>
      <w:r w:rsidR="003117B1">
        <w:t>.</w:t>
      </w:r>
    </w:p>
    <w:p w14:paraId="2D0D0AFE" w14:textId="77777777" w:rsidR="00A43E76" w:rsidRPr="00BA65A3" w:rsidRDefault="00A43E76" w:rsidP="00A43E76">
      <w:pPr>
        <w:rPr>
          <w:rFonts w:ascii="Calibri" w:hAnsi="Calibri"/>
          <w:b/>
        </w:rPr>
      </w:pPr>
    </w:p>
    <w:p w14:paraId="686B86B7" w14:textId="77777777" w:rsidR="00DF1E98" w:rsidRDefault="00A43E76" w:rsidP="00DF1E98">
      <w:pPr>
        <w:rPr>
          <w:rFonts w:ascii="Calibri" w:hAnsi="Calibri"/>
          <w:b/>
        </w:rPr>
      </w:pPr>
      <w:r w:rsidRPr="00BA65A3">
        <w:rPr>
          <w:rFonts w:ascii="Calibri" w:hAnsi="Calibri"/>
          <w:b/>
        </w:rPr>
        <w:t>How could the ratification of OPCAT and the establishment of a NPM benefit children and young people in detention (youth justice centres and adult facilities)?</w:t>
      </w:r>
    </w:p>
    <w:p w14:paraId="001C0F86" w14:textId="77777777" w:rsidR="003F001F" w:rsidRDefault="00DF1E98" w:rsidP="00DF1E98">
      <w:r>
        <w:t>The OPCAT requires States Parties to “</w:t>
      </w:r>
      <w:r w:rsidRPr="00DF1E98">
        <w:t>establish a system of regular visits undertaken by independent international and national bodies to places where people are deprived of their liberty, in order to prevent torture and other cruel, inhuman or degrading treatment or punishment.</w:t>
      </w:r>
      <w:r>
        <w:t>”</w:t>
      </w:r>
      <w:r>
        <w:rPr>
          <w:rStyle w:val="FootnoteReference"/>
        </w:rPr>
        <w:footnoteReference w:id="22"/>
      </w:r>
      <w:r>
        <w:t xml:space="preserve"> This additional oversight would benefit children and young people with disability in detention</w:t>
      </w:r>
      <w:r w:rsidR="003F001F">
        <w:t xml:space="preserve"> by increasing safeguards. </w:t>
      </w:r>
    </w:p>
    <w:p w14:paraId="4F8C3084" w14:textId="77777777" w:rsidR="003F001F" w:rsidRDefault="003F001F" w:rsidP="00DF1E98"/>
    <w:p w14:paraId="502E1191" w14:textId="77777777" w:rsidR="003F001F" w:rsidRDefault="00DF1E98" w:rsidP="00DF1E98">
      <w:r>
        <w:lastRenderedPageBreak/>
        <w:t>Further, the policy advice function of the NP</w:t>
      </w:r>
      <w:r w:rsidR="003117B1">
        <w:t>M</w:t>
      </w:r>
      <w:r>
        <w:t xml:space="preserve"> could also be utilised to improve supports provided to children and young people in youth justice detention, not only in terms of safeguarding against torture, but to support transition to community following release.</w:t>
      </w:r>
    </w:p>
    <w:p w14:paraId="1264D932" w14:textId="77777777" w:rsidR="003F001F" w:rsidRDefault="003F001F" w:rsidP="00DF1E98"/>
    <w:p w14:paraId="41ED0DC2" w14:textId="77777777" w:rsidR="003F001F" w:rsidRDefault="003F001F" w:rsidP="00DF1E98">
      <w:r>
        <w:t xml:space="preserve">Finally, as stated above, ratification of the OPCAT provides an opportunity to develop oversight mechanisms for places of detention of children and young people with disability that are not recognised as a breach of human rights, particularly regarding </w:t>
      </w:r>
      <w:r w:rsidR="003117B1">
        <w:t xml:space="preserve">restraint and </w:t>
      </w:r>
      <w:r>
        <w:t>seclusion in schools and school transport.</w:t>
      </w:r>
    </w:p>
    <w:p w14:paraId="3E35A6F7" w14:textId="77777777" w:rsidR="00A43E76" w:rsidRPr="00BA65A3" w:rsidRDefault="00A43E76" w:rsidP="00A43E76">
      <w:pPr>
        <w:rPr>
          <w:rFonts w:ascii="Calibri" w:hAnsi="Calibri"/>
          <w:b/>
        </w:rPr>
      </w:pPr>
    </w:p>
    <w:p w14:paraId="2B532341" w14:textId="77777777" w:rsidR="00A43E76" w:rsidRDefault="00A43E76" w:rsidP="00A43E76">
      <w:pPr>
        <w:rPr>
          <w:rFonts w:ascii="Calibri" w:hAnsi="Calibri"/>
          <w:b/>
        </w:rPr>
      </w:pPr>
      <w:r w:rsidRPr="00BA65A3">
        <w:rPr>
          <w:rFonts w:ascii="Calibri" w:hAnsi="Calibri"/>
          <w:b/>
        </w:rPr>
        <w:t>The age of criminal responsibility is 10 years in all Australian jurisdictions. The Convention on the Rights of the Child does not specify what such a minimum age of criminal responsibility should be. However the Committee on the Rights of the Child recommends 12 years of age should be the absolute minimum age. The Committee on the Rights of the Child has noted Australia's non-compliance with this standard and it has recommended Australia raise its minimum age of criminal responsibility. What is your view on this?</w:t>
      </w:r>
    </w:p>
    <w:p w14:paraId="2F7C4011" w14:textId="77777777" w:rsidR="00DF1E98" w:rsidRDefault="00DF1E98" w:rsidP="00A43E76">
      <w:pPr>
        <w:rPr>
          <w:rFonts w:ascii="Calibri" w:hAnsi="Calibri"/>
        </w:rPr>
      </w:pPr>
      <w:r>
        <w:rPr>
          <w:rFonts w:ascii="Calibri" w:hAnsi="Calibri"/>
        </w:rPr>
        <w:t>CYDA is of the view that Australian legislation should accord with international human rights standards</w:t>
      </w:r>
      <w:r w:rsidR="003117B1">
        <w:rPr>
          <w:rFonts w:ascii="Calibri" w:hAnsi="Calibri"/>
        </w:rPr>
        <w:t xml:space="preserve"> as defined by the Committee on the Rights of the Child</w:t>
      </w:r>
      <w:r>
        <w:rPr>
          <w:rFonts w:ascii="Calibri" w:hAnsi="Calibri"/>
        </w:rPr>
        <w:t>.</w:t>
      </w:r>
      <w:r w:rsidR="001B7966">
        <w:rPr>
          <w:rFonts w:ascii="Calibri" w:hAnsi="Calibri"/>
        </w:rPr>
        <w:t xml:space="preserve"> Further, specific considerations regarding the needs of circumstances of children with disability should be taken into account in any decisions regarding sentencing. </w:t>
      </w:r>
    </w:p>
    <w:p w14:paraId="4CB2A2A5" w14:textId="77777777" w:rsidR="001B7966" w:rsidRDefault="001B7966" w:rsidP="00A43E76">
      <w:pPr>
        <w:rPr>
          <w:rFonts w:ascii="Calibri" w:hAnsi="Calibri"/>
        </w:rPr>
      </w:pPr>
    </w:p>
    <w:p w14:paraId="7C165EF1" w14:textId="77777777" w:rsidR="001B7966" w:rsidRDefault="001B7966" w:rsidP="00A43E76">
      <w:pPr>
        <w:rPr>
          <w:rFonts w:ascii="Calibri" w:hAnsi="Calibri"/>
        </w:rPr>
      </w:pPr>
      <w:r>
        <w:rPr>
          <w:rFonts w:ascii="Calibri" w:hAnsi="Calibri"/>
        </w:rPr>
        <w:t xml:space="preserve">CYDA would also like to express concern that some children in Australia, particularly </w:t>
      </w:r>
      <w:r w:rsidR="003F001F">
        <w:rPr>
          <w:rFonts w:ascii="Calibri" w:hAnsi="Calibri"/>
        </w:rPr>
        <w:t xml:space="preserve">in </w:t>
      </w:r>
      <w:r>
        <w:rPr>
          <w:rFonts w:ascii="Calibri" w:hAnsi="Calibri"/>
        </w:rPr>
        <w:t xml:space="preserve">Queensland, are detained in adult prisons. CYDA supports </w:t>
      </w:r>
      <w:r w:rsidR="00403D7B">
        <w:rPr>
          <w:rFonts w:ascii="Calibri" w:hAnsi="Calibri"/>
        </w:rPr>
        <w:t>comprehensive examination of the circumstances in which this occurs to develop mechanisms</w:t>
      </w:r>
      <w:r>
        <w:rPr>
          <w:rFonts w:ascii="Calibri" w:hAnsi="Calibri"/>
        </w:rPr>
        <w:t xml:space="preserve"> to ensure that this practice is eliminated </w:t>
      </w:r>
      <w:r w:rsidR="00403D7B">
        <w:rPr>
          <w:rFonts w:ascii="Calibri" w:hAnsi="Calibri"/>
        </w:rPr>
        <w:t xml:space="preserve">and that </w:t>
      </w:r>
      <w:r>
        <w:rPr>
          <w:rFonts w:ascii="Calibri" w:hAnsi="Calibri"/>
        </w:rPr>
        <w:t>the human rights and developmental needs of children</w:t>
      </w:r>
      <w:r w:rsidR="00403D7B">
        <w:rPr>
          <w:rFonts w:ascii="Calibri" w:hAnsi="Calibri"/>
        </w:rPr>
        <w:t xml:space="preserve"> in contact with the criminal justice system</w:t>
      </w:r>
      <w:r>
        <w:rPr>
          <w:rFonts w:ascii="Calibri" w:hAnsi="Calibri"/>
        </w:rPr>
        <w:t xml:space="preserve"> are upheld.</w:t>
      </w:r>
    </w:p>
    <w:p w14:paraId="01453CF0" w14:textId="77777777" w:rsidR="00DF1E98" w:rsidRDefault="00DF1E98" w:rsidP="00A43E76">
      <w:pPr>
        <w:rPr>
          <w:rFonts w:ascii="Calibri" w:hAnsi="Calibri"/>
        </w:rPr>
      </w:pPr>
    </w:p>
    <w:p w14:paraId="583F808D" w14:textId="77777777" w:rsidR="001B7966" w:rsidRDefault="001B7966" w:rsidP="00A43E76">
      <w:pPr>
        <w:rPr>
          <w:rFonts w:ascii="Calibri" w:hAnsi="Calibri"/>
        </w:rPr>
      </w:pPr>
      <w:r w:rsidRPr="0007324A">
        <w:rPr>
          <w:rFonts w:ascii="Calibri" w:hAnsi="Calibri"/>
          <w:b/>
        </w:rPr>
        <w:t>Rec</w:t>
      </w:r>
      <w:r w:rsidR="00403D7B" w:rsidRPr="0007324A">
        <w:rPr>
          <w:rFonts w:ascii="Calibri" w:hAnsi="Calibri"/>
          <w:b/>
        </w:rPr>
        <w:t>ommendation</w:t>
      </w:r>
      <w:r w:rsidR="00147B99">
        <w:rPr>
          <w:rFonts w:ascii="Calibri" w:hAnsi="Calibri"/>
          <w:b/>
        </w:rPr>
        <w:t xml:space="preserve"> 10</w:t>
      </w:r>
      <w:r w:rsidRPr="0007324A">
        <w:rPr>
          <w:rFonts w:ascii="Calibri" w:hAnsi="Calibri"/>
          <w:b/>
        </w:rPr>
        <w:t>:</w:t>
      </w:r>
      <w:r>
        <w:rPr>
          <w:rFonts w:ascii="Calibri" w:hAnsi="Calibri"/>
        </w:rPr>
        <w:t xml:space="preserve"> Increase age of criminal responsibility</w:t>
      </w:r>
      <w:r w:rsidR="00403D7B">
        <w:rPr>
          <w:rFonts w:ascii="Calibri" w:hAnsi="Calibri"/>
        </w:rPr>
        <w:t xml:space="preserve"> in Australia</w:t>
      </w:r>
      <w:r>
        <w:rPr>
          <w:rFonts w:ascii="Calibri" w:hAnsi="Calibri"/>
        </w:rPr>
        <w:t xml:space="preserve"> to 12</w:t>
      </w:r>
      <w:r w:rsidR="00403D7B">
        <w:rPr>
          <w:rFonts w:ascii="Calibri" w:hAnsi="Calibri"/>
        </w:rPr>
        <w:t xml:space="preserve"> years,</w:t>
      </w:r>
      <w:r>
        <w:rPr>
          <w:rFonts w:ascii="Calibri" w:hAnsi="Calibri"/>
        </w:rPr>
        <w:t xml:space="preserve"> </w:t>
      </w:r>
      <w:r w:rsidR="00EF475C">
        <w:rPr>
          <w:rFonts w:ascii="Calibri" w:hAnsi="Calibri"/>
        </w:rPr>
        <w:t xml:space="preserve">as recommended by the Committee </w:t>
      </w:r>
      <w:r w:rsidR="00403D7B">
        <w:rPr>
          <w:rFonts w:ascii="Calibri" w:hAnsi="Calibri"/>
        </w:rPr>
        <w:t>on the Rights of the Child.</w:t>
      </w:r>
    </w:p>
    <w:p w14:paraId="1733985D" w14:textId="77777777" w:rsidR="00611427" w:rsidRDefault="00611427" w:rsidP="00A43E76">
      <w:pPr>
        <w:rPr>
          <w:rFonts w:ascii="Calibri" w:hAnsi="Calibri"/>
        </w:rPr>
      </w:pPr>
    </w:p>
    <w:p w14:paraId="3168DF62" w14:textId="77777777" w:rsidR="00403D7B" w:rsidRPr="0007324A" w:rsidRDefault="00403D7B" w:rsidP="00A43E76">
      <w:pPr>
        <w:rPr>
          <w:rFonts w:ascii="Calibri" w:hAnsi="Calibri"/>
        </w:rPr>
      </w:pPr>
      <w:r>
        <w:rPr>
          <w:rFonts w:ascii="Calibri" w:hAnsi="Calibri"/>
          <w:b/>
        </w:rPr>
        <w:t>Recommendation</w:t>
      </w:r>
      <w:r w:rsidR="00147B99">
        <w:rPr>
          <w:rFonts w:ascii="Calibri" w:hAnsi="Calibri"/>
          <w:b/>
        </w:rPr>
        <w:t xml:space="preserve"> 11</w:t>
      </w:r>
      <w:r>
        <w:rPr>
          <w:rFonts w:ascii="Calibri" w:hAnsi="Calibri"/>
          <w:b/>
        </w:rPr>
        <w:t xml:space="preserve">: </w:t>
      </w:r>
      <w:r>
        <w:rPr>
          <w:rFonts w:ascii="Calibri" w:hAnsi="Calibri"/>
        </w:rPr>
        <w:t>Undertake a review of the circumstances in which children in Australia are placed in adult prisons to develop policy and legislative recommendations to ensure this does not occur.</w:t>
      </w:r>
    </w:p>
    <w:p w14:paraId="1F4E83E7" w14:textId="77777777" w:rsidR="00403D7B" w:rsidRDefault="00403D7B" w:rsidP="00A43E76">
      <w:pPr>
        <w:rPr>
          <w:rFonts w:ascii="Calibri" w:hAnsi="Calibri"/>
          <w:b/>
        </w:rPr>
      </w:pPr>
    </w:p>
    <w:p w14:paraId="2226EB78" w14:textId="77777777" w:rsidR="00E74B92" w:rsidRDefault="00E74B92" w:rsidP="00A43E76">
      <w:pPr>
        <w:rPr>
          <w:rFonts w:ascii="Calibri" w:hAnsi="Calibri"/>
          <w:b/>
          <w:sz w:val="24"/>
        </w:rPr>
      </w:pPr>
      <w:r>
        <w:rPr>
          <w:rFonts w:ascii="Calibri" w:hAnsi="Calibri"/>
          <w:b/>
          <w:sz w:val="24"/>
        </w:rPr>
        <w:lastRenderedPageBreak/>
        <w:t>CONCLUSION</w:t>
      </w:r>
    </w:p>
    <w:p w14:paraId="4A241710" w14:textId="77777777" w:rsidR="00EF475C" w:rsidRDefault="00EF475C" w:rsidP="00A43E76">
      <w:pPr>
        <w:rPr>
          <w:rFonts w:ascii="Calibri" w:hAnsi="Calibri"/>
        </w:rPr>
      </w:pPr>
    </w:p>
    <w:p w14:paraId="65958AB1" w14:textId="77777777" w:rsidR="000E522C" w:rsidRDefault="00EF475C" w:rsidP="00A43E76">
      <w:r>
        <w:rPr>
          <w:rFonts w:ascii="Calibri" w:hAnsi="Calibri"/>
        </w:rPr>
        <w:t>Ratification of the OPCAT would provide a significant opportunity to increase oversight and protections against torture and other</w:t>
      </w:r>
      <w:r w:rsidRPr="00EF475C">
        <w:t xml:space="preserve"> </w:t>
      </w:r>
      <w:r>
        <w:t>cruel, inhuman or degrading treatment or p</w:t>
      </w:r>
      <w:r w:rsidRPr="008B5819">
        <w:t>unishment</w:t>
      </w:r>
      <w:r w:rsidR="00DA389E">
        <w:t xml:space="preserve"> in Australia</w:t>
      </w:r>
      <w:r>
        <w:t xml:space="preserve">. </w:t>
      </w:r>
    </w:p>
    <w:p w14:paraId="34F685E3" w14:textId="77777777" w:rsidR="000E522C" w:rsidRDefault="000E522C" w:rsidP="00A43E76"/>
    <w:p w14:paraId="707B2A48" w14:textId="55699ED9" w:rsidR="00EF475C" w:rsidRDefault="000E522C" w:rsidP="00A43E76">
      <w:r>
        <w:t>It</w:t>
      </w:r>
      <w:r w:rsidR="000B13B7">
        <w:t xml:space="preserve"> </w:t>
      </w:r>
      <w:r w:rsidR="00403D7B">
        <w:t>is critical that</w:t>
      </w:r>
      <w:r w:rsidR="00EF475C">
        <w:t xml:space="preserve"> any NP</w:t>
      </w:r>
      <w:r w:rsidR="00403DA1">
        <w:t>M</w:t>
      </w:r>
      <w:r w:rsidR="00EF475C">
        <w:t xml:space="preserve"> </w:t>
      </w:r>
      <w:r w:rsidR="00403D7B">
        <w:t>has</w:t>
      </w:r>
      <w:r w:rsidR="00EF475C">
        <w:t xml:space="preserve"> </w:t>
      </w:r>
      <w:r w:rsidR="00403D7B">
        <w:t>jurisdiction over</w:t>
      </w:r>
      <w:r w:rsidR="00EF475C">
        <w:t xml:space="preserve"> all situations and places of detention where there is a risk o</w:t>
      </w:r>
      <w:r w:rsidR="000B13B7">
        <w:t>f</w:t>
      </w:r>
      <w:r w:rsidR="00EF475C">
        <w:t xml:space="preserve"> torture occurring. The direct experiences of children and young people with disability </w:t>
      </w:r>
      <w:r>
        <w:t>discussed</w:t>
      </w:r>
      <w:r w:rsidR="00EF475C">
        <w:t xml:space="preserve"> in this submission demonstrate</w:t>
      </w:r>
      <w:r>
        <w:t>s</w:t>
      </w:r>
      <w:r w:rsidR="00EF475C">
        <w:t xml:space="preserve"> that this must include education settings and school transport, as well as settings more commonly understood as ‘detention,’ notably youth jus</w:t>
      </w:r>
      <w:r w:rsidR="000277FE">
        <w:t>tice and immigration detention.</w:t>
      </w:r>
    </w:p>
    <w:p w14:paraId="4011FDAC" w14:textId="77777777" w:rsidR="000277FE" w:rsidRDefault="000277FE" w:rsidP="000277FE">
      <w:pPr>
        <w:rPr>
          <w:rFonts w:cs="HelveticaNeue-Bold"/>
          <w:bCs/>
          <w:szCs w:val="44"/>
        </w:rPr>
      </w:pPr>
    </w:p>
    <w:p w14:paraId="0D3D9085" w14:textId="77777777" w:rsidR="00EF475C" w:rsidRPr="0007324A" w:rsidRDefault="000E522C" w:rsidP="00A43E76">
      <w:pPr>
        <w:rPr>
          <w:rFonts w:cs="HelveticaNeue-Bold"/>
          <w:bCs/>
          <w:szCs w:val="44"/>
        </w:rPr>
      </w:pPr>
      <w:r>
        <w:rPr>
          <w:rFonts w:cs="HelveticaNeue-Bold"/>
          <w:bCs/>
          <w:szCs w:val="44"/>
        </w:rPr>
        <w:t>Please do not hesitate to contact CYDA if further information is required.</w:t>
      </w:r>
    </w:p>
    <w:p w14:paraId="0DDDFA6A" w14:textId="77777777" w:rsidR="00DA389E" w:rsidRDefault="00DA389E">
      <w:pPr>
        <w:rPr>
          <w:rFonts w:ascii="Calibri" w:hAnsi="Calibri"/>
          <w:b/>
          <w:sz w:val="24"/>
          <w:highlight w:val="yellow"/>
        </w:rPr>
      </w:pPr>
    </w:p>
    <w:p w14:paraId="242ED674" w14:textId="77777777" w:rsidR="001A1100" w:rsidRDefault="001A1100">
      <w:pPr>
        <w:rPr>
          <w:rFonts w:ascii="Calibri" w:hAnsi="Calibri"/>
          <w:b/>
          <w:sz w:val="24"/>
          <w:highlight w:val="yellow"/>
        </w:rPr>
      </w:pPr>
      <w:r>
        <w:rPr>
          <w:rFonts w:ascii="Calibri" w:hAnsi="Calibri"/>
          <w:b/>
          <w:sz w:val="24"/>
          <w:highlight w:val="yellow"/>
        </w:rPr>
        <w:br w:type="page"/>
      </w:r>
    </w:p>
    <w:p w14:paraId="17DC5B8C" w14:textId="1B443EED" w:rsidR="00E74B92" w:rsidRDefault="00E74B92" w:rsidP="00A43E76">
      <w:pPr>
        <w:rPr>
          <w:rFonts w:ascii="Calibri" w:hAnsi="Calibri"/>
          <w:b/>
          <w:sz w:val="24"/>
        </w:rPr>
      </w:pPr>
      <w:r w:rsidRPr="005A5E60">
        <w:rPr>
          <w:rFonts w:ascii="Calibri" w:hAnsi="Calibri"/>
          <w:b/>
          <w:sz w:val="24"/>
        </w:rPr>
        <w:t>SUMMARY OF RECOMMENDATIONS</w:t>
      </w:r>
    </w:p>
    <w:p w14:paraId="7BB0D5AF" w14:textId="77777777" w:rsidR="00DA389E" w:rsidRDefault="00DA389E" w:rsidP="00A43E76">
      <w:pPr>
        <w:rPr>
          <w:rFonts w:ascii="Calibri" w:hAnsi="Calibri"/>
        </w:rPr>
      </w:pPr>
    </w:p>
    <w:p w14:paraId="62FE0808" w14:textId="77777777" w:rsidR="005A5E60" w:rsidRPr="004D6B93" w:rsidRDefault="005A5E60" w:rsidP="005A5E60">
      <w:r>
        <w:rPr>
          <w:b/>
        </w:rPr>
        <w:t xml:space="preserve">Recommendation 1: </w:t>
      </w:r>
      <w:r>
        <w:t xml:space="preserve">Ensure that a National Preventive Mechanism developed through Australia’s ratification of the </w:t>
      </w:r>
      <w:r w:rsidRPr="004D6B93">
        <w:rPr>
          <w:i/>
        </w:rPr>
        <w:t>Optional Protocol for the Convention Against Torture</w:t>
      </w:r>
      <w:r>
        <w:rPr>
          <w:i/>
        </w:rPr>
        <w:t xml:space="preserve"> </w:t>
      </w:r>
      <w:r>
        <w:t>is able to inspect, report on and make policy recommendations about education settings, with a particular focus on restraint and seclusion of students with disability.</w:t>
      </w:r>
    </w:p>
    <w:p w14:paraId="4686FEEF" w14:textId="77777777" w:rsidR="005A5E60" w:rsidRDefault="005A5E60" w:rsidP="005A5E60"/>
    <w:p w14:paraId="43EF0378" w14:textId="77777777" w:rsidR="005A5E60" w:rsidRPr="00E947E1" w:rsidRDefault="005A5E60" w:rsidP="005A5E60">
      <w:pPr>
        <w:contextualSpacing/>
      </w:pPr>
      <w:r w:rsidRPr="00E947E1">
        <w:rPr>
          <w:b/>
        </w:rPr>
        <w:t>Recommendation</w:t>
      </w:r>
      <w:r>
        <w:rPr>
          <w:b/>
        </w:rPr>
        <w:t xml:space="preserve"> 2</w:t>
      </w:r>
      <w:r w:rsidRPr="00E947E1">
        <w:rPr>
          <w:b/>
        </w:rPr>
        <w:t>:</w:t>
      </w:r>
      <w:r>
        <w:rPr>
          <w:b/>
        </w:rPr>
        <w:t xml:space="preserve"> </w:t>
      </w:r>
      <w:r>
        <w:t>Establishment of a national oversight body for the use of restraint and seclusion that alone is charged with the power to authorise the use of restrictive practices beyond a first unplanned emergency. This body should also record national data on the use of restraint and seclusion regardless of setting. This body could fulfil elements of the National Preventive Mechanism requirements.</w:t>
      </w:r>
    </w:p>
    <w:p w14:paraId="4364FAF8" w14:textId="77777777" w:rsidR="005A5E60" w:rsidRDefault="005A5E60" w:rsidP="005A5E60"/>
    <w:p w14:paraId="13FCD6E9" w14:textId="77777777" w:rsidR="005A5E60" w:rsidRDefault="005A5E60" w:rsidP="005A5E60">
      <w:r>
        <w:rPr>
          <w:b/>
        </w:rPr>
        <w:t xml:space="preserve">Recommendation 3: </w:t>
      </w:r>
      <w:r>
        <w:t xml:space="preserve">Ensure that a National Preventive Mechanism developed through Australia’s ratification of the </w:t>
      </w:r>
      <w:r w:rsidRPr="004D6B93">
        <w:rPr>
          <w:i/>
        </w:rPr>
        <w:t>Optional Protocol for the Convention Against Torture</w:t>
      </w:r>
      <w:r>
        <w:rPr>
          <w:i/>
        </w:rPr>
        <w:t xml:space="preserve"> </w:t>
      </w:r>
      <w:r>
        <w:t>is able to inspect, report on and make policy recommendations about school transport for students with disability.</w:t>
      </w:r>
    </w:p>
    <w:p w14:paraId="65CD61D0" w14:textId="77777777" w:rsidR="005A5E60" w:rsidRDefault="005A5E60" w:rsidP="005A5E60"/>
    <w:p w14:paraId="132E591C" w14:textId="77777777" w:rsidR="005A5E60" w:rsidRDefault="005A5E60" w:rsidP="005A5E60">
      <w:r w:rsidRPr="0007324A">
        <w:rPr>
          <w:b/>
        </w:rPr>
        <w:t>Recommendation</w:t>
      </w:r>
      <w:r>
        <w:rPr>
          <w:b/>
        </w:rPr>
        <w:t xml:space="preserve"> 4</w:t>
      </w:r>
      <w:r w:rsidRPr="0007324A">
        <w:rPr>
          <w:b/>
        </w:rPr>
        <w:t>:</w:t>
      </w:r>
      <w:r>
        <w:t xml:space="preserve"> Ensure that a National Preventive Mechanism developed through Australia’s ratification of the </w:t>
      </w:r>
      <w:r w:rsidRPr="004D6B93">
        <w:rPr>
          <w:i/>
        </w:rPr>
        <w:t>Optional Protocol for the Convention Against Torture</w:t>
      </w:r>
      <w:r>
        <w:rPr>
          <w:i/>
        </w:rPr>
        <w:t xml:space="preserve"> </w:t>
      </w:r>
      <w:r>
        <w:t>is able to inspect, report on and make policy recommendations about immigration detention settings.</w:t>
      </w:r>
    </w:p>
    <w:p w14:paraId="741D33E7" w14:textId="77777777" w:rsidR="005A5E60" w:rsidRDefault="005A5E60" w:rsidP="005A5E60"/>
    <w:p w14:paraId="1F5D0F9E" w14:textId="77777777" w:rsidR="005A5E60" w:rsidRDefault="005A5E60" w:rsidP="005A5E60">
      <w:r w:rsidRPr="0007324A">
        <w:rPr>
          <w:b/>
        </w:rPr>
        <w:t>Recommendation</w:t>
      </w:r>
      <w:r>
        <w:rPr>
          <w:b/>
        </w:rPr>
        <w:t xml:space="preserve"> 5</w:t>
      </w:r>
      <w:r w:rsidRPr="0007324A">
        <w:rPr>
          <w:b/>
        </w:rPr>
        <w:t>:</w:t>
      </w:r>
      <w:r>
        <w:t xml:space="preserve"> Undertake a review of existing oversight bodies at the national, state and territory level to establish which functions of the National Preventive Mechanism are currently being fulfilled within Australia to inform a gap analysis.</w:t>
      </w:r>
    </w:p>
    <w:p w14:paraId="502CED0D" w14:textId="77777777" w:rsidR="005A5E60" w:rsidRDefault="005A5E60" w:rsidP="005A5E60"/>
    <w:p w14:paraId="668EDE97" w14:textId="77777777" w:rsidR="005A5E60" w:rsidRDefault="005A5E60" w:rsidP="005A5E60">
      <w:r>
        <w:rPr>
          <w:b/>
        </w:rPr>
        <w:t xml:space="preserve">Recommendation 6: </w:t>
      </w:r>
      <w:r>
        <w:t>States and territories collaborate to more accurately identify and establish mechanisms to collect data regarding children with disability who come into contact with the criminal justice system, including those in youth justice detention.</w:t>
      </w:r>
    </w:p>
    <w:p w14:paraId="11FE4304" w14:textId="77777777" w:rsidR="005A5E60" w:rsidRDefault="005A5E60" w:rsidP="005A5E60"/>
    <w:p w14:paraId="625DA31A" w14:textId="77777777" w:rsidR="005A5E60" w:rsidRDefault="005A5E60" w:rsidP="005A5E60">
      <w:pPr>
        <w:rPr>
          <w:rFonts w:ascii="Calibri" w:hAnsi="Calibri"/>
        </w:rPr>
      </w:pPr>
      <w:r w:rsidRPr="0007324A">
        <w:rPr>
          <w:rFonts w:ascii="Calibri" w:hAnsi="Calibri"/>
          <w:b/>
        </w:rPr>
        <w:t>Recommendation</w:t>
      </w:r>
      <w:r>
        <w:rPr>
          <w:rFonts w:ascii="Calibri" w:hAnsi="Calibri"/>
          <w:b/>
        </w:rPr>
        <w:t xml:space="preserve"> 7</w:t>
      </w:r>
      <w:r w:rsidRPr="0007324A">
        <w:rPr>
          <w:rFonts w:ascii="Calibri" w:hAnsi="Calibri"/>
          <w:b/>
        </w:rPr>
        <w:t>:</w:t>
      </w:r>
      <w:r>
        <w:rPr>
          <w:rFonts w:ascii="Calibri" w:hAnsi="Calibri"/>
        </w:rPr>
        <w:t xml:space="preserve"> Ensure appropriate and accessible information about rights is provided to ALL children in youth justice detention.</w:t>
      </w:r>
    </w:p>
    <w:p w14:paraId="3D47148E" w14:textId="77777777" w:rsidR="005A5E60" w:rsidRDefault="005A5E60" w:rsidP="005A5E60">
      <w:pPr>
        <w:rPr>
          <w:rFonts w:ascii="Calibri" w:hAnsi="Calibri"/>
        </w:rPr>
      </w:pPr>
    </w:p>
    <w:p w14:paraId="6AEC6BF1" w14:textId="77777777" w:rsidR="005A5E60" w:rsidRDefault="005A5E60" w:rsidP="005A5E60">
      <w:pPr>
        <w:rPr>
          <w:rFonts w:ascii="Calibri" w:hAnsi="Calibri"/>
        </w:rPr>
      </w:pPr>
      <w:r w:rsidRPr="0007324A">
        <w:rPr>
          <w:rFonts w:ascii="Calibri" w:hAnsi="Calibri"/>
          <w:b/>
        </w:rPr>
        <w:t>Recommendation</w:t>
      </w:r>
      <w:r>
        <w:rPr>
          <w:rFonts w:ascii="Calibri" w:hAnsi="Calibri"/>
          <w:b/>
        </w:rPr>
        <w:t xml:space="preserve"> 8</w:t>
      </w:r>
      <w:r w:rsidRPr="0007324A">
        <w:rPr>
          <w:rFonts w:ascii="Calibri" w:hAnsi="Calibri"/>
          <w:b/>
        </w:rPr>
        <w:t>:</w:t>
      </w:r>
      <w:r>
        <w:rPr>
          <w:rFonts w:ascii="Calibri" w:hAnsi="Calibri"/>
        </w:rPr>
        <w:t xml:space="preserve"> Develop mechanisms to review information about rights that is provided to children in youth justice detention which includes direct feedback from children.</w:t>
      </w:r>
    </w:p>
    <w:p w14:paraId="0AF5ED06" w14:textId="77777777" w:rsidR="005A5E60" w:rsidRDefault="005A5E60" w:rsidP="005A5E60"/>
    <w:p w14:paraId="1792A505" w14:textId="77777777" w:rsidR="005A5E60" w:rsidRPr="00E74B92" w:rsidRDefault="005A5E60" w:rsidP="005A5E60">
      <w:r>
        <w:rPr>
          <w:b/>
        </w:rPr>
        <w:t xml:space="preserve">Recommendation 9: </w:t>
      </w:r>
      <w:r>
        <w:t>Establishment of mandatory requirements to ensure all organisations providing services to children implement child safe policies and accreditation.</w:t>
      </w:r>
    </w:p>
    <w:p w14:paraId="6FD1803D" w14:textId="77777777" w:rsidR="005A5E60" w:rsidRDefault="005A5E60" w:rsidP="005A5E60"/>
    <w:p w14:paraId="533192AE" w14:textId="77777777" w:rsidR="005A5E60" w:rsidRDefault="005A5E60" w:rsidP="005A5E60">
      <w:pPr>
        <w:rPr>
          <w:rFonts w:ascii="Calibri" w:hAnsi="Calibri"/>
        </w:rPr>
      </w:pPr>
      <w:r w:rsidRPr="0007324A">
        <w:rPr>
          <w:rFonts w:ascii="Calibri" w:hAnsi="Calibri"/>
          <w:b/>
        </w:rPr>
        <w:t>Recommendation</w:t>
      </w:r>
      <w:r>
        <w:rPr>
          <w:rFonts w:ascii="Calibri" w:hAnsi="Calibri"/>
          <w:b/>
        </w:rPr>
        <w:t xml:space="preserve"> 10</w:t>
      </w:r>
      <w:r w:rsidRPr="0007324A">
        <w:rPr>
          <w:rFonts w:ascii="Calibri" w:hAnsi="Calibri"/>
          <w:b/>
        </w:rPr>
        <w:t>:</w:t>
      </w:r>
      <w:r>
        <w:rPr>
          <w:rFonts w:ascii="Calibri" w:hAnsi="Calibri"/>
        </w:rPr>
        <w:t xml:space="preserve"> Increase age of criminal responsibility in Australia to 12 years, as recommended by the Committee on the Rights of the Child.</w:t>
      </w:r>
    </w:p>
    <w:p w14:paraId="2FD4F40E" w14:textId="77777777" w:rsidR="005A5E60" w:rsidRDefault="005A5E60" w:rsidP="005A5E60">
      <w:pPr>
        <w:rPr>
          <w:rFonts w:ascii="Calibri" w:hAnsi="Calibri"/>
        </w:rPr>
      </w:pPr>
    </w:p>
    <w:p w14:paraId="6B9234BC" w14:textId="5E22AEBE" w:rsidR="005A5E60" w:rsidRPr="005A5E60" w:rsidRDefault="005A5E60" w:rsidP="00A43E76">
      <w:pPr>
        <w:rPr>
          <w:rFonts w:ascii="Calibri" w:hAnsi="Calibri"/>
        </w:rPr>
      </w:pPr>
      <w:r>
        <w:rPr>
          <w:rFonts w:ascii="Calibri" w:hAnsi="Calibri"/>
          <w:b/>
        </w:rPr>
        <w:t xml:space="preserve">Recommendation 11: </w:t>
      </w:r>
      <w:r>
        <w:rPr>
          <w:rFonts w:ascii="Calibri" w:hAnsi="Calibri"/>
        </w:rPr>
        <w:t>Undertake a review of the circumstances in which children in Australia are placed in adult prisons to develop policy and legislative recommendations to ensure this does not occur.</w:t>
      </w:r>
    </w:p>
    <w:p w14:paraId="137B3FFF" w14:textId="77777777" w:rsidR="001A1100" w:rsidRDefault="001A1100">
      <w:pPr>
        <w:rPr>
          <w:rFonts w:ascii="Calibri" w:hAnsi="Calibri"/>
          <w:b/>
          <w:sz w:val="24"/>
        </w:rPr>
      </w:pPr>
      <w:r>
        <w:rPr>
          <w:rFonts w:ascii="Calibri" w:hAnsi="Calibri"/>
          <w:b/>
          <w:sz w:val="24"/>
        </w:rPr>
        <w:br w:type="page"/>
      </w:r>
    </w:p>
    <w:p w14:paraId="4A0293E2" w14:textId="33E5D724" w:rsidR="00E74B92" w:rsidRPr="0007324A" w:rsidRDefault="00E74B92" w:rsidP="00A43E76">
      <w:pPr>
        <w:rPr>
          <w:rFonts w:ascii="Calibri" w:hAnsi="Calibri"/>
          <w:b/>
          <w:sz w:val="24"/>
        </w:rPr>
      </w:pPr>
      <w:r>
        <w:rPr>
          <w:rFonts w:ascii="Calibri" w:hAnsi="Calibri"/>
          <w:b/>
          <w:sz w:val="24"/>
        </w:rPr>
        <w:t>CONTACT</w:t>
      </w:r>
    </w:p>
    <w:p w14:paraId="5FF021F0" w14:textId="77777777" w:rsidR="000277FE" w:rsidRDefault="000277FE" w:rsidP="000277FE">
      <w:pPr>
        <w:rPr>
          <w:rFonts w:cs="HelveticaNeue-Light"/>
        </w:rPr>
      </w:pPr>
    </w:p>
    <w:p w14:paraId="1A52D00D" w14:textId="77777777" w:rsidR="000277FE" w:rsidRPr="004D6650" w:rsidRDefault="000277FE" w:rsidP="000277FE">
      <w:pPr>
        <w:rPr>
          <w:rFonts w:cs="HelveticaNeue-Light"/>
        </w:rPr>
      </w:pPr>
      <w:r w:rsidRPr="004D6650">
        <w:rPr>
          <w:rFonts w:cs="HelveticaNeue-Light"/>
        </w:rPr>
        <w:t>Stephanie Gotlib, Chief Executive Officer</w:t>
      </w:r>
    </w:p>
    <w:p w14:paraId="760450B8" w14:textId="77777777" w:rsidR="000277FE" w:rsidRPr="004D6650" w:rsidRDefault="000277FE" w:rsidP="000277FE">
      <w:pPr>
        <w:rPr>
          <w:rFonts w:cs="HelveticaNeue-Light"/>
        </w:rPr>
      </w:pPr>
      <w:r w:rsidRPr="004D6650">
        <w:rPr>
          <w:rFonts w:cs="HelveticaNeue-Light"/>
        </w:rPr>
        <w:t>20 Derby Street, Collingwood VIC 3066</w:t>
      </w:r>
    </w:p>
    <w:p w14:paraId="1E99A66C" w14:textId="77777777" w:rsidR="000277FE" w:rsidRPr="004D6650" w:rsidRDefault="000277FE" w:rsidP="000277FE">
      <w:pPr>
        <w:rPr>
          <w:rFonts w:cs="HelveticaNeue-Light"/>
        </w:rPr>
      </w:pPr>
      <w:r>
        <w:rPr>
          <w:rFonts w:cs="HelveticaNeue-Light"/>
        </w:rPr>
        <w:t>Phone 03 9417 1025</w:t>
      </w:r>
    </w:p>
    <w:p w14:paraId="07922F37" w14:textId="77777777" w:rsidR="000277FE" w:rsidRPr="004D6650" w:rsidRDefault="000277FE" w:rsidP="000277FE">
      <w:pPr>
        <w:rPr>
          <w:rFonts w:cs="HelveticaNeue-Light"/>
        </w:rPr>
      </w:pPr>
      <w:r w:rsidRPr="004D6650">
        <w:rPr>
          <w:rFonts w:cs="HelveticaNeue-Light"/>
        </w:rPr>
        <w:t>stephanieg@cda.org.au</w:t>
      </w:r>
    </w:p>
    <w:p w14:paraId="0E2A0A61" w14:textId="77777777" w:rsidR="000277FE" w:rsidRPr="006178CF" w:rsidRDefault="000277FE" w:rsidP="000277FE">
      <w:r w:rsidRPr="004D6650">
        <w:rPr>
          <w:rFonts w:cs="HelveticaNeue-Light"/>
        </w:rPr>
        <w:t>www.cda.org.au</w:t>
      </w:r>
    </w:p>
    <w:p w14:paraId="7DDCE3F5" w14:textId="77777777" w:rsidR="00E74B92" w:rsidRPr="00A43E76" w:rsidRDefault="00E74B92" w:rsidP="00A43E76">
      <w:pPr>
        <w:rPr>
          <w:rFonts w:ascii="Calibri" w:hAnsi="Calibri"/>
        </w:rPr>
      </w:pPr>
    </w:p>
    <w:sectPr w:rsidR="00E74B92" w:rsidRPr="00A43E76" w:rsidSect="001C37E5">
      <w:footerReference w:type="default" r:id="rId8"/>
      <w:pgSz w:w="11906" w:h="16838"/>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519CEA" w14:textId="77777777" w:rsidR="00C32825" w:rsidRDefault="00C32825" w:rsidP="00862A40">
      <w:r>
        <w:separator/>
      </w:r>
    </w:p>
  </w:endnote>
  <w:endnote w:type="continuationSeparator" w:id="0">
    <w:p w14:paraId="61E0CE5A" w14:textId="77777777" w:rsidR="00C32825" w:rsidRDefault="00C32825" w:rsidP="00862A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HelveticaNeue-Bold">
    <w:altName w:val="Helvetica Neue"/>
    <w:panose1 w:val="00000000000000000000"/>
    <w:charset w:val="4D"/>
    <w:family w:val="auto"/>
    <w:notTrueType/>
    <w:pitch w:val="default"/>
    <w:sig w:usb0="00000003" w:usb1="00000000" w:usb2="00000000" w:usb3="00000000" w:csb0="00000001" w:csb1="00000000"/>
  </w:font>
  <w:font w:name="HelveticaNeue-Light">
    <w:altName w:val="Helvetica Neue Light"/>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C621A7" w14:textId="77777777" w:rsidR="00403D7B" w:rsidRPr="00CF3A78" w:rsidRDefault="00403D7B" w:rsidP="00862A40">
    <w:pPr>
      <w:pStyle w:val="Footer"/>
      <w:pBdr>
        <w:top w:val="thinThickSmallGap" w:sz="24" w:space="1" w:color="823B0B" w:themeColor="accent2" w:themeShade="7F"/>
      </w:pBdr>
      <w:rPr>
        <w:rFonts w:eastAsiaTheme="majorEastAsia" w:cstheme="majorBidi"/>
      </w:rPr>
    </w:pPr>
    <w:r w:rsidRPr="00CF3A78">
      <w:rPr>
        <w:rFonts w:eastAsiaTheme="majorEastAsia" w:cstheme="majorBidi"/>
      </w:rPr>
      <w:t xml:space="preserve">Children </w:t>
    </w:r>
    <w:r>
      <w:rPr>
        <w:rFonts w:eastAsiaTheme="majorEastAsia" w:cstheme="majorBidi"/>
      </w:rPr>
      <w:t xml:space="preserve">and Young People </w:t>
    </w:r>
    <w:r w:rsidRPr="00CF3A78">
      <w:rPr>
        <w:rFonts w:eastAsiaTheme="majorEastAsia" w:cstheme="majorBidi"/>
      </w:rPr>
      <w:t>with Disability Australia</w:t>
    </w:r>
    <w:r w:rsidRPr="00CF3A78">
      <w:rPr>
        <w:rFonts w:eastAsiaTheme="majorEastAsia" w:cstheme="majorBidi"/>
      </w:rPr>
      <w:ptab w:relativeTo="margin" w:alignment="right" w:leader="none"/>
    </w:r>
    <w:r w:rsidRPr="00CF3A78">
      <w:rPr>
        <w:rFonts w:eastAsiaTheme="majorEastAsia" w:cstheme="majorBidi"/>
      </w:rPr>
      <w:t xml:space="preserve">Page </w:t>
    </w:r>
    <w:r w:rsidRPr="00CF3A78">
      <w:rPr>
        <w:rFonts w:eastAsiaTheme="minorEastAsia"/>
      </w:rPr>
      <w:fldChar w:fldCharType="begin"/>
    </w:r>
    <w:r w:rsidRPr="00CF3A78">
      <w:instrText xml:space="preserve"> PAGE   \* MERGEFORMAT </w:instrText>
    </w:r>
    <w:r w:rsidRPr="00CF3A78">
      <w:rPr>
        <w:rFonts w:eastAsiaTheme="minorEastAsia"/>
      </w:rPr>
      <w:fldChar w:fldCharType="separate"/>
    </w:r>
    <w:r w:rsidR="00D15E88" w:rsidRPr="00D15E88">
      <w:rPr>
        <w:rFonts w:eastAsiaTheme="majorEastAsia" w:cstheme="majorBidi"/>
        <w:noProof/>
      </w:rPr>
      <w:t>14</w:t>
    </w:r>
    <w:r w:rsidRPr="00CF3A78">
      <w:rPr>
        <w:rFonts w:eastAsiaTheme="majorEastAsia" w:cstheme="majorBidi"/>
        <w:noProof/>
      </w:rPr>
      <w:fldChar w:fldCharType="end"/>
    </w:r>
  </w:p>
  <w:p w14:paraId="0905F2B7" w14:textId="77777777" w:rsidR="00403D7B" w:rsidRDefault="00403D7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D37BA5" w14:textId="77777777" w:rsidR="00C32825" w:rsidRDefault="00C32825" w:rsidP="00862A40">
      <w:r>
        <w:separator/>
      </w:r>
    </w:p>
  </w:footnote>
  <w:footnote w:type="continuationSeparator" w:id="0">
    <w:p w14:paraId="67E87690" w14:textId="77777777" w:rsidR="00C32825" w:rsidRDefault="00C32825" w:rsidP="00862A40">
      <w:r>
        <w:continuationSeparator/>
      </w:r>
    </w:p>
  </w:footnote>
  <w:footnote w:id="1">
    <w:p w14:paraId="67DAC885" w14:textId="77777777" w:rsidR="00403D7B" w:rsidRDefault="00403D7B">
      <w:pPr>
        <w:pStyle w:val="FootnoteText"/>
      </w:pPr>
      <w:r>
        <w:rPr>
          <w:rStyle w:val="FootnoteReference"/>
        </w:rPr>
        <w:footnoteRef/>
      </w:r>
      <w:r>
        <w:t xml:space="preserve"> United Nations General Assembly 2002, </w:t>
      </w:r>
      <w:r w:rsidRPr="00A4422D">
        <w:rPr>
          <w:i/>
        </w:rPr>
        <w:t>Optional Protocol to the Convention against Torture and other Cruel, Inhuman or Degrading Treatment or Punishment</w:t>
      </w:r>
      <w:r>
        <w:t>, Article 19.</w:t>
      </w:r>
    </w:p>
  </w:footnote>
  <w:footnote w:id="2">
    <w:p w14:paraId="4F4B8955" w14:textId="77777777" w:rsidR="00403D7B" w:rsidRDefault="00403D7B" w:rsidP="00DB4604">
      <w:pPr>
        <w:pStyle w:val="FootnoteText"/>
      </w:pPr>
      <w:r>
        <w:rPr>
          <w:rStyle w:val="FootnoteReference"/>
        </w:rPr>
        <w:footnoteRef/>
      </w:r>
      <w:r>
        <w:t xml:space="preserve"> </w:t>
      </w:r>
      <w:r w:rsidRPr="00C7754F">
        <w:t xml:space="preserve">Australian Psychological Society 2011, </w:t>
      </w:r>
      <w:r w:rsidRPr="00504156">
        <w:rPr>
          <w:i/>
        </w:rPr>
        <w:t>Evidence-</w:t>
      </w:r>
      <w:r>
        <w:rPr>
          <w:i/>
        </w:rPr>
        <w:t>B</w:t>
      </w:r>
      <w:r w:rsidRPr="00504156">
        <w:rPr>
          <w:i/>
        </w:rPr>
        <w:t xml:space="preserve">ased </w:t>
      </w:r>
      <w:r>
        <w:rPr>
          <w:i/>
        </w:rPr>
        <w:t>G</w:t>
      </w:r>
      <w:r w:rsidRPr="00504156">
        <w:rPr>
          <w:i/>
        </w:rPr>
        <w:t xml:space="preserve">uidelines to </w:t>
      </w:r>
      <w:r>
        <w:rPr>
          <w:i/>
        </w:rPr>
        <w:t>R</w:t>
      </w:r>
      <w:r w:rsidRPr="00504156">
        <w:rPr>
          <w:i/>
        </w:rPr>
        <w:t xml:space="preserve">educe the </w:t>
      </w:r>
      <w:r>
        <w:rPr>
          <w:i/>
        </w:rPr>
        <w:t>N</w:t>
      </w:r>
      <w:r w:rsidRPr="00504156">
        <w:rPr>
          <w:i/>
        </w:rPr>
        <w:t xml:space="preserve">eed for </w:t>
      </w:r>
      <w:r>
        <w:rPr>
          <w:i/>
        </w:rPr>
        <w:t>R</w:t>
      </w:r>
      <w:r w:rsidRPr="00504156">
        <w:rPr>
          <w:i/>
        </w:rPr>
        <w:t xml:space="preserve">estrictive </w:t>
      </w:r>
      <w:r>
        <w:rPr>
          <w:i/>
        </w:rPr>
        <w:t>P</w:t>
      </w:r>
      <w:r w:rsidRPr="00504156">
        <w:rPr>
          <w:i/>
        </w:rPr>
        <w:t xml:space="preserve">ractices in the </w:t>
      </w:r>
      <w:r>
        <w:rPr>
          <w:i/>
        </w:rPr>
        <w:t>D</w:t>
      </w:r>
      <w:r w:rsidRPr="00504156">
        <w:rPr>
          <w:i/>
        </w:rPr>
        <w:t xml:space="preserve">isability </w:t>
      </w:r>
      <w:r>
        <w:rPr>
          <w:i/>
        </w:rPr>
        <w:t>S</w:t>
      </w:r>
      <w:r w:rsidRPr="00504156">
        <w:rPr>
          <w:i/>
        </w:rPr>
        <w:t xml:space="preserve">ector, </w:t>
      </w:r>
      <w:r>
        <w:t xml:space="preserve">Melbourne, </w:t>
      </w:r>
      <w:r w:rsidRPr="00C7754F">
        <w:t>p.</w:t>
      </w:r>
      <w:r>
        <w:t xml:space="preserve"> 11.</w:t>
      </w:r>
    </w:p>
  </w:footnote>
  <w:footnote w:id="3">
    <w:p w14:paraId="1FE054C0" w14:textId="77777777" w:rsidR="00403D7B" w:rsidRPr="00740300" w:rsidRDefault="00403D7B">
      <w:pPr>
        <w:pStyle w:val="FootnoteText"/>
      </w:pPr>
      <w:r>
        <w:rPr>
          <w:rStyle w:val="FootnoteReference"/>
        </w:rPr>
        <w:footnoteRef/>
      </w:r>
      <w:r>
        <w:t xml:space="preserve"> B Vownow 2015, ‘</w:t>
      </w:r>
      <w:r w:rsidRPr="00740300">
        <w:t xml:space="preserve">School </w:t>
      </w:r>
      <w:r>
        <w:t>P</w:t>
      </w:r>
      <w:r w:rsidRPr="00740300">
        <w:t xml:space="preserve">uts </w:t>
      </w:r>
      <w:r>
        <w:t>A</w:t>
      </w:r>
      <w:r w:rsidRPr="00740300">
        <w:t xml:space="preserve">utistic </w:t>
      </w:r>
      <w:r>
        <w:t>B</w:t>
      </w:r>
      <w:r w:rsidRPr="00740300">
        <w:t>oy in ‘</w:t>
      </w:r>
      <w:r>
        <w:t>C</w:t>
      </w:r>
      <w:r w:rsidRPr="00740300">
        <w:t xml:space="preserve">ell-like’ </w:t>
      </w:r>
      <w:r>
        <w:t>R</w:t>
      </w:r>
      <w:r w:rsidRPr="00740300">
        <w:t>oom</w:t>
      </w:r>
      <w:r>
        <w:t xml:space="preserve">,’ </w:t>
      </w:r>
      <w:r>
        <w:rPr>
          <w:i/>
        </w:rPr>
        <w:t xml:space="preserve">Courier Mail, </w:t>
      </w:r>
      <w:r>
        <w:t xml:space="preserve">viewed 7 June 2016, </w:t>
      </w:r>
      <w:hyperlink r:id="rId1" w:history="1">
        <w:r w:rsidRPr="005478AF">
          <w:rPr>
            <w:rStyle w:val="Hyperlink"/>
          </w:rPr>
          <w:t>http://goo.gl/Vm3UME</w:t>
        </w:r>
      </w:hyperlink>
      <w:r>
        <w:t xml:space="preserve">. </w:t>
      </w:r>
    </w:p>
  </w:footnote>
  <w:footnote w:id="4">
    <w:p w14:paraId="7C201F8A" w14:textId="77777777" w:rsidR="00403D7B" w:rsidRPr="00870764" w:rsidRDefault="00403D7B" w:rsidP="00DB4604">
      <w:pPr>
        <w:pStyle w:val="FootnoteText"/>
      </w:pPr>
      <w:r>
        <w:rPr>
          <w:rStyle w:val="FootnoteReference"/>
        </w:rPr>
        <w:footnoteRef/>
      </w:r>
      <w:r>
        <w:t xml:space="preserve"> R Brown 2015, ‘</w:t>
      </w:r>
      <w:r w:rsidRPr="005A5F2E">
        <w:t xml:space="preserve">Children with </w:t>
      </w:r>
      <w:r>
        <w:t>A</w:t>
      </w:r>
      <w:r w:rsidRPr="005A5F2E">
        <w:t xml:space="preserve">utism </w:t>
      </w:r>
      <w:r>
        <w:t>C</w:t>
      </w:r>
      <w:r w:rsidRPr="005A5F2E">
        <w:t xml:space="preserve">aged and </w:t>
      </w:r>
      <w:r>
        <w:t>A</w:t>
      </w:r>
      <w:r w:rsidRPr="005A5F2E">
        <w:t xml:space="preserve">bused at </w:t>
      </w:r>
      <w:r>
        <w:t>S</w:t>
      </w:r>
      <w:r w:rsidRPr="005A5F2E">
        <w:t>chool</w:t>
      </w:r>
      <w:r>
        <w:t xml:space="preserve">,’ </w:t>
      </w:r>
      <w:r>
        <w:rPr>
          <w:i/>
        </w:rPr>
        <w:t xml:space="preserve">Sydney Morning Herald, </w:t>
      </w:r>
      <w:r>
        <w:t xml:space="preserve">viewed 7 June 2016, </w:t>
      </w:r>
      <w:hyperlink r:id="rId2" w:history="1">
        <w:r w:rsidRPr="005478AF">
          <w:rPr>
            <w:rStyle w:val="Hyperlink"/>
          </w:rPr>
          <w:t>http://goo.gl/YlDuWl</w:t>
        </w:r>
      </w:hyperlink>
      <w:r>
        <w:t xml:space="preserve">. </w:t>
      </w:r>
    </w:p>
  </w:footnote>
  <w:footnote w:id="5">
    <w:p w14:paraId="7766F082" w14:textId="77777777" w:rsidR="00403D7B" w:rsidRDefault="00403D7B" w:rsidP="00DB4604">
      <w:pPr>
        <w:pStyle w:val="FootnoteText"/>
      </w:pPr>
      <w:r>
        <w:rPr>
          <w:rStyle w:val="FootnoteReference"/>
        </w:rPr>
        <w:footnoteRef/>
      </w:r>
      <w:r>
        <w:t xml:space="preserve"> </w:t>
      </w:r>
      <w:r w:rsidRPr="0007324A">
        <w:rPr>
          <w:i/>
        </w:rPr>
        <w:t>News.com.au</w:t>
      </w:r>
      <w:r>
        <w:t xml:space="preserve"> 2010, ‘</w:t>
      </w:r>
      <w:r w:rsidRPr="005A5F2E">
        <w:t xml:space="preserve">Outrage over Seven Hills West Public School putting </w:t>
      </w:r>
      <w:r>
        <w:t>A</w:t>
      </w:r>
      <w:r w:rsidRPr="005A5F2E">
        <w:t xml:space="preserve">utistic </w:t>
      </w:r>
      <w:r>
        <w:t>C</w:t>
      </w:r>
      <w:r w:rsidRPr="005A5F2E">
        <w:t xml:space="preserve">hildren in </w:t>
      </w:r>
      <w:r>
        <w:t>C</w:t>
      </w:r>
      <w:r w:rsidRPr="005A5F2E">
        <w:t>age</w:t>
      </w:r>
      <w:r>
        <w:t xml:space="preserve">,’ viewed 7 June 2016, </w:t>
      </w:r>
      <w:hyperlink r:id="rId3" w:history="1">
        <w:r w:rsidRPr="005478AF">
          <w:rPr>
            <w:rStyle w:val="Hyperlink"/>
          </w:rPr>
          <w:t>http://goo.gl/Fik0cr</w:t>
        </w:r>
      </w:hyperlink>
      <w:r>
        <w:t xml:space="preserve">. </w:t>
      </w:r>
    </w:p>
  </w:footnote>
  <w:footnote w:id="6">
    <w:p w14:paraId="4325A356" w14:textId="77777777" w:rsidR="00403D7B" w:rsidRPr="00F62526" w:rsidRDefault="00403D7B" w:rsidP="00DB4604">
      <w:pPr>
        <w:pStyle w:val="FootnoteText"/>
        <w:rPr>
          <w:i/>
        </w:rPr>
      </w:pPr>
      <w:r>
        <w:rPr>
          <w:rStyle w:val="FootnoteReference"/>
        </w:rPr>
        <w:footnoteRef/>
      </w:r>
      <w:r>
        <w:t xml:space="preserve"> D Brown 2010, ‘</w:t>
      </w:r>
      <w:r w:rsidRPr="005A5F2E">
        <w:t xml:space="preserve">Autistic </w:t>
      </w:r>
      <w:r>
        <w:t>K</w:t>
      </w:r>
      <w:r w:rsidRPr="005A5F2E">
        <w:t>ids '</w:t>
      </w:r>
      <w:r>
        <w:t>C</w:t>
      </w:r>
      <w:r w:rsidRPr="005A5F2E">
        <w:t xml:space="preserve">aged' at </w:t>
      </w:r>
      <w:r>
        <w:t>S</w:t>
      </w:r>
      <w:r w:rsidRPr="005A5F2E">
        <w:t>chool</w:t>
      </w:r>
      <w:r>
        <w:t>,’</w:t>
      </w:r>
      <w:r>
        <w:rPr>
          <w:i/>
        </w:rPr>
        <w:t xml:space="preserve"> the Mercury.</w:t>
      </w:r>
    </w:p>
  </w:footnote>
  <w:footnote w:id="7">
    <w:p w14:paraId="15F7FAAE" w14:textId="77777777" w:rsidR="00403D7B" w:rsidRDefault="00403D7B" w:rsidP="002B3496">
      <w:pPr>
        <w:pStyle w:val="FootnoteText"/>
      </w:pPr>
      <w:r>
        <w:rPr>
          <w:rStyle w:val="FootnoteReference"/>
        </w:rPr>
        <w:footnoteRef/>
      </w:r>
      <w:r>
        <w:t xml:space="preserve"> </w:t>
      </w:r>
      <w:r w:rsidRPr="00C7754F">
        <w:t xml:space="preserve">Australian Psychological Society 2011, </w:t>
      </w:r>
      <w:r w:rsidRPr="00504156">
        <w:rPr>
          <w:i/>
        </w:rPr>
        <w:t>Evidence-</w:t>
      </w:r>
      <w:r>
        <w:rPr>
          <w:i/>
        </w:rPr>
        <w:t>B</w:t>
      </w:r>
      <w:r w:rsidRPr="00504156">
        <w:rPr>
          <w:i/>
        </w:rPr>
        <w:t xml:space="preserve">ased </w:t>
      </w:r>
      <w:r>
        <w:rPr>
          <w:i/>
        </w:rPr>
        <w:t>G</w:t>
      </w:r>
      <w:r w:rsidRPr="00504156">
        <w:rPr>
          <w:i/>
        </w:rPr>
        <w:t xml:space="preserve">uidelines to </w:t>
      </w:r>
      <w:r>
        <w:rPr>
          <w:i/>
        </w:rPr>
        <w:t>R</w:t>
      </w:r>
      <w:r w:rsidRPr="00504156">
        <w:rPr>
          <w:i/>
        </w:rPr>
        <w:t xml:space="preserve">educe the </w:t>
      </w:r>
      <w:r>
        <w:rPr>
          <w:i/>
        </w:rPr>
        <w:t>N</w:t>
      </w:r>
      <w:r w:rsidRPr="00504156">
        <w:rPr>
          <w:i/>
        </w:rPr>
        <w:t xml:space="preserve">eed for </w:t>
      </w:r>
      <w:r>
        <w:rPr>
          <w:i/>
        </w:rPr>
        <w:t>R</w:t>
      </w:r>
      <w:r w:rsidRPr="00504156">
        <w:rPr>
          <w:i/>
        </w:rPr>
        <w:t xml:space="preserve">estrictive </w:t>
      </w:r>
      <w:r>
        <w:rPr>
          <w:i/>
        </w:rPr>
        <w:t>P</w:t>
      </w:r>
      <w:r w:rsidRPr="00504156">
        <w:rPr>
          <w:i/>
        </w:rPr>
        <w:t xml:space="preserve">ractices in the </w:t>
      </w:r>
      <w:r>
        <w:rPr>
          <w:i/>
        </w:rPr>
        <w:t>D</w:t>
      </w:r>
      <w:r w:rsidRPr="00504156">
        <w:rPr>
          <w:i/>
        </w:rPr>
        <w:t xml:space="preserve">isability </w:t>
      </w:r>
      <w:r>
        <w:rPr>
          <w:i/>
        </w:rPr>
        <w:t>S</w:t>
      </w:r>
      <w:r w:rsidRPr="00504156">
        <w:rPr>
          <w:i/>
        </w:rPr>
        <w:t xml:space="preserve">ector, </w:t>
      </w:r>
      <w:r w:rsidRPr="00C7754F">
        <w:t>p. 11.</w:t>
      </w:r>
    </w:p>
  </w:footnote>
  <w:footnote w:id="8">
    <w:p w14:paraId="65588FEB" w14:textId="77777777" w:rsidR="00403D7B" w:rsidRDefault="00403D7B">
      <w:pPr>
        <w:pStyle w:val="FootnoteText"/>
      </w:pPr>
      <w:r>
        <w:rPr>
          <w:rStyle w:val="FootnoteReference"/>
        </w:rPr>
        <w:footnoteRef/>
      </w:r>
      <w:r>
        <w:t xml:space="preserve"> Ibid, p. 11.</w:t>
      </w:r>
    </w:p>
  </w:footnote>
  <w:footnote w:id="9">
    <w:p w14:paraId="119618BE" w14:textId="77777777" w:rsidR="00403D7B" w:rsidRPr="00081787" w:rsidRDefault="00403D7B">
      <w:pPr>
        <w:pStyle w:val="FootnoteText"/>
      </w:pPr>
      <w:r>
        <w:rPr>
          <w:rStyle w:val="FootnoteReference"/>
        </w:rPr>
        <w:footnoteRef/>
      </w:r>
      <w:r>
        <w:t xml:space="preserve"> R Morton 2016, ‘</w:t>
      </w:r>
      <w:r w:rsidR="001C04BF">
        <w:t>Uber Could Replace School Buses for Disabled C</w:t>
      </w:r>
      <w:r w:rsidRPr="007D3DBB">
        <w:t>hildren</w:t>
      </w:r>
      <w:r>
        <w:t xml:space="preserve">,’ </w:t>
      </w:r>
      <w:r>
        <w:rPr>
          <w:i/>
        </w:rPr>
        <w:t xml:space="preserve">The Australian, </w:t>
      </w:r>
      <w:r>
        <w:t xml:space="preserve">viewed 9 June 2016, </w:t>
      </w:r>
      <w:hyperlink r:id="rId4" w:history="1">
        <w:r w:rsidRPr="00171030">
          <w:rPr>
            <w:rStyle w:val="Hyperlink"/>
          </w:rPr>
          <w:t>http://goo.gl/ngV2qx</w:t>
        </w:r>
      </w:hyperlink>
      <w:r>
        <w:t xml:space="preserve">. </w:t>
      </w:r>
    </w:p>
  </w:footnote>
  <w:footnote w:id="10">
    <w:p w14:paraId="463FF9DB" w14:textId="77777777" w:rsidR="00403D7B" w:rsidRDefault="00403D7B">
      <w:pPr>
        <w:pStyle w:val="FootnoteText"/>
      </w:pPr>
      <w:r>
        <w:rPr>
          <w:rStyle w:val="FootnoteReference"/>
        </w:rPr>
        <w:footnoteRef/>
      </w:r>
      <w:r>
        <w:t xml:space="preserve"> Department of Immigration and Border Protection 2016, </w:t>
      </w:r>
      <w:r>
        <w:rPr>
          <w:i/>
        </w:rPr>
        <w:t xml:space="preserve">Immigration Detention and Community Statistics Summary, </w:t>
      </w:r>
      <w:r>
        <w:t>Commonwealth of Australia, Canberra, p. 10.</w:t>
      </w:r>
    </w:p>
  </w:footnote>
  <w:footnote w:id="11">
    <w:p w14:paraId="4B3D5638" w14:textId="77777777" w:rsidR="00FC5EBE" w:rsidRPr="00D35C41" w:rsidRDefault="00FC5EBE" w:rsidP="00FC5EBE">
      <w:pPr>
        <w:pStyle w:val="FootnoteText"/>
        <w:rPr>
          <w:lang w:val="en-US"/>
        </w:rPr>
      </w:pPr>
      <w:r>
        <w:rPr>
          <w:rStyle w:val="FootnoteReference"/>
        </w:rPr>
        <w:footnoteRef/>
      </w:r>
      <w:r>
        <w:t xml:space="preserve"> </w:t>
      </w:r>
      <w:r>
        <w:rPr>
          <w:lang w:val="en-US"/>
        </w:rPr>
        <w:t xml:space="preserve">Department of Immigration and Border Protection, cited in J Flanagan 2014, </w:t>
      </w:r>
      <w:r>
        <w:rPr>
          <w:i/>
          <w:lang w:val="en-US"/>
        </w:rPr>
        <w:t xml:space="preserve">The plight of people living with disabilities within Australian immigration detention: Demonised, detained and disowned, </w:t>
      </w:r>
      <w:r>
        <w:rPr>
          <w:lang w:val="en-US"/>
        </w:rPr>
        <w:t>National Ethnic Disability Alliance, Civic Square, p. 17.</w:t>
      </w:r>
    </w:p>
  </w:footnote>
  <w:footnote w:id="12">
    <w:p w14:paraId="1F610F51" w14:textId="77777777" w:rsidR="00403D7B" w:rsidRPr="001C04BF" w:rsidRDefault="00403D7B">
      <w:pPr>
        <w:pStyle w:val="FootnoteText"/>
      </w:pPr>
      <w:r w:rsidRPr="001C04BF">
        <w:rPr>
          <w:rStyle w:val="FootnoteReference"/>
        </w:rPr>
        <w:footnoteRef/>
      </w:r>
      <w:r w:rsidRPr="001C04BF">
        <w:t xml:space="preserve"> </w:t>
      </w:r>
      <w:r w:rsidR="001C04BF">
        <w:t xml:space="preserve">Australian Human Rights Commission 2014, </w:t>
      </w:r>
      <w:r w:rsidR="001C04BF" w:rsidRPr="0007324A">
        <w:rPr>
          <w:i/>
        </w:rPr>
        <w:t>The Forgotten Children: National Inquiry into Children in Immigration Detention</w:t>
      </w:r>
      <w:r w:rsidR="001C04BF">
        <w:rPr>
          <w:i/>
        </w:rPr>
        <w:t xml:space="preserve">, </w:t>
      </w:r>
      <w:r w:rsidR="001C04BF">
        <w:t>Sydney.</w:t>
      </w:r>
    </w:p>
  </w:footnote>
  <w:footnote w:id="13">
    <w:p w14:paraId="69955836" w14:textId="0E32B559" w:rsidR="00403D7B" w:rsidRPr="003D7887" w:rsidRDefault="00403D7B" w:rsidP="00A34FEE">
      <w:pPr>
        <w:pStyle w:val="FootnoteText"/>
      </w:pPr>
      <w:r w:rsidRPr="00245037">
        <w:rPr>
          <w:rStyle w:val="FootnoteReference"/>
        </w:rPr>
        <w:footnoteRef/>
      </w:r>
      <w:r w:rsidRPr="00245037">
        <w:t xml:space="preserve"> L Haysom et al. 2014, ‘Intellectual </w:t>
      </w:r>
      <w:r w:rsidR="001C04BF">
        <w:t>D</w:t>
      </w:r>
      <w:r w:rsidRPr="00245037">
        <w:t xml:space="preserve">isability in </w:t>
      </w:r>
      <w:r w:rsidR="001C04BF">
        <w:t>Y</w:t>
      </w:r>
      <w:r w:rsidRPr="00245037">
        <w:t xml:space="preserve">oung </w:t>
      </w:r>
      <w:r w:rsidR="001C04BF">
        <w:t>P</w:t>
      </w:r>
      <w:r w:rsidRPr="00245037">
        <w:t xml:space="preserve">eople in </w:t>
      </w:r>
      <w:r w:rsidR="001C04BF">
        <w:t>C</w:t>
      </w:r>
      <w:r w:rsidRPr="00245037">
        <w:t xml:space="preserve">ustody in New South Wales, Australia – </w:t>
      </w:r>
      <w:r w:rsidR="001C04BF">
        <w:t>P</w:t>
      </w:r>
      <w:r w:rsidRPr="003D7887">
        <w:t xml:space="preserve">revalence and </w:t>
      </w:r>
      <w:r w:rsidR="001C04BF">
        <w:t>M</w:t>
      </w:r>
      <w:r w:rsidRPr="003D7887">
        <w:t xml:space="preserve">arkers,’ </w:t>
      </w:r>
      <w:r w:rsidR="00C1434D">
        <w:rPr>
          <w:i/>
        </w:rPr>
        <w:t>Journal of Intellectual Disability R</w:t>
      </w:r>
      <w:r w:rsidRPr="003D7887">
        <w:rPr>
          <w:i/>
        </w:rPr>
        <w:t xml:space="preserve">esearch, </w:t>
      </w:r>
      <w:r w:rsidRPr="003D7887">
        <w:t>Vol. 58, No. 11, p. 1005.</w:t>
      </w:r>
    </w:p>
  </w:footnote>
  <w:footnote w:id="14">
    <w:p w14:paraId="2165FBE4" w14:textId="17AB8078" w:rsidR="00403D7B" w:rsidRPr="00245037" w:rsidRDefault="00403D7B" w:rsidP="00E432CA">
      <w:pPr>
        <w:pStyle w:val="FootnoteText"/>
      </w:pPr>
      <w:r w:rsidRPr="00245037">
        <w:rPr>
          <w:rStyle w:val="FootnoteReference"/>
        </w:rPr>
        <w:footnoteRef/>
      </w:r>
      <w:r w:rsidRPr="00245037">
        <w:t xml:space="preserve"> K Tyler 2015, ‘Shining a </w:t>
      </w:r>
      <w:r w:rsidR="001C04BF">
        <w:t>L</w:t>
      </w:r>
      <w:r w:rsidRPr="00245037">
        <w:t xml:space="preserve">ight into the </w:t>
      </w:r>
      <w:r w:rsidR="001C04BF">
        <w:t>S</w:t>
      </w:r>
      <w:r w:rsidRPr="00245037">
        <w:t xml:space="preserve">hadows: The </w:t>
      </w:r>
      <w:r w:rsidR="001C04BF">
        <w:t>H</w:t>
      </w:r>
      <w:r w:rsidRPr="00245037">
        <w:t xml:space="preserve">idden </w:t>
      </w:r>
      <w:r w:rsidR="001C04BF">
        <w:t>H</w:t>
      </w:r>
      <w:r w:rsidRPr="00245037">
        <w:t xml:space="preserve">ealth </w:t>
      </w:r>
      <w:r w:rsidR="001C04BF">
        <w:t>N</w:t>
      </w:r>
      <w:r w:rsidRPr="00245037">
        <w:t xml:space="preserve">eeds of </w:t>
      </w:r>
      <w:r w:rsidR="001C04BF">
        <w:t>J</w:t>
      </w:r>
      <w:r w:rsidRPr="00245037">
        <w:t xml:space="preserve">uveniles in </w:t>
      </w:r>
      <w:r w:rsidR="001C04BF">
        <w:t>D</w:t>
      </w:r>
      <w:r w:rsidRPr="00245037">
        <w:t xml:space="preserve">etention,’ </w:t>
      </w:r>
      <w:r w:rsidR="00C1434D">
        <w:rPr>
          <w:i/>
        </w:rPr>
        <w:t>Alternative Law J</w:t>
      </w:r>
      <w:r w:rsidRPr="00245037">
        <w:rPr>
          <w:i/>
        </w:rPr>
        <w:t>ournal</w:t>
      </w:r>
      <w:r w:rsidRPr="00245037">
        <w:t>, Vol</w:t>
      </w:r>
      <w:r>
        <w:t>.</w:t>
      </w:r>
      <w:r w:rsidRPr="00245037">
        <w:t xml:space="preserve"> 30, No.</w:t>
      </w:r>
      <w:r>
        <w:t xml:space="preserve"> </w:t>
      </w:r>
      <w:r w:rsidRPr="00245037">
        <w:t>2, p. 102.</w:t>
      </w:r>
    </w:p>
  </w:footnote>
  <w:footnote w:id="15">
    <w:p w14:paraId="607D1F5C" w14:textId="4C0CDA57" w:rsidR="00403D7B" w:rsidRPr="001C04BF" w:rsidRDefault="00403D7B">
      <w:pPr>
        <w:pStyle w:val="FootnoteText"/>
      </w:pPr>
      <w:r w:rsidRPr="001C04BF">
        <w:rPr>
          <w:rStyle w:val="FootnoteReference"/>
        </w:rPr>
        <w:footnoteRef/>
      </w:r>
      <w:r w:rsidRPr="001C04BF">
        <w:t xml:space="preserve"> </w:t>
      </w:r>
      <w:r w:rsidR="001C04BF">
        <w:t xml:space="preserve">Australian Institute of Health and Welfare 2012, </w:t>
      </w:r>
      <w:r w:rsidR="00C1434D">
        <w:rPr>
          <w:i/>
        </w:rPr>
        <w:t>Children and Young people at R</w:t>
      </w:r>
      <w:r w:rsidR="008D7334">
        <w:rPr>
          <w:i/>
        </w:rPr>
        <w:t>isk of Social Exclusion: Links Between Homelessness, Child Protection and Juvenile J</w:t>
      </w:r>
      <w:r w:rsidR="001C04BF" w:rsidRPr="0007324A">
        <w:rPr>
          <w:i/>
        </w:rPr>
        <w:t>ustice</w:t>
      </w:r>
      <w:r w:rsidR="001C04BF">
        <w:rPr>
          <w:i/>
        </w:rPr>
        <w:t xml:space="preserve">, </w:t>
      </w:r>
      <w:r w:rsidR="001C04BF">
        <w:t xml:space="preserve">Commonwealth of Australia, Canberra, J Cashmore 2011, </w:t>
      </w:r>
      <w:r w:rsidR="008D7334">
        <w:rPr>
          <w:i/>
        </w:rPr>
        <w:t>The Link Between Child M</w:t>
      </w:r>
      <w:r w:rsidR="001C04BF" w:rsidRPr="0007324A">
        <w:rPr>
          <w:i/>
        </w:rPr>
        <w:t>altreat</w:t>
      </w:r>
      <w:r w:rsidR="008D7334">
        <w:rPr>
          <w:i/>
        </w:rPr>
        <w:t>ment and Adolescent O</w:t>
      </w:r>
      <w:r w:rsidR="001C04BF" w:rsidRPr="0007324A">
        <w:rPr>
          <w:i/>
        </w:rPr>
        <w:t>ffending</w:t>
      </w:r>
      <w:r w:rsidR="008D7334">
        <w:rPr>
          <w:i/>
        </w:rPr>
        <w:t>: Systems Neglect of A</w:t>
      </w:r>
      <w:r w:rsidR="001C04BF" w:rsidRPr="0007324A">
        <w:rPr>
          <w:i/>
        </w:rPr>
        <w:t>dolescents</w:t>
      </w:r>
      <w:r w:rsidR="001C04BF">
        <w:rPr>
          <w:i/>
        </w:rPr>
        <w:t xml:space="preserve">, </w:t>
      </w:r>
      <w:r w:rsidR="001C04BF">
        <w:t>Australian Institute of Family Studies, Melbourne.</w:t>
      </w:r>
    </w:p>
  </w:footnote>
  <w:footnote w:id="16">
    <w:p w14:paraId="3B28FBD7" w14:textId="3F0BB96B" w:rsidR="00403D7B" w:rsidRDefault="00403D7B" w:rsidP="00627AF8">
      <w:pPr>
        <w:pStyle w:val="FootnoteText"/>
      </w:pPr>
      <w:r w:rsidRPr="00680277">
        <w:rPr>
          <w:rStyle w:val="FootnoteReference"/>
        </w:rPr>
        <w:footnoteRef/>
      </w:r>
      <w:r w:rsidRPr="7A6DAA93">
        <w:t xml:space="preserve"> </w:t>
      </w:r>
      <w:r w:rsidRPr="00680277">
        <w:rPr>
          <w:rFonts w:ascii="Calibri" w:eastAsia="Calibri" w:hAnsi="Calibri" w:cs="Calibri"/>
        </w:rPr>
        <w:t xml:space="preserve">Victorian Equal Opportunity and Human Rights Commission 2012, </w:t>
      </w:r>
      <w:r w:rsidR="008D7334">
        <w:rPr>
          <w:rFonts w:ascii="Calibri" w:eastAsia="Calibri" w:hAnsi="Calibri" w:cs="Calibri"/>
          <w:i/>
          <w:iCs/>
        </w:rPr>
        <w:t>Desperate Measures: The Relinquishment of Children with Disability into State C</w:t>
      </w:r>
      <w:r w:rsidRPr="00680277">
        <w:rPr>
          <w:rFonts w:ascii="Calibri" w:eastAsia="Calibri" w:hAnsi="Calibri" w:cs="Calibri"/>
          <w:i/>
          <w:iCs/>
        </w:rPr>
        <w:t xml:space="preserve">are in Victoria, </w:t>
      </w:r>
      <w:r>
        <w:rPr>
          <w:rFonts w:ascii="Calibri" w:eastAsia="Calibri" w:hAnsi="Calibri" w:cs="Calibri"/>
        </w:rPr>
        <w:t xml:space="preserve">Carlton, p. 7, </w:t>
      </w:r>
      <w:r>
        <w:t xml:space="preserve">CREATE Foundation 2013, </w:t>
      </w:r>
      <w:r w:rsidR="008D7334">
        <w:rPr>
          <w:i/>
        </w:rPr>
        <w:t>Experiencing Out of Home Care in Australia: The Views of Children and Young P</w:t>
      </w:r>
      <w:r>
        <w:rPr>
          <w:i/>
        </w:rPr>
        <w:t xml:space="preserve">eople, </w:t>
      </w:r>
      <w:r>
        <w:t xml:space="preserve">Brisbane, p. 14, G Mitchell 2013, </w:t>
      </w:r>
      <w:r w:rsidR="008D7334">
        <w:rPr>
          <w:i/>
        </w:rPr>
        <w:t>Children with Disabilities using Child and Family Welfare S</w:t>
      </w:r>
      <w:r w:rsidRPr="00680277">
        <w:rPr>
          <w:i/>
        </w:rPr>
        <w:t>ervices, Melbourne</w:t>
      </w:r>
      <w:r>
        <w:t>, OzChild, South Melbourne, p. 2.</w:t>
      </w:r>
    </w:p>
  </w:footnote>
  <w:footnote w:id="17">
    <w:p w14:paraId="2E5244C4" w14:textId="25F5F7D7" w:rsidR="00403D7B" w:rsidRPr="00C95519" w:rsidRDefault="00403D7B" w:rsidP="00627AF8">
      <w:pPr>
        <w:pStyle w:val="FootnoteText"/>
        <w:rPr>
          <w:szCs w:val="18"/>
        </w:rPr>
      </w:pPr>
      <w:r w:rsidRPr="00C95519">
        <w:rPr>
          <w:rStyle w:val="FootnoteReference"/>
          <w:szCs w:val="18"/>
        </w:rPr>
        <w:footnoteRef/>
      </w:r>
      <w:r w:rsidRPr="00C95519">
        <w:rPr>
          <w:szCs w:val="18"/>
        </w:rPr>
        <w:t xml:space="preserve"> </w:t>
      </w:r>
      <w:r w:rsidR="008D7334" w:rsidRPr="00AF288B">
        <w:t xml:space="preserve">Australian Bureau of Statistics </w:t>
      </w:r>
      <w:r w:rsidR="008D7334">
        <w:t>2016, ‘</w:t>
      </w:r>
      <w:r w:rsidR="008D7334" w:rsidRPr="00BE2652">
        <w:t xml:space="preserve">Table </w:t>
      </w:r>
      <w:r w:rsidR="008D7334">
        <w:t>1.1 Persons with D</w:t>
      </w:r>
      <w:r w:rsidR="008D7334" w:rsidRPr="00BE2652">
        <w:t xml:space="preserve">isability, by </w:t>
      </w:r>
      <w:r w:rsidR="008D7334">
        <w:t>Age and Sex–2003, 2009, 2012 and 2015, E</w:t>
      </w:r>
      <w:r w:rsidR="008D7334" w:rsidRPr="00BE2652">
        <w:t>stimate</w:t>
      </w:r>
      <w:r w:rsidR="008D7334">
        <w:t xml:space="preserve">,’ </w:t>
      </w:r>
      <w:r w:rsidR="008D7334" w:rsidRPr="00322EA0">
        <w:rPr>
          <w:i/>
        </w:rPr>
        <w:t>Disability, Ageing and Carers, Australia: First Results, 2015</w:t>
      </w:r>
      <w:r w:rsidR="008D7334">
        <w:rPr>
          <w:i/>
        </w:rPr>
        <w:t xml:space="preserve">, </w:t>
      </w:r>
      <w:r w:rsidR="008D7334">
        <w:t>Commonwealth of Australia, Canberra.</w:t>
      </w:r>
    </w:p>
  </w:footnote>
  <w:footnote w:id="18">
    <w:p w14:paraId="2524EEFE" w14:textId="7959175A" w:rsidR="008C75C1" w:rsidRDefault="008C75C1">
      <w:pPr>
        <w:pStyle w:val="FootnoteText"/>
      </w:pPr>
      <w:r>
        <w:rPr>
          <w:rStyle w:val="FootnoteReference"/>
        </w:rPr>
        <w:footnoteRef/>
      </w:r>
      <w:r>
        <w:t xml:space="preserve"> Australian Institute of Health and Welfare 2012, </w:t>
      </w:r>
      <w:r w:rsidR="008D7334">
        <w:rPr>
          <w:i/>
        </w:rPr>
        <w:t>Children and Young P</w:t>
      </w:r>
      <w:r w:rsidRPr="0007324A">
        <w:rPr>
          <w:i/>
        </w:rPr>
        <w:t xml:space="preserve">eople at </w:t>
      </w:r>
      <w:r w:rsidR="008D7334">
        <w:rPr>
          <w:i/>
        </w:rPr>
        <w:t>Risk of Social Exclusion: Links Between Homelessness, Child Protection and Juvenile J</w:t>
      </w:r>
      <w:r w:rsidRPr="0007324A">
        <w:rPr>
          <w:i/>
        </w:rPr>
        <w:t>ustice</w:t>
      </w:r>
      <w:r>
        <w:rPr>
          <w:i/>
        </w:rPr>
        <w:t xml:space="preserve">, </w:t>
      </w:r>
      <w:r>
        <w:t>Commonwealth of Australia.</w:t>
      </w:r>
    </w:p>
  </w:footnote>
  <w:footnote w:id="19">
    <w:p w14:paraId="14F14D4F" w14:textId="77777777" w:rsidR="000B13B7" w:rsidRPr="000B13B7" w:rsidRDefault="000B13B7">
      <w:pPr>
        <w:pStyle w:val="FootnoteText"/>
      </w:pPr>
      <w:r>
        <w:rPr>
          <w:rStyle w:val="FootnoteReference"/>
        </w:rPr>
        <w:footnoteRef/>
      </w:r>
      <w:r>
        <w:t xml:space="preserve"> Australian Child Rights Taskforce 2016, </w:t>
      </w:r>
      <w:r w:rsidRPr="006A26B8">
        <w:rPr>
          <w:i/>
        </w:rPr>
        <w:t>Australian Child Rights Progress Report</w:t>
      </w:r>
      <w:r>
        <w:rPr>
          <w:i/>
        </w:rPr>
        <w:t>:</w:t>
      </w:r>
      <w:r w:rsidRPr="006A26B8">
        <w:rPr>
          <w:i/>
        </w:rPr>
        <w:t xml:space="preserve"> A report on 25 years of the UN Convention on the Rights of the Child in Australia</w:t>
      </w:r>
      <w:r>
        <w:t>, UNICEF Australia, Sydney, p. 70.</w:t>
      </w:r>
    </w:p>
  </w:footnote>
  <w:footnote w:id="20">
    <w:p w14:paraId="082F8AAC" w14:textId="77777777" w:rsidR="00403D7B" w:rsidRDefault="00403D7B">
      <w:pPr>
        <w:pStyle w:val="FootnoteText"/>
      </w:pPr>
      <w:r>
        <w:rPr>
          <w:rStyle w:val="FootnoteReference"/>
        </w:rPr>
        <w:footnoteRef/>
      </w:r>
      <w:r>
        <w:t xml:space="preserve"> </w:t>
      </w:r>
      <w:r w:rsidR="008122B1">
        <w:t xml:space="preserve">United Nations General Assembly 1989, </w:t>
      </w:r>
      <w:r w:rsidR="008122B1">
        <w:rPr>
          <w:i/>
        </w:rPr>
        <w:t xml:space="preserve">Convention on the Rights of the Child, </w:t>
      </w:r>
      <w:r>
        <w:t>Article 3.</w:t>
      </w:r>
    </w:p>
  </w:footnote>
  <w:footnote w:id="21">
    <w:p w14:paraId="22E79A17" w14:textId="77777777" w:rsidR="00403D7B" w:rsidRDefault="00403D7B">
      <w:pPr>
        <w:pStyle w:val="FootnoteText"/>
      </w:pPr>
      <w:r>
        <w:rPr>
          <w:rStyle w:val="FootnoteReference"/>
        </w:rPr>
        <w:footnoteRef/>
      </w:r>
      <w:r w:rsidR="008122B1">
        <w:t xml:space="preserve"> Royal Commission </w:t>
      </w:r>
      <w:r w:rsidR="001256D9">
        <w:t>i</w:t>
      </w:r>
      <w:r w:rsidR="008122B1">
        <w:t>nto Institutional Responses to Child Sexual Abuse</w:t>
      </w:r>
      <w:r>
        <w:t xml:space="preserve"> </w:t>
      </w:r>
      <w:r w:rsidR="008122B1">
        <w:t xml:space="preserve">2016, </w:t>
      </w:r>
      <w:r w:rsidR="008122B1">
        <w:rPr>
          <w:i/>
        </w:rPr>
        <w:t xml:space="preserve">Consultation Paper: Institutional Responses to Child Sexual Abuse in Out of Home Care, </w:t>
      </w:r>
      <w:r w:rsidR="008122B1">
        <w:t>Commonwealth of Australia, Canberra, pp. 83-87.</w:t>
      </w:r>
    </w:p>
  </w:footnote>
  <w:footnote w:id="22">
    <w:p w14:paraId="2A0F2146" w14:textId="77777777" w:rsidR="00403D7B" w:rsidRDefault="00403D7B">
      <w:pPr>
        <w:pStyle w:val="FootnoteText"/>
      </w:pPr>
      <w:r>
        <w:rPr>
          <w:rStyle w:val="FootnoteReference"/>
        </w:rPr>
        <w:footnoteRef/>
      </w:r>
      <w:r>
        <w:t xml:space="preserve"> United Nations General Assembly 2002, </w:t>
      </w:r>
      <w:r w:rsidRPr="00056407">
        <w:rPr>
          <w:i/>
        </w:rPr>
        <w:t>Optional Protocol to the Convention against Torture and other Cruel, Inhuman or Degrading Treatment or Punishment</w:t>
      </w:r>
      <w:r>
        <w:t>, Article 1.</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DB5E8F"/>
    <w:multiLevelType w:val="hybridMultilevel"/>
    <w:tmpl w:val="C97060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BC41903"/>
    <w:multiLevelType w:val="hybridMultilevel"/>
    <w:tmpl w:val="58C62E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8930740"/>
    <w:multiLevelType w:val="hybridMultilevel"/>
    <w:tmpl w:val="85D244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23687BE1"/>
    <w:multiLevelType w:val="hybridMultilevel"/>
    <w:tmpl w:val="972CFE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29C345AD"/>
    <w:multiLevelType w:val="hybridMultilevel"/>
    <w:tmpl w:val="09961E14"/>
    <w:lvl w:ilvl="0" w:tplc="2E888A80">
      <w:start w:val="1"/>
      <w:numFmt w:val="decimal"/>
      <w:lvlText w:val="%1."/>
      <w:lvlJc w:val="left"/>
      <w:pPr>
        <w:ind w:left="720" w:hanging="360"/>
      </w:pPr>
      <w:rPr>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2D8F7F27"/>
    <w:multiLevelType w:val="hybridMultilevel"/>
    <w:tmpl w:val="05F6FACC"/>
    <w:lvl w:ilvl="0" w:tplc="1A3E11B8">
      <w:numFmt w:val="bullet"/>
      <w:lvlText w:val="-"/>
      <w:lvlJc w:val="left"/>
      <w:pPr>
        <w:ind w:left="1080" w:hanging="360"/>
      </w:pPr>
      <w:rPr>
        <w:rFonts w:ascii="Calibri" w:eastAsiaTheme="minorHAnsi" w:hAnsi="Calibri" w:cstheme="minorBidi"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6" w15:restartNumberingAfterBreak="0">
    <w:nsid w:val="4A183986"/>
    <w:multiLevelType w:val="hybridMultilevel"/>
    <w:tmpl w:val="A91041EA"/>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7" w15:restartNumberingAfterBreak="0">
    <w:nsid w:val="6B9B76D2"/>
    <w:multiLevelType w:val="hybridMultilevel"/>
    <w:tmpl w:val="3B8CBE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75DA0930"/>
    <w:multiLevelType w:val="hybridMultilevel"/>
    <w:tmpl w:val="4A400202"/>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num w:numId="1">
    <w:abstractNumId w:val="1"/>
  </w:num>
  <w:num w:numId="2">
    <w:abstractNumId w:val="0"/>
  </w:num>
  <w:num w:numId="3">
    <w:abstractNumId w:val="2"/>
  </w:num>
  <w:num w:numId="4">
    <w:abstractNumId w:val="6"/>
  </w:num>
  <w:num w:numId="5">
    <w:abstractNumId w:val="8"/>
  </w:num>
  <w:num w:numId="6">
    <w:abstractNumId w:val="5"/>
  </w:num>
  <w:num w:numId="7">
    <w:abstractNumId w:val="4"/>
  </w:num>
  <w:num w:numId="8">
    <w:abstractNumId w:val="7"/>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2A40"/>
    <w:rsid w:val="00000E08"/>
    <w:rsid w:val="000277FE"/>
    <w:rsid w:val="00045913"/>
    <w:rsid w:val="0007324A"/>
    <w:rsid w:val="0007405A"/>
    <w:rsid w:val="00075B5A"/>
    <w:rsid w:val="00080084"/>
    <w:rsid w:val="00081787"/>
    <w:rsid w:val="000B13B7"/>
    <w:rsid w:val="000C3109"/>
    <w:rsid w:val="000C5A61"/>
    <w:rsid w:val="000D6499"/>
    <w:rsid w:val="000E522C"/>
    <w:rsid w:val="000E65E0"/>
    <w:rsid w:val="000F20B8"/>
    <w:rsid w:val="000F2AE2"/>
    <w:rsid w:val="001055E0"/>
    <w:rsid w:val="001256D9"/>
    <w:rsid w:val="00127A77"/>
    <w:rsid w:val="001424E5"/>
    <w:rsid w:val="00147B99"/>
    <w:rsid w:val="001573EB"/>
    <w:rsid w:val="00180A38"/>
    <w:rsid w:val="001A1100"/>
    <w:rsid w:val="001B7966"/>
    <w:rsid w:val="001C04BF"/>
    <w:rsid w:val="001C37E5"/>
    <w:rsid w:val="001D19F2"/>
    <w:rsid w:val="001E75B8"/>
    <w:rsid w:val="00202016"/>
    <w:rsid w:val="00210E69"/>
    <w:rsid w:val="0021281D"/>
    <w:rsid w:val="002304CB"/>
    <w:rsid w:val="00280719"/>
    <w:rsid w:val="00286862"/>
    <w:rsid w:val="00286D8E"/>
    <w:rsid w:val="0029599D"/>
    <w:rsid w:val="002B3496"/>
    <w:rsid w:val="003117B1"/>
    <w:rsid w:val="003B5FD7"/>
    <w:rsid w:val="003C0CC9"/>
    <w:rsid w:val="003D3E11"/>
    <w:rsid w:val="003F001F"/>
    <w:rsid w:val="00403D7B"/>
    <w:rsid w:val="00403DA1"/>
    <w:rsid w:val="004869A0"/>
    <w:rsid w:val="00495A83"/>
    <w:rsid w:val="004B38DE"/>
    <w:rsid w:val="004D6B93"/>
    <w:rsid w:val="004F2C54"/>
    <w:rsid w:val="0055083A"/>
    <w:rsid w:val="005A5E60"/>
    <w:rsid w:val="005B58E1"/>
    <w:rsid w:val="005D697C"/>
    <w:rsid w:val="00611427"/>
    <w:rsid w:val="00616EB5"/>
    <w:rsid w:val="00627AF8"/>
    <w:rsid w:val="00637AD5"/>
    <w:rsid w:val="00645572"/>
    <w:rsid w:val="00646E99"/>
    <w:rsid w:val="00652BC7"/>
    <w:rsid w:val="006534E1"/>
    <w:rsid w:val="00656536"/>
    <w:rsid w:val="00686BDA"/>
    <w:rsid w:val="006A26B8"/>
    <w:rsid w:val="006A5D44"/>
    <w:rsid w:val="007121E5"/>
    <w:rsid w:val="0071397B"/>
    <w:rsid w:val="00721AF5"/>
    <w:rsid w:val="00740300"/>
    <w:rsid w:val="0074674C"/>
    <w:rsid w:val="007A5EFC"/>
    <w:rsid w:val="007C1E3C"/>
    <w:rsid w:val="007C4D3A"/>
    <w:rsid w:val="007D3DBB"/>
    <w:rsid w:val="007F5EF7"/>
    <w:rsid w:val="00810DCC"/>
    <w:rsid w:val="008122B1"/>
    <w:rsid w:val="00812CCC"/>
    <w:rsid w:val="0081716E"/>
    <w:rsid w:val="00824895"/>
    <w:rsid w:val="00824CA9"/>
    <w:rsid w:val="0082705D"/>
    <w:rsid w:val="00862A40"/>
    <w:rsid w:val="008A19D3"/>
    <w:rsid w:val="008A63A7"/>
    <w:rsid w:val="008B5819"/>
    <w:rsid w:val="008C75C1"/>
    <w:rsid w:val="008D7334"/>
    <w:rsid w:val="009869F7"/>
    <w:rsid w:val="00991982"/>
    <w:rsid w:val="00995697"/>
    <w:rsid w:val="009C7FC4"/>
    <w:rsid w:val="009D03AD"/>
    <w:rsid w:val="009F07D8"/>
    <w:rsid w:val="00A224EF"/>
    <w:rsid w:val="00A34FEE"/>
    <w:rsid w:val="00A43E76"/>
    <w:rsid w:val="00A4422D"/>
    <w:rsid w:val="00A810DD"/>
    <w:rsid w:val="00AC2CC2"/>
    <w:rsid w:val="00AF699D"/>
    <w:rsid w:val="00B7651E"/>
    <w:rsid w:val="00B77507"/>
    <w:rsid w:val="00BA4056"/>
    <w:rsid w:val="00BB5F8B"/>
    <w:rsid w:val="00BC3D40"/>
    <w:rsid w:val="00BD2C88"/>
    <w:rsid w:val="00BD5BDF"/>
    <w:rsid w:val="00BD71FF"/>
    <w:rsid w:val="00C13F84"/>
    <w:rsid w:val="00C1434D"/>
    <w:rsid w:val="00C27CB8"/>
    <w:rsid w:val="00C32825"/>
    <w:rsid w:val="00C50ED0"/>
    <w:rsid w:val="00C74DA9"/>
    <w:rsid w:val="00C94F1D"/>
    <w:rsid w:val="00CA11E6"/>
    <w:rsid w:val="00CA465B"/>
    <w:rsid w:val="00CE3848"/>
    <w:rsid w:val="00D15E88"/>
    <w:rsid w:val="00D20293"/>
    <w:rsid w:val="00D46771"/>
    <w:rsid w:val="00D86D8B"/>
    <w:rsid w:val="00DA389E"/>
    <w:rsid w:val="00DB39F6"/>
    <w:rsid w:val="00DB4604"/>
    <w:rsid w:val="00DC23F1"/>
    <w:rsid w:val="00DE4C11"/>
    <w:rsid w:val="00DF1E98"/>
    <w:rsid w:val="00E160D1"/>
    <w:rsid w:val="00E26607"/>
    <w:rsid w:val="00E31D69"/>
    <w:rsid w:val="00E36206"/>
    <w:rsid w:val="00E432CA"/>
    <w:rsid w:val="00E50DF8"/>
    <w:rsid w:val="00E5454F"/>
    <w:rsid w:val="00E57387"/>
    <w:rsid w:val="00E74B92"/>
    <w:rsid w:val="00E947E1"/>
    <w:rsid w:val="00ED1BE1"/>
    <w:rsid w:val="00EE6006"/>
    <w:rsid w:val="00EE7332"/>
    <w:rsid w:val="00EF475C"/>
    <w:rsid w:val="00F2773F"/>
    <w:rsid w:val="00F3355C"/>
    <w:rsid w:val="00F41965"/>
    <w:rsid w:val="00F96A90"/>
    <w:rsid w:val="00FB12EA"/>
    <w:rsid w:val="00FC5EBE"/>
    <w:rsid w:val="00FE0A3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35944F"/>
  <w15:chartTrackingRefBased/>
  <w15:docId w15:val="{092C91FC-A9E4-4F1E-B905-79D2B9874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2A4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62A40"/>
    <w:pPr>
      <w:tabs>
        <w:tab w:val="center" w:pos="4513"/>
        <w:tab w:val="right" w:pos="9026"/>
      </w:tabs>
    </w:pPr>
  </w:style>
  <w:style w:type="character" w:customStyle="1" w:styleId="HeaderChar">
    <w:name w:val="Header Char"/>
    <w:basedOn w:val="DefaultParagraphFont"/>
    <w:link w:val="Header"/>
    <w:uiPriority w:val="99"/>
    <w:rsid w:val="00862A40"/>
  </w:style>
  <w:style w:type="paragraph" w:styleId="Footer">
    <w:name w:val="footer"/>
    <w:basedOn w:val="Normal"/>
    <w:link w:val="FooterChar"/>
    <w:uiPriority w:val="99"/>
    <w:unhideWhenUsed/>
    <w:rsid w:val="00862A40"/>
    <w:pPr>
      <w:tabs>
        <w:tab w:val="center" w:pos="4513"/>
        <w:tab w:val="right" w:pos="9026"/>
      </w:tabs>
    </w:pPr>
  </w:style>
  <w:style w:type="character" w:customStyle="1" w:styleId="FooterChar">
    <w:name w:val="Footer Char"/>
    <w:basedOn w:val="DefaultParagraphFont"/>
    <w:link w:val="Footer"/>
    <w:uiPriority w:val="99"/>
    <w:rsid w:val="00862A40"/>
  </w:style>
  <w:style w:type="paragraph" w:styleId="ListParagraph">
    <w:name w:val="List Paragraph"/>
    <w:aliases w:val="List Paragraph Number"/>
    <w:basedOn w:val="Normal"/>
    <w:link w:val="ListParagraphChar"/>
    <w:uiPriority w:val="34"/>
    <w:qFormat/>
    <w:rsid w:val="001C37E5"/>
    <w:pPr>
      <w:ind w:left="720"/>
      <w:contextualSpacing/>
    </w:pPr>
  </w:style>
  <w:style w:type="character" w:styleId="Hyperlink">
    <w:name w:val="Hyperlink"/>
    <w:basedOn w:val="DefaultParagraphFont"/>
    <w:uiPriority w:val="99"/>
    <w:unhideWhenUsed/>
    <w:rsid w:val="00127A77"/>
    <w:rPr>
      <w:color w:val="0563C1" w:themeColor="hyperlink"/>
      <w:u w:val="single"/>
    </w:rPr>
  </w:style>
  <w:style w:type="paragraph" w:styleId="FootnoteText">
    <w:name w:val="footnote text"/>
    <w:basedOn w:val="Normal"/>
    <w:link w:val="FootnoteTextChar"/>
    <w:uiPriority w:val="99"/>
    <w:unhideWhenUsed/>
    <w:rsid w:val="00DB4604"/>
    <w:rPr>
      <w:sz w:val="20"/>
      <w:szCs w:val="20"/>
    </w:rPr>
  </w:style>
  <w:style w:type="character" w:customStyle="1" w:styleId="FootnoteTextChar">
    <w:name w:val="Footnote Text Char"/>
    <w:basedOn w:val="DefaultParagraphFont"/>
    <w:link w:val="FootnoteText"/>
    <w:uiPriority w:val="99"/>
    <w:rsid w:val="00DB4604"/>
    <w:rPr>
      <w:sz w:val="20"/>
      <w:szCs w:val="20"/>
    </w:rPr>
  </w:style>
  <w:style w:type="character" w:styleId="FootnoteReference">
    <w:name w:val="footnote reference"/>
    <w:basedOn w:val="DefaultParagraphFont"/>
    <w:uiPriority w:val="99"/>
    <w:unhideWhenUsed/>
    <w:rsid w:val="00DB4604"/>
    <w:rPr>
      <w:vertAlign w:val="superscript"/>
    </w:rPr>
  </w:style>
  <w:style w:type="character" w:styleId="CommentReference">
    <w:name w:val="annotation reference"/>
    <w:basedOn w:val="DefaultParagraphFont"/>
    <w:uiPriority w:val="99"/>
    <w:semiHidden/>
    <w:unhideWhenUsed/>
    <w:rsid w:val="00DB4604"/>
    <w:rPr>
      <w:sz w:val="16"/>
      <w:szCs w:val="16"/>
    </w:rPr>
  </w:style>
  <w:style w:type="paragraph" w:styleId="CommentText">
    <w:name w:val="annotation text"/>
    <w:basedOn w:val="Normal"/>
    <w:link w:val="CommentTextChar"/>
    <w:uiPriority w:val="99"/>
    <w:semiHidden/>
    <w:unhideWhenUsed/>
    <w:rsid w:val="00DB4604"/>
    <w:rPr>
      <w:sz w:val="20"/>
      <w:szCs w:val="20"/>
    </w:rPr>
  </w:style>
  <w:style w:type="character" w:customStyle="1" w:styleId="CommentTextChar">
    <w:name w:val="Comment Text Char"/>
    <w:basedOn w:val="DefaultParagraphFont"/>
    <w:link w:val="CommentText"/>
    <w:uiPriority w:val="99"/>
    <w:semiHidden/>
    <w:rsid w:val="00DB4604"/>
    <w:rPr>
      <w:sz w:val="20"/>
      <w:szCs w:val="20"/>
    </w:rPr>
  </w:style>
  <w:style w:type="paragraph" w:styleId="CommentSubject">
    <w:name w:val="annotation subject"/>
    <w:basedOn w:val="CommentText"/>
    <w:next w:val="CommentText"/>
    <w:link w:val="CommentSubjectChar"/>
    <w:uiPriority w:val="99"/>
    <w:semiHidden/>
    <w:unhideWhenUsed/>
    <w:rsid w:val="00DB4604"/>
    <w:rPr>
      <w:b/>
      <w:bCs/>
    </w:rPr>
  </w:style>
  <w:style w:type="character" w:customStyle="1" w:styleId="CommentSubjectChar">
    <w:name w:val="Comment Subject Char"/>
    <w:basedOn w:val="CommentTextChar"/>
    <w:link w:val="CommentSubject"/>
    <w:uiPriority w:val="99"/>
    <w:semiHidden/>
    <w:rsid w:val="00DB4604"/>
    <w:rPr>
      <w:b/>
      <w:bCs/>
      <w:sz w:val="20"/>
      <w:szCs w:val="20"/>
    </w:rPr>
  </w:style>
  <w:style w:type="paragraph" w:styleId="BalloonText">
    <w:name w:val="Balloon Text"/>
    <w:basedOn w:val="Normal"/>
    <w:link w:val="BalloonTextChar"/>
    <w:uiPriority w:val="99"/>
    <w:semiHidden/>
    <w:unhideWhenUsed/>
    <w:rsid w:val="00DB460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B4604"/>
    <w:rPr>
      <w:rFonts w:ascii="Segoe UI" w:hAnsi="Segoe UI" w:cs="Segoe UI"/>
      <w:sz w:val="18"/>
      <w:szCs w:val="18"/>
    </w:rPr>
  </w:style>
  <w:style w:type="character" w:customStyle="1" w:styleId="ListParagraphChar">
    <w:name w:val="List Paragraph Char"/>
    <w:aliases w:val="List Paragraph Number Char"/>
    <w:basedOn w:val="DefaultParagraphFont"/>
    <w:link w:val="ListParagraph"/>
    <w:uiPriority w:val="34"/>
    <w:rsid w:val="00A810DD"/>
  </w:style>
  <w:style w:type="paragraph" w:styleId="Revision">
    <w:name w:val="Revision"/>
    <w:hidden/>
    <w:uiPriority w:val="99"/>
    <w:semiHidden/>
    <w:rsid w:val="000817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goo.gl/Fik0cr" TargetMode="External"/><Relationship Id="rId2" Type="http://schemas.openxmlformats.org/officeDocument/2006/relationships/hyperlink" Target="http://goo.gl/YlDuWl" TargetMode="External"/><Relationship Id="rId1" Type="http://schemas.openxmlformats.org/officeDocument/2006/relationships/hyperlink" Target="http://goo.gl/Vm3UME" TargetMode="External"/><Relationship Id="rId4" Type="http://schemas.openxmlformats.org/officeDocument/2006/relationships/hyperlink" Target="http://goo.gl/ngV2q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B36686-36B5-4C09-9E6E-84846AF6B0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5185</Words>
  <Characters>29555</Characters>
  <Application>Microsoft Office Word</Application>
  <DocSecurity>0</DocSecurity>
  <Lines>246</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Winnie Bridie</dc:creator>
  <cp:keywords/>
  <dc:description/>
  <cp:lastModifiedBy>Winnie Bridie</cp:lastModifiedBy>
  <cp:revision>2</cp:revision>
  <cp:lastPrinted>2016-06-10T02:33:00Z</cp:lastPrinted>
  <dcterms:created xsi:type="dcterms:W3CDTF">2016-06-10T03:14:00Z</dcterms:created>
  <dcterms:modified xsi:type="dcterms:W3CDTF">2016-06-10T03:14:00Z</dcterms:modified>
</cp:coreProperties>
</file>