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EA1" w:rsidRDefault="007B0EA1" w:rsidP="007B0EA1">
      <w:pPr>
        <w:keepNext/>
        <w:widowControl w:val="0"/>
        <w:suppressAutoHyphens/>
        <w:autoSpaceDE w:val="0"/>
        <w:autoSpaceDN w:val="0"/>
        <w:adjustRightInd w:val="0"/>
        <w:jc w:val="center"/>
        <w:textAlignment w:val="center"/>
        <w:outlineLvl w:val="0"/>
        <w:rPr>
          <w:b/>
          <w:sz w:val="56"/>
          <w:szCs w:val="28"/>
        </w:rPr>
      </w:pPr>
    </w:p>
    <w:p w:rsidR="007B0EA1" w:rsidRDefault="007B0EA1" w:rsidP="007B0EA1">
      <w:pPr>
        <w:keepNext/>
        <w:widowControl w:val="0"/>
        <w:suppressAutoHyphens/>
        <w:autoSpaceDE w:val="0"/>
        <w:autoSpaceDN w:val="0"/>
        <w:adjustRightInd w:val="0"/>
        <w:jc w:val="center"/>
        <w:textAlignment w:val="center"/>
        <w:outlineLvl w:val="0"/>
        <w:rPr>
          <w:b/>
          <w:sz w:val="56"/>
          <w:szCs w:val="28"/>
        </w:rPr>
      </w:pPr>
    </w:p>
    <w:p w:rsidR="007B0EA1" w:rsidRPr="00C07F48" w:rsidRDefault="007B0EA1" w:rsidP="007B0EA1">
      <w:pPr>
        <w:keepNext/>
        <w:widowControl w:val="0"/>
        <w:suppressAutoHyphens/>
        <w:autoSpaceDE w:val="0"/>
        <w:autoSpaceDN w:val="0"/>
        <w:adjustRightInd w:val="0"/>
        <w:jc w:val="center"/>
        <w:textAlignment w:val="center"/>
        <w:outlineLvl w:val="0"/>
        <w:rPr>
          <w:b/>
          <w:sz w:val="56"/>
          <w:szCs w:val="28"/>
        </w:rPr>
      </w:pPr>
    </w:p>
    <w:p w:rsidR="007B0EA1" w:rsidRDefault="007B0EA1" w:rsidP="007B0EA1">
      <w:pPr>
        <w:keepNext/>
        <w:widowControl w:val="0"/>
        <w:suppressAutoHyphens/>
        <w:autoSpaceDE w:val="0"/>
        <w:autoSpaceDN w:val="0"/>
        <w:adjustRightInd w:val="0"/>
        <w:jc w:val="center"/>
        <w:textAlignment w:val="center"/>
        <w:outlineLvl w:val="0"/>
        <w:rPr>
          <w:rFonts w:cs="HelveticaNeue-Bold"/>
          <w:b/>
          <w:bCs/>
          <w:color w:val="000000"/>
          <w:sz w:val="56"/>
          <w:szCs w:val="56"/>
        </w:rPr>
      </w:pPr>
      <w:r>
        <w:rPr>
          <w:rFonts w:cs="HelveticaNeue-Bold"/>
          <w:b/>
          <w:bCs/>
          <w:color w:val="000000"/>
          <w:sz w:val="72"/>
          <w:szCs w:val="72"/>
        </w:rPr>
        <w:t xml:space="preserve">New Disability Employment Services </w:t>
      </w:r>
      <w:r>
        <w:rPr>
          <w:rFonts w:cs="HelveticaNeue-Bold"/>
          <w:b/>
          <w:bCs/>
          <w:color w:val="000000"/>
          <w:sz w:val="72"/>
          <w:szCs w:val="72"/>
        </w:rPr>
        <w:lastRenderedPageBreak/>
        <w:t>from 2018</w:t>
      </w:r>
    </w:p>
    <w:p w:rsidR="007B0EA1" w:rsidRDefault="007B0EA1" w:rsidP="007B0EA1">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7B0EA1" w:rsidRDefault="007B0EA1" w:rsidP="007B0EA1">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7B0EA1" w:rsidRDefault="007B0EA1" w:rsidP="007B0EA1">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88227F" w:rsidRPr="00C07F48" w:rsidRDefault="0088227F" w:rsidP="007B0EA1">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7B0EA1" w:rsidRPr="0088227F" w:rsidRDefault="007B0EA1" w:rsidP="007B0EA1">
      <w:pPr>
        <w:keepNext/>
        <w:widowControl w:val="0"/>
        <w:suppressAutoHyphens/>
        <w:autoSpaceDE w:val="0"/>
        <w:autoSpaceDN w:val="0"/>
        <w:adjustRightInd w:val="0"/>
        <w:jc w:val="center"/>
        <w:textAlignment w:val="center"/>
        <w:outlineLvl w:val="0"/>
        <w:rPr>
          <w:rFonts w:cs="HelveticaNeue-Bold"/>
          <w:b/>
          <w:bCs/>
          <w:sz w:val="56"/>
          <w:szCs w:val="44"/>
        </w:rPr>
      </w:pPr>
      <w:r w:rsidRPr="007B0EA1">
        <w:rPr>
          <w:rFonts w:cs="HelveticaNeue-Bold"/>
          <w:b/>
          <w:bCs/>
          <w:sz w:val="56"/>
          <w:szCs w:val="44"/>
        </w:rPr>
        <w:t>Discussion Paper</w:t>
      </w:r>
    </w:p>
    <w:p w:rsidR="007B0EA1" w:rsidRDefault="007B0EA1" w:rsidP="007B0EA1">
      <w:pPr>
        <w:keepNext/>
        <w:widowControl w:val="0"/>
        <w:suppressAutoHyphens/>
        <w:autoSpaceDE w:val="0"/>
        <w:autoSpaceDN w:val="0"/>
        <w:adjustRightInd w:val="0"/>
        <w:jc w:val="center"/>
        <w:textAlignment w:val="center"/>
        <w:outlineLvl w:val="0"/>
        <w:rPr>
          <w:rFonts w:cs="HelveticaNeue-Bold"/>
          <w:bCs/>
          <w:sz w:val="44"/>
          <w:szCs w:val="44"/>
        </w:rPr>
      </w:pPr>
    </w:p>
    <w:p w:rsidR="007B0EA1" w:rsidRDefault="007B0EA1" w:rsidP="007B0EA1">
      <w:pPr>
        <w:keepNext/>
        <w:widowControl w:val="0"/>
        <w:suppressAutoHyphens/>
        <w:autoSpaceDE w:val="0"/>
        <w:autoSpaceDN w:val="0"/>
        <w:adjustRightInd w:val="0"/>
        <w:jc w:val="center"/>
        <w:textAlignment w:val="center"/>
        <w:outlineLvl w:val="0"/>
        <w:rPr>
          <w:rFonts w:cs="HelveticaNeue-Bold"/>
          <w:bCs/>
          <w:sz w:val="44"/>
          <w:szCs w:val="44"/>
        </w:rPr>
      </w:pPr>
    </w:p>
    <w:p w:rsidR="007B0EA1" w:rsidRDefault="007B0EA1" w:rsidP="007B0EA1">
      <w:pPr>
        <w:keepNext/>
        <w:widowControl w:val="0"/>
        <w:suppressAutoHyphens/>
        <w:autoSpaceDE w:val="0"/>
        <w:autoSpaceDN w:val="0"/>
        <w:adjustRightInd w:val="0"/>
        <w:jc w:val="center"/>
        <w:textAlignment w:val="center"/>
        <w:outlineLvl w:val="0"/>
        <w:rPr>
          <w:rFonts w:cs="HelveticaNeue-Bold"/>
          <w:bCs/>
          <w:sz w:val="44"/>
          <w:szCs w:val="44"/>
        </w:rPr>
      </w:pPr>
    </w:p>
    <w:p w:rsidR="007B0EA1" w:rsidRDefault="007B0EA1" w:rsidP="007B0EA1">
      <w:pPr>
        <w:keepNext/>
        <w:widowControl w:val="0"/>
        <w:suppressAutoHyphens/>
        <w:autoSpaceDE w:val="0"/>
        <w:autoSpaceDN w:val="0"/>
        <w:adjustRightInd w:val="0"/>
        <w:jc w:val="center"/>
        <w:textAlignment w:val="center"/>
        <w:outlineLvl w:val="0"/>
        <w:rPr>
          <w:rFonts w:cs="HelveticaNeue-Bold"/>
          <w:bCs/>
          <w:sz w:val="44"/>
          <w:szCs w:val="44"/>
        </w:rPr>
      </w:pPr>
    </w:p>
    <w:p w:rsidR="007B0EA1" w:rsidRDefault="007B0EA1" w:rsidP="007B0EA1">
      <w:pPr>
        <w:keepNext/>
        <w:widowControl w:val="0"/>
        <w:suppressAutoHyphens/>
        <w:autoSpaceDE w:val="0"/>
        <w:autoSpaceDN w:val="0"/>
        <w:adjustRightInd w:val="0"/>
        <w:jc w:val="center"/>
        <w:textAlignment w:val="center"/>
        <w:outlineLvl w:val="0"/>
        <w:rPr>
          <w:rFonts w:cs="HelveticaNeue-Bold"/>
          <w:bCs/>
          <w:sz w:val="44"/>
          <w:szCs w:val="44"/>
        </w:rPr>
      </w:pPr>
    </w:p>
    <w:p w:rsidR="007B0EA1" w:rsidRDefault="007B0EA1" w:rsidP="007B0EA1">
      <w:pPr>
        <w:keepNext/>
        <w:widowControl w:val="0"/>
        <w:suppressAutoHyphens/>
        <w:autoSpaceDE w:val="0"/>
        <w:autoSpaceDN w:val="0"/>
        <w:adjustRightInd w:val="0"/>
        <w:jc w:val="center"/>
        <w:textAlignment w:val="center"/>
        <w:outlineLvl w:val="0"/>
        <w:rPr>
          <w:rFonts w:cs="HelveticaNeue-Bold"/>
          <w:bCs/>
          <w:sz w:val="44"/>
          <w:szCs w:val="44"/>
        </w:rPr>
      </w:pPr>
    </w:p>
    <w:p w:rsidR="007B0EA1" w:rsidRDefault="007B0EA1" w:rsidP="007B0EA1">
      <w:pPr>
        <w:keepNext/>
        <w:widowControl w:val="0"/>
        <w:suppressAutoHyphens/>
        <w:autoSpaceDE w:val="0"/>
        <w:autoSpaceDN w:val="0"/>
        <w:adjustRightInd w:val="0"/>
        <w:jc w:val="center"/>
        <w:textAlignment w:val="center"/>
        <w:outlineLvl w:val="0"/>
        <w:rPr>
          <w:rFonts w:cs="HelveticaNeue-Bold"/>
          <w:bCs/>
          <w:sz w:val="44"/>
          <w:szCs w:val="44"/>
        </w:rPr>
      </w:pPr>
    </w:p>
    <w:p w:rsidR="007B0EA1" w:rsidRDefault="007B0EA1" w:rsidP="007B0EA1">
      <w:pPr>
        <w:keepNext/>
        <w:widowControl w:val="0"/>
        <w:suppressAutoHyphens/>
        <w:autoSpaceDE w:val="0"/>
        <w:autoSpaceDN w:val="0"/>
        <w:adjustRightInd w:val="0"/>
        <w:jc w:val="center"/>
        <w:textAlignment w:val="center"/>
        <w:outlineLvl w:val="0"/>
        <w:rPr>
          <w:rFonts w:cs="HelveticaNeue-Bold"/>
          <w:bCs/>
          <w:sz w:val="44"/>
          <w:szCs w:val="44"/>
        </w:rPr>
      </w:pPr>
    </w:p>
    <w:p w:rsidR="0088227F" w:rsidRPr="00C07F48" w:rsidRDefault="0088227F" w:rsidP="007B0EA1">
      <w:pPr>
        <w:keepNext/>
        <w:widowControl w:val="0"/>
        <w:suppressAutoHyphens/>
        <w:autoSpaceDE w:val="0"/>
        <w:autoSpaceDN w:val="0"/>
        <w:adjustRightInd w:val="0"/>
        <w:jc w:val="center"/>
        <w:textAlignment w:val="center"/>
        <w:outlineLvl w:val="0"/>
        <w:rPr>
          <w:rFonts w:cs="HelveticaNeue-Bold"/>
          <w:bCs/>
          <w:sz w:val="44"/>
          <w:szCs w:val="44"/>
        </w:rPr>
      </w:pPr>
    </w:p>
    <w:p w:rsidR="007B0EA1" w:rsidRPr="00C07F48" w:rsidRDefault="007B0EA1" w:rsidP="007B0EA1">
      <w:pPr>
        <w:keepNext/>
        <w:widowControl w:val="0"/>
        <w:suppressAutoHyphens/>
        <w:autoSpaceDE w:val="0"/>
        <w:autoSpaceDN w:val="0"/>
        <w:adjustRightInd w:val="0"/>
        <w:jc w:val="center"/>
        <w:textAlignment w:val="center"/>
        <w:outlineLvl w:val="0"/>
        <w:rPr>
          <w:rFonts w:cs="HelveticaNeue-Bold"/>
          <w:bCs/>
          <w:sz w:val="44"/>
          <w:szCs w:val="44"/>
        </w:rPr>
      </w:pPr>
    </w:p>
    <w:p w:rsidR="007B0EA1" w:rsidRPr="00C07F48" w:rsidRDefault="007B0EA1" w:rsidP="007B0EA1">
      <w:pPr>
        <w:keepNext/>
        <w:widowControl w:val="0"/>
        <w:suppressAutoHyphens/>
        <w:autoSpaceDE w:val="0"/>
        <w:autoSpaceDN w:val="0"/>
        <w:adjustRightInd w:val="0"/>
        <w:jc w:val="center"/>
        <w:textAlignment w:val="center"/>
        <w:outlineLvl w:val="0"/>
        <w:rPr>
          <w:rFonts w:cs="HelveticaNeue-Bold"/>
          <w:b/>
          <w:bCs/>
          <w:sz w:val="40"/>
          <w:szCs w:val="40"/>
        </w:rPr>
      </w:pPr>
      <w:r w:rsidRPr="00C07F48">
        <w:rPr>
          <w:rFonts w:cs="HelveticaNeue-Bold"/>
          <w:b/>
          <w:bCs/>
          <w:sz w:val="40"/>
          <w:szCs w:val="40"/>
        </w:rPr>
        <w:t xml:space="preserve">Children and Young People with </w:t>
      </w:r>
      <w:r w:rsidRPr="00C07F48">
        <w:rPr>
          <w:rFonts w:cs="HelveticaNeue-Bold"/>
          <w:b/>
          <w:bCs/>
          <w:sz w:val="40"/>
          <w:szCs w:val="40"/>
        </w:rPr>
        <w:lastRenderedPageBreak/>
        <w:t>Disability Australia</w:t>
      </w:r>
    </w:p>
    <w:p w:rsidR="007B0EA1" w:rsidRPr="00C07F48" w:rsidRDefault="007B0EA1" w:rsidP="007B0EA1">
      <w:pPr>
        <w:keepNext/>
        <w:widowControl w:val="0"/>
        <w:suppressAutoHyphens/>
        <w:autoSpaceDE w:val="0"/>
        <w:autoSpaceDN w:val="0"/>
        <w:adjustRightInd w:val="0"/>
        <w:jc w:val="center"/>
        <w:textAlignment w:val="center"/>
        <w:outlineLvl w:val="0"/>
        <w:rPr>
          <w:rFonts w:cs="HelveticaNeue-Bold"/>
          <w:b/>
          <w:bCs/>
          <w:sz w:val="40"/>
          <w:szCs w:val="40"/>
        </w:rPr>
      </w:pPr>
      <w:r>
        <w:rPr>
          <w:rFonts w:cs="HelveticaNeue-Bold"/>
          <w:b/>
          <w:bCs/>
          <w:sz w:val="40"/>
          <w:szCs w:val="40"/>
        </w:rPr>
        <w:t>Submission –</w:t>
      </w:r>
      <w:r w:rsidRPr="00C07F48">
        <w:rPr>
          <w:rFonts w:cs="HelveticaNeue-Bold"/>
          <w:b/>
          <w:bCs/>
          <w:sz w:val="40"/>
          <w:szCs w:val="40"/>
        </w:rPr>
        <w:t xml:space="preserve"> </w:t>
      </w:r>
      <w:r>
        <w:rPr>
          <w:rFonts w:cs="HelveticaNeue-Bold"/>
          <w:b/>
          <w:bCs/>
          <w:sz w:val="40"/>
          <w:szCs w:val="40"/>
        </w:rPr>
        <w:t xml:space="preserve">December </w:t>
      </w:r>
      <w:r w:rsidRPr="00C07F48">
        <w:rPr>
          <w:rFonts w:cs="HelveticaNeue-Bold"/>
          <w:b/>
          <w:bCs/>
          <w:sz w:val="40"/>
          <w:szCs w:val="40"/>
        </w:rPr>
        <w:t>2016</w:t>
      </w:r>
    </w:p>
    <w:p w:rsidR="007B0EA1" w:rsidRDefault="007B0EA1">
      <w:r>
        <w:br w:type="page"/>
      </w:r>
    </w:p>
    <w:p w:rsidR="00DB468F" w:rsidRPr="00B26756" w:rsidRDefault="00DB468F">
      <w:pPr>
        <w:rPr>
          <w:b/>
          <w:sz w:val="24"/>
        </w:rPr>
      </w:pPr>
      <w:r w:rsidRPr="00B26756">
        <w:rPr>
          <w:b/>
          <w:sz w:val="24"/>
        </w:rPr>
        <w:lastRenderedPageBreak/>
        <w:t>INTRODUCTION</w:t>
      </w:r>
    </w:p>
    <w:p w:rsidR="002E2DEE" w:rsidRDefault="002E2DEE" w:rsidP="004F6C78"/>
    <w:p w:rsidR="00AF340F" w:rsidRDefault="005021B0" w:rsidP="005021B0">
      <w:r>
        <w:t xml:space="preserve">It is frequently reported to </w:t>
      </w:r>
      <w:r w:rsidR="00AF340F">
        <w:t>Children and Young People with Disability Australia (CYDA</w:t>
      </w:r>
      <w:r w:rsidR="001C548E">
        <w:t xml:space="preserve">) </w:t>
      </w:r>
      <w:r>
        <w:t>that</w:t>
      </w:r>
      <w:r w:rsidR="00AF340F">
        <w:t xml:space="preserve"> </w:t>
      </w:r>
      <w:r w:rsidR="00B64CE3">
        <w:t xml:space="preserve">there are major barriers to accessing </w:t>
      </w:r>
      <w:r w:rsidR="00AF340F">
        <w:t xml:space="preserve">employment. </w:t>
      </w:r>
      <w:r w:rsidR="006C4F55">
        <w:t xml:space="preserve">For young people, there are a range </w:t>
      </w:r>
      <w:r>
        <w:t xml:space="preserve">of </w:t>
      </w:r>
      <w:r w:rsidR="006C4F55">
        <w:t>typical</w:t>
      </w:r>
      <w:r>
        <w:t xml:space="preserve"> </w:t>
      </w:r>
      <w:r w:rsidR="001C548E">
        <w:t>activities</w:t>
      </w:r>
      <w:r w:rsidR="006C4F55">
        <w:t xml:space="preserve"> </w:t>
      </w:r>
      <w:r>
        <w:t xml:space="preserve">which occur prior </w:t>
      </w:r>
      <w:r w:rsidR="006C4F55">
        <w:t xml:space="preserve">to </w:t>
      </w:r>
      <w:r>
        <w:t xml:space="preserve">obtaining sustained </w:t>
      </w:r>
      <w:r w:rsidR="006C4F55">
        <w:t>employment</w:t>
      </w:r>
      <w:r>
        <w:t xml:space="preserve">. These </w:t>
      </w:r>
      <w:r w:rsidR="001C548E">
        <w:t>include</w:t>
      </w:r>
      <w:r>
        <w:t xml:space="preserve"> </w:t>
      </w:r>
      <w:r w:rsidR="001C548E">
        <w:t xml:space="preserve">work experience in school, </w:t>
      </w:r>
      <w:r>
        <w:t>obtaining</w:t>
      </w:r>
      <w:r w:rsidR="001C548E">
        <w:t xml:space="preserve"> a</w:t>
      </w:r>
      <w:r>
        <w:t xml:space="preserve"> </w:t>
      </w:r>
      <w:r w:rsidR="006C4F55">
        <w:t>part time job</w:t>
      </w:r>
      <w:r w:rsidR="001C548E">
        <w:t xml:space="preserve"> and</w:t>
      </w:r>
      <w:r w:rsidR="006C4F55">
        <w:t xml:space="preserve"> </w:t>
      </w:r>
      <w:r>
        <w:t>access to effective post school transition support</w:t>
      </w:r>
      <w:r w:rsidR="006C4F55">
        <w:t>. However, young people with disabil</w:t>
      </w:r>
      <w:r w:rsidR="00830B13">
        <w:t>ity</w:t>
      </w:r>
      <w:r>
        <w:t xml:space="preserve"> often</w:t>
      </w:r>
      <w:r w:rsidR="006C4F55">
        <w:t xml:space="preserve"> miss out on these valuable opportunities and </w:t>
      </w:r>
      <w:r w:rsidR="00B64CE3">
        <w:t>frequently report</w:t>
      </w:r>
      <w:r w:rsidR="006C4F55">
        <w:t xml:space="preserve"> extremely poor experiences in relation to employment.</w:t>
      </w:r>
      <w:r w:rsidR="00830B13">
        <w:t xml:space="preserve"> Furthermore,</w:t>
      </w:r>
      <w:r>
        <w:t xml:space="preserve"> </w:t>
      </w:r>
      <w:r w:rsidR="001F01AC">
        <w:t>i</w:t>
      </w:r>
      <w:r w:rsidR="00AF340F">
        <w:t xml:space="preserve">t is not uncommon for employers to state they ‘don’t have the capacity’ to employ a </w:t>
      </w:r>
      <w:r w:rsidR="00456BBE">
        <w:t xml:space="preserve">young </w:t>
      </w:r>
      <w:r w:rsidR="00AF340F">
        <w:t xml:space="preserve">person with disability. </w:t>
      </w:r>
    </w:p>
    <w:p w:rsidR="00F83AE4" w:rsidRDefault="00F83AE4" w:rsidP="00AF340F"/>
    <w:p w:rsidR="00B4560C" w:rsidRDefault="00B4560C" w:rsidP="004F6C78">
      <w:r w:rsidRPr="00B4560C">
        <w:t xml:space="preserve">Navigating the complex and fragmented employment support system is often exasperating for young people. It can be extremely difficult to obtain information about </w:t>
      </w:r>
      <w:r w:rsidR="006B72DB">
        <w:t>the function and location of employment s</w:t>
      </w:r>
      <w:r w:rsidR="000122C3">
        <w:t>ervices</w:t>
      </w:r>
      <w:r w:rsidR="006B72DB">
        <w:t xml:space="preserve">. </w:t>
      </w:r>
      <w:r w:rsidRPr="00B4560C">
        <w:t>Further, CYDA is informed by members that supports provided by disability employment service</w:t>
      </w:r>
      <w:r w:rsidR="000122C3">
        <w:t>s</w:t>
      </w:r>
      <w:r w:rsidRPr="00B4560C">
        <w:t xml:space="preserve"> </w:t>
      </w:r>
      <w:r w:rsidR="008E7379">
        <w:t>are</w:t>
      </w:r>
      <w:r w:rsidRPr="00B4560C">
        <w:t xml:space="preserve"> variable, with the experience being that many lack appropriate expertise or resources to adequately support young people.</w:t>
      </w:r>
    </w:p>
    <w:p w:rsidR="00DF5321" w:rsidRDefault="00DF5321" w:rsidP="004F6C78"/>
    <w:p w:rsidR="00DF5321" w:rsidRDefault="00DF5321" w:rsidP="004F6C78">
      <w:r>
        <w:t xml:space="preserve">Young people with disability </w:t>
      </w:r>
      <w:r w:rsidR="006C4F55">
        <w:t xml:space="preserve">typically </w:t>
      </w:r>
      <w:r w:rsidR="00AF340F">
        <w:t>face a culture of low expectations which manifests in most sections of the employment pathway.</w:t>
      </w:r>
      <w:r w:rsidR="001F01AC">
        <w:t xml:space="preserve"> </w:t>
      </w:r>
      <w:r>
        <w:t>For example CYDA was recently informed of a young person being declared ‘unemployable’ by an employment service despite having completed several work experience placements with appropriate support.</w:t>
      </w:r>
    </w:p>
    <w:p w:rsidR="001F01AC" w:rsidRDefault="001F01AC" w:rsidP="004F6C78"/>
    <w:p w:rsidR="00DD0FCF" w:rsidRDefault="00DF5321" w:rsidP="004F6C78">
      <w:r>
        <w:t>The impact of these low expectations and constant diminishing on young people with disability is profound. Exclusion from participating within the community through employment is extremely demoralising and can take a huge toll on a young person’s sense of self-worth and self-esteem. Young people often feel helpless and</w:t>
      </w:r>
      <w:r w:rsidR="00830B13">
        <w:t xml:space="preserve"> devalued by society</w:t>
      </w:r>
      <w:r>
        <w:t xml:space="preserve">. </w:t>
      </w:r>
    </w:p>
    <w:p w:rsidR="00DD0FCF" w:rsidRDefault="00DD0FCF" w:rsidP="004F6C78"/>
    <w:p w:rsidR="009032EA" w:rsidRDefault="00DF5321" w:rsidP="004F6C78">
      <w:r>
        <w:t xml:space="preserve">This is reflected in the following </w:t>
      </w:r>
      <w:r w:rsidR="009032EA">
        <w:t>comments</w:t>
      </w:r>
      <w:r w:rsidR="00DD0FCF">
        <w:t>:</w:t>
      </w:r>
      <w:r w:rsidR="00F458DD">
        <w:t xml:space="preserve"> </w:t>
      </w:r>
    </w:p>
    <w:p w:rsidR="009032EA" w:rsidRDefault="009032EA" w:rsidP="004F6C78"/>
    <w:p w:rsidR="009032EA" w:rsidRDefault="00DF5321" w:rsidP="00D5197E">
      <w:pPr>
        <w:ind w:left="720"/>
        <w:rPr>
          <w:i/>
        </w:rPr>
      </w:pPr>
      <w:r>
        <w:rPr>
          <w:i/>
        </w:rPr>
        <w:t>I feel stranded. I don’t think I have a future</w:t>
      </w:r>
      <w:r w:rsidR="001C548E">
        <w:rPr>
          <w:i/>
        </w:rPr>
        <w:t>.</w:t>
      </w:r>
    </w:p>
    <w:p w:rsidR="009032EA" w:rsidRDefault="009032EA" w:rsidP="00D5197E">
      <w:pPr>
        <w:ind w:left="720"/>
      </w:pPr>
    </w:p>
    <w:p w:rsidR="009032EA" w:rsidRDefault="009032EA" w:rsidP="00D5197E">
      <w:pPr>
        <w:ind w:left="720"/>
        <w:rPr>
          <w:i/>
        </w:rPr>
      </w:pPr>
      <w:r w:rsidRPr="00D5197E">
        <w:rPr>
          <w:i/>
        </w:rPr>
        <w:t>(After my son finished</w:t>
      </w:r>
      <w:r w:rsidR="00DD0FCF">
        <w:rPr>
          <w:i/>
        </w:rPr>
        <w:t xml:space="preserve"> </w:t>
      </w:r>
      <w:r w:rsidRPr="00D5197E">
        <w:rPr>
          <w:i/>
        </w:rPr>
        <w:t xml:space="preserve">school) we tried numerous educational options, but he now sits at home all day without a job, without </w:t>
      </w:r>
      <w:r w:rsidRPr="00D5197E">
        <w:rPr>
          <w:i/>
        </w:rPr>
        <w:lastRenderedPageBreak/>
        <w:t>an education and it's taken all my strength just to keep him on track and hold onto the hope there will be something out there that will help him feel worthwhile and like he has something to contribute</w:t>
      </w:r>
      <w:r w:rsidR="001C548E">
        <w:t>.</w:t>
      </w:r>
    </w:p>
    <w:p w:rsidR="00C71F02" w:rsidRDefault="00C71F02" w:rsidP="004F6C78"/>
    <w:p w:rsidR="00EE1475" w:rsidRDefault="00C71F02" w:rsidP="004F6C78">
      <w:r>
        <w:t>These</w:t>
      </w:r>
      <w:r w:rsidR="00F458DD">
        <w:t xml:space="preserve"> direct experiences </w:t>
      </w:r>
      <w:r>
        <w:t>are reflected in available statistics</w:t>
      </w:r>
      <w:r w:rsidR="00F458DD">
        <w:t xml:space="preserve"> around employment of people with disability</w:t>
      </w:r>
      <w:r>
        <w:t>. Recent data shows that 46.6% of people with disability are not in the labour force,</w:t>
      </w:r>
      <w:r w:rsidRPr="0056123A">
        <w:t xml:space="preserve"> compared with 16.8% of </w:t>
      </w:r>
      <w:r>
        <w:t>people</w:t>
      </w:r>
      <w:r w:rsidRPr="0056123A">
        <w:t xml:space="preserve"> without disability</w:t>
      </w:r>
      <w:r>
        <w:t>.</w:t>
      </w:r>
      <w:r>
        <w:rPr>
          <w:rStyle w:val="FootnoteReference"/>
        </w:rPr>
        <w:footnoteReference w:id="1"/>
      </w:r>
      <w:r>
        <w:t xml:space="preserve"> People with disability are also significantly more likely to experience unemployment and underemployment than people without disability.</w:t>
      </w:r>
      <w:r>
        <w:rPr>
          <w:rStyle w:val="FootnoteReference"/>
        </w:rPr>
        <w:footnoteReference w:id="2"/>
      </w:r>
    </w:p>
    <w:p w:rsidR="00EE1475" w:rsidRDefault="00EE1475" w:rsidP="004F6C78"/>
    <w:p w:rsidR="00EC14A7" w:rsidRDefault="001C548E" w:rsidP="00125901">
      <w:r>
        <w:t>Disability Employment Services (</w:t>
      </w:r>
      <w:r w:rsidR="001B5469">
        <w:t>DES</w:t>
      </w:r>
      <w:r>
        <w:t>)</w:t>
      </w:r>
      <w:r w:rsidR="00DC3E7A">
        <w:t xml:space="preserve"> </w:t>
      </w:r>
      <w:r w:rsidR="004F6C78">
        <w:t>have a vital role in address</w:t>
      </w:r>
      <w:r w:rsidR="001B5469">
        <w:t>ing</w:t>
      </w:r>
      <w:r w:rsidR="004F6C78">
        <w:t xml:space="preserve"> many barriers to employment</w:t>
      </w:r>
      <w:r w:rsidR="001B5469">
        <w:t xml:space="preserve"> experienced by people with disability</w:t>
      </w:r>
      <w:r w:rsidR="004F6C78">
        <w:t>.</w:t>
      </w:r>
      <w:r w:rsidR="00DD0FCF">
        <w:t xml:space="preserve"> </w:t>
      </w:r>
      <w:r w:rsidR="00EC14A7">
        <w:t>As a key program delivered by the Australian Governmen</w:t>
      </w:r>
      <w:r w:rsidR="00B05CCA">
        <w:t>t</w:t>
      </w:r>
      <w:r w:rsidR="00EC14A7">
        <w:t xml:space="preserve">, it is </w:t>
      </w:r>
      <w:r w:rsidR="00201B0B">
        <w:t>critical to ensure that DES is achieving its intended outcomes</w:t>
      </w:r>
      <w:r w:rsidR="001B5469">
        <w:t xml:space="preserve"> to support people with disability to “find work and keep a job.”</w:t>
      </w:r>
      <w:r w:rsidR="00FC2F30">
        <w:rPr>
          <w:rStyle w:val="FootnoteReference"/>
        </w:rPr>
        <w:footnoteReference w:id="3"/>
      </w:r>
      <w:r w:rsidR="00EE1475">
        <w:t xml:space="preserve"> </w:t>
      </w:r>
      <w:r w:rsidR="00EC14A7">
        <w:t xml:space="preserve">However, </w:t>
      </w:r>
      <w:r w:rsidR="00B12B62">
        <w:t xml:space="preserve">a range of systemic issues impacting DES have been highlighted by </w:t>
      </w:r>
      <w:r w:rsidR="004F6C78">
        <w:t xml:space="preserve">people with disability and other </w:t>
      </w:r>
      <w:r w:rsidR="00B12B62">
        <w:t>stakeholders for a number of years and are captured in the discussion paper.</w:t>
      </w:r>
      <w:r w:rsidR="00B12B62">
        <w:rPr>
          <w:rStyle w:val="FootnoteReference"/>
        </w:rPr>
        <w:footnoteReference w:id="4"/>
      </w:r>
      <w:r w:rsidR="00292D5C">
        <w:t xml:space="preserve"> These include</w:t>
      </w:r>
      <w:r w:rsidR="00DD04DA">
        <w:t xml:space="preserve"> issues in relation to: compliance and regulatory requirements; market share arrangements; scope of the program; and outcome payment</w:t>
      </w:r>
      <w:r w:rsidR="001B5469">
        <w:t>s</w:t>
      </w:r>
      <w:r w:rsidR="00DD04DA">
        <w:t xml:space="preserve"> and incentive structures that limit the capacity of the program to appropriately </w:t>
      </w:r>
      <w:r w:rsidR="000233E8">
        <w:t xml:space="preserve">assist </w:t>
      </w:r>
      <w:r w:rsidR="00DD04DA">
        <w:t xml:space="preserve">people who require greater </w:t>
      </w:r>
      <w:r w:rsidR="000233E8">
        <w:t xml:space="preserve">support </w:t>
      </w:r>
      <w:r w:rsidR="00DD04DA">
        <w:t>in locat</w:t>
      </w:r>
      <w:r w:rsidR="00B12B62">
        <w:t>ing and maintaining employment.</w:t>
      </w:r>
    </w:p>
    <w:p w:rsidR="00EC14A7" w:rsidRDefault="00EC14A7" w:rsidP="00125901"/>
    <w:p w:rsidR="00DE3EFE" w:rsidRDefault="00EC14A7" w:rsidP="00125901">
      <w:r>
        <w:lastRenderedPageBreak/>
        <w:t>Young people with disability aged under 24 years represent 15.5% (28 323) of total DES participants.</w:t>
      </w:r>
      <w:r>
        <w:rPr>
          <w:rStyle w:val="FootnoteReference"/>
        </w:rPr>
        <w:footnoteReference w:id="5"/>
      </w:r>
      <w:r>
        <w:t xml:space="preserve"> It is </w:t>
      </w:r>
      <w:r w:rsidR="004026A4">
        <w:t xml:space="preserve">crucial </w:t>
      </w:r>
      <w:r w:rsidR="004E09BA">
        <w:t xml:space="preserve">that the DES system can provide appropriate support to young job seekers with disability. This will require recognition of the </w:t>
      </w:r>
      <w:r w:rsidR="00201B0B">
        <w:t xml:space="preserve">specific challenges and barriers experienced by </w:t>
      </w:r>
      <w:r w:rsidR="004E09BA">
        <w:t>young people with disability in relation to employment</w:t>
      </w:r>
      <w:r w:rsidR="00201B0B">
        <w:t>, which are discussed in this submission.</w:t>
      </w:r>
    </w:p>
    <w:p w:rsidR="00DE3EFE" w:rsidRDefault="00DE3EFE" w:rsidP="00125901"/>
    <w:p w:rsidR="00125901" w:rsidRDefault="00201B0B" w:rsidP="00125901">
      <w:r>
        <w:t>It is also important to recognise that</w:t>
      </w:r>
      <w:r w:rsidR="00125901">
        <w:t xml:space="preserve"> considerations around employment for young people differ significantly to those of older job seekers. </w:t>
      </w:r>
      <w:r w:rsidR="00456BBE">
        <w:t>M</w:t>
      </w:r>
      <w:r w:rsidR="00125901">
        <w:t>any young people</w:t>
      </w:r>
      <w:r w:rsidR="00455281">
        <w:t>, for example</w:t>
      </w:r>
      <w:r w:rsidR="00456BBE">
        <w:t>,</w:t>
      </w:r>
      <w:r w:rsidR="00125901">
        <w:t xml:space="preserve"> will need to focus on skill development, access to entry level positions and support </w:t>
      </w:r>
      <w:r w:rsidR="00455281">
        <w:t xml:space="preserve">when </w:t>
      </w:r>
      <w:r w:rsidR="00125901">
        <w:t xml:space="preserve">considering future employment pathways. </w:t>
      </w:r>
    </w:p>
    <w:p w:rsidR="00B26756" w:rsidRPr="00B26756" w:rsidRDefault="00B26756"/>
    <w:p w:rsidR="00DD0FCF" w:rsidRDefault="00DD0FCF">
      <w:r>
        <w:t>CYDA therefore welcomes this consultation and the opportunity to contribute.</w:t>
      </w:r>
      <w:r w:rsidRPr="004F6C78">
        <w:t xml:space="preserve"> </w:t>
      </w:r>
      <w:r>
        <w:t>This submission discusses key factors that impact employment outcomes for young people with disability and then provides comments on the discussion paper. Particular focus is given to the Eligible School Leaver aspect of DES.</w:t>
      </w:r>
    </w:p>
    <w:p w:rsidR="00DD0FCF" w:rsidRDefault="00DD0FCF"/>
    <w:p w:rsidR="00DB468F" w:rsidRPr="00B26756" w:rsidRDefault="00B26756">
      <w:pPr>
        <w:rPr>
          <w:b/>
          <w:sz w:val="24"/>
        </w:rPr>
      </w:pPr>
      <w:r w:rsidRPr="00B26756">
        <w:rPr>
          <w:b/>
          <w:sz w:val="24"/>
        </w:rPr>
        <w:t>CHILDREN AND YOUNG PEOPLE WITH DISABILITY AUSTRALIA</w:t>
      </w:r>
    </w:p>
    <w:p w:rsidR="00DB468F" w:rsidRDefault="00DB468F"/>
    <w:p w:rsidR="00DE3EFE" w:rsidRPr="00C07F48" w:rsidRDefault="00DE3EFE" w:rsidP="00DE3EFE">
      <w:r w:rsidRPr="00C07F48">
        <w:t xml:space="preserve">CYDA is the national representative organisation for children and young people with disability, aged 0 to 25 years. The organisation is primarily funded through </w:t>
      </w:r>
      <w:r>
        <w:t>the Department of Social Services</w:t>
      </w:r>
      <w:r w:rsidRPr="00C07F48">
        <w:t xml:space="preserve"> and is a not for profit organisation. CYDA has a national membership of 5500.</w:t>
      </w:r>
    </w:p>
    <w:p w:rsidR="00DE3EFE" w:rsidRPr="00C07F48" w:rsidRDefault="00DE3EFE" w:rsidP="00DE3EFE"/>
    <w:p w:rsidR="00DE3EFE" w:rsidRPr="00C07F48" w:rsidRDefault="00DE3EFE" w:rsidP="00DE3EFE">
      <w:r w:rsidRPr="00C07F48">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rsidR="00DE3EFE" w:rsidRPr="00C07F48" w:rsidRDefault="00DE3EFE" w:rsidP="00DE3EFE"/>
    <w:p w:rsidR="00DE3EFE" w:rsidRPr="00C07F48" w:rsidRDefault="00DE3EFE" w:rsidP="00DE3EFE">
      <w:r w:rsidRPr="00C07F48">
        <w:t>CYDA’s vision is that children and young people with disability living in Australia are afforded every opportunity to thrive, achieve their potential and that their rights and interests as individuals, members of a family and their community are met.</w:t>
      </w:r>
    </w:p>
    <w:p w:rsidR="00DE3EFE" w:rsidRPr="00C07F48" w:rsidRDefault="00DE3EFE" w:rsidP="00DE3EFE"/>
    <w:p w:rsidR="00DE3EFE" w:rsidRPr="00C07F48" w:rsidRDefault="00DE3EFE" w:rsidP="00DE3EFE">
      <w:r w:rsidRPr="00C07F48">
        <w:t>CYDA’s purpose is to advocate systemically at the national level for the rights and interests of all children and young people with disability living in Australia and it undertakes the following to achieve its purpose:</w:t>
      </w:r>
    </w:p>
    <w:p w:rsidR="00DE3EFE" w:rsidRPr="00C07F48" w:rsidRDefault="00DE3EFE" w:rsidP="00DE3EFE"/>
    <w:p w:rsidR="00DE3EFE" w:rsidRPr="00C07F48" w:rsidRDefault="00DE3EFE" w:rsidP="00DE3EFE">
      <w:pPr>
        <w:pStyle w:val="ListParagraph"/>
        <w:numPr>
          <w:ilvl w:val="0"/>
          <w:numId w:val="7"/>
        </w:numPr>
      </w:pPr>
      <w:r w:rsidRPr="00C07F48">
        <w:rPr>
          <w:b/>
        </w:rPr>
        <w:t>Listen and respond</w:t>
      </w:r>
      <w:r w:rsidRPr="00C07F48">
        <w:t xml:space="preserve"> to the voices and experiences of children and young people with disability;</w:t>
      </w:r>
    </w:p>
    <w:p w:rsidR="00DE3EFE" w:rsidRPr="00C07F48" w:rsidRDefault="00DE3EFE" w:rsidP="00DE3EFE">
      <w:pPr>
        <w:pStyle w:val="ListParagraph"/>
        <w:numPr>
          <w:ilvl w:val="0"/>
          <w:numId w:val="7"/>
        </w:numPr>
        <w:ind w:left="714" w:hanging="357"/>
      </w:pPr>
      <w:r w:rsidRPr="00C07F48">
        <w:rPr>
          <w:b/>
        </w:rPr>
        <w:t>Advocate</w:t>
      </w:r>
      <w:r w:rsidRPr="00C07F48">
        <w:t xml:space="preserve"> for children and young people with disability for equal opportunities, participation and inclusion in the Australian community;</w:t>
      </w:r>
    </w:p>
    <w:p w:rsidR="00DE3EFE" w:rsidRPr="00C07F48" w:rsidRDefault="00DE3EFE" w:rsidP="00DE3EFE">
      <w:pPr>
        <w:pStyle w:val="ListParagraph"/>
        <w:numPr>
          <w:ilvl w:val="0"/>
          <w:numId w:val="7"/>
        </w:numPr>
        <w:ind w:left="714" w:hanging="357"/>
      </w:pPr>
      <w:r w:rsidRPr="00C07F48">
        <w:rPr>
          <w:b/>
        </w:rPr>
        <w:t>Educate</w:t>
      </w:r>
      <w:r w:rsidRPr="00C07F48">
        <w:t xml:space="preserve"> national public policy makers and the broader community about the experiences of children and young people with disability;</w:t>
      </w:r>
    </w:p>
    <w:p w:rsidR="00DE3EFE" w:rsidRPr="00C07F48" w:rsidRDefault="00DE3EFE" w:rsidP="00DE3EFE">
      <w:pPr>
        <w:pStyle w:val="ListParagraph"/>
        <w:numPr>
          <w:ilvl w:val="0"/>
          <w:numId w:val="7"/>
        </w:numPr>
        <w:ind w:left="714" w:hanging="357"/>
      </w:pPr>
      <w:r w:rsidRPr="00C07F48">
        <w:rPr>
          <w:b/>
        </w:rPr>
        <w:t>Inform</w:t>
      </w:r>
      <w:r w:rsidRPr="00C07F48">
        <w:t xml:space="preserve"> children and young people with disability, their families and care givers about their citizenship rights and entitlements; and</w:t>
      </w:r>
    </w:p>
    <w:p w:rsidR="00DE3EFE" w:rsidRDefault="00DE3EFE" w:rsidP="00DE3EFE">
      <w:pPr>
        <w:pStyle w:val="ListParagraph"/>
        <w:numPr>
          <w:ilvl w:val="0"/>
          <w:numId w:val="7"/>
        </w:numPr>
        <w:ind w:left="714" w:hanging="357"/>
      </w:pPr>
      <w:r w:rsidRPr="00C07F48">
        <w:rPr>
          <w:b/>
        </w:rPr>
        <w:t>Celebrate</w:t>
      </w:r>
      <w:r w:rsidRPr="00C07F48">
        <w:t xml:space="preserve"> the successes and achievements of children and young people with disability.</w:t>
      </w:r>
    </w:p>
    <w:p w:rsidR="00DE3EFE" w:rsidRPr="00DE3EFE" w:rsidRDefault="00DE3EFE"/>
    <w:p w:rsidR="00DD0FCF" w:rsidRDefault="00DD0FCF">
      <w:pPr>
        <w:rPr>
          <w:b/>
          <w:sz w:val="24"/>
        </w:rPr>
      </w:pPr>
      <w:r>
        <w:rPr>
          <w:b/>
          <w:sz w:val="24"/>
        </w:rPr>
        <w:t>LEGAL AND POLICY CONTEXT</w:t>
      </w:r>
    </w:p>
    <w:p w:rsidR="001C548E" w:rsidRDefault="001C548E" w:rsidP="001C548E"/>
    <w:p w:rsidR="006A6FEE" w:rsidRDefault="001C548E" w:rsidP="001C548E">
      <w:r>
        <w:t xml:space="preserve">Australia has demonstrated a commitment to upholding the human rights of people with disability to access and participate in employment through ratification of international human rights conventions and a strong focus on economic participation in domestic legislation and policy. </w:t>
      </w:r>
    </w:p>
    <w:p w:rsidR="006A6FEE" w:rsidRDefault="006A6FEE" w:rsidP="001C548E"/>
    <w:p w:rsidR="001C548E" w:rsidRDefault="001C548E" w:rsidP="001C548E">
      <w:r>
        <w:t xml:space="preserve">A key example is the </w:t>
      </w:r>
      <w:r>
        <w:rPr>
          <w:i/>
        </w:rPr>
        <w:t xml:space="preserve">National Disability Strategy 2010-2020, </w:t>
      </w:r>
      <w:r>
        <w:t>a major policy framework to guide reform for all Australian governments to address the barriers faced by Australians with disability. The Strategy includes ‘economic security,’ including access to employment opportunities for people with disability, as a critical area for policy action.</w:t>
      </w:r>
      <w:r>
        <w:rPr>
          <w:rStyle w:val="FootnoteReference"/>
        </w:rPr>
        <w:footnoteReference w:id="6"/>
      </w:r>
    </w:p>
    <w:p w:rsidR="001C548E" w:rsidRDefault="001C548E" w:rsidP="001C548E"/>
    <w:p w:rsidR="001C548E" w:rsidRDefault="001C548E" w:rsidP="001C548E">
      <w:r>
        <w:t xml:space="preserve">Further, employment of people with disability is currently a significant focus of reform at the Commonwealth level, with the development of </w:t>
      </w:r>
      <w:r>
        <w:lastRenderedPageBreak/>
        <w:t xml:space="preserve">a new </w:t>
      </w:r>
      <w:r w:rsidRPr="0056123A">
        <w:rPr>
          <w:i/>
        </w:rPr>
        <w:t>National D</w:t>
      </w:r>
      <w:r>
        <w:rPr>
          <w:i/>
        </w:rPr>
        <w:t xml:space="preserve">isability Employment Framework </w:t>
      </w:r>
      <w:r>
        <w:t>and the current review of DES.</w:t>
      </w:r>
    </w:p>
    <w:p w:rsidR="001C548E" w:rsidRPr="00EF28D8" w:rsidRDefault="001C548E">
      <w:pPr>
        <w:rPr>
          <w:b/>
        </w:rPr>
      </w:pPr>
    </w:p>
    <w:p w:rsidR="00DB468F" w:rsidRPr="0088227F" w:rsidRDefault="00DB468F">
      <w:pPr>
        <w:rPr>
          <w:b/>
        </w:rPr>
      </w:pPr>
      <w:r w:rsidRPr="00B26756">
        <w:rPr>
          <w:b/>
          <w:sz w:val="24"/>
        </w:rPr>
        <w:t>EMPLOYMENT EXPERIENCES OF YOUNG PEOPLE WITH DISABILITY</w:t>
      </w:r>
    </w:p>
    <w:p w:rsidR="0088227F" w:rsidRDefault="0088227F"/>
    <w:p w:rsidR="008251E9" w:rsidRDefault="006C4F55" w:rsidP="008251E9">
      <w:r>
        <w:t>The benefits of employment for people in terms of financial security, independence, physical and mental health and a basis for identity are well established in available evidence.</w:t>
      </w:r>
      <w:r>
        <w:rPr>
          <w:rStyle w:val="FootnoteReference"/>
        </w:rPr>
        <w:footnoteReference w:id="7"/>
      </w:r>
      <w:r>
        <w:t xml:space="preserve"> Within the Australian community there is a strong value placed on employment, with a career or occupation frequently being a key part of a person’s identity. However, </w:t>
      </w:r>
      <w:r w:rsidR="00FC2F30">
        <w:t>young</w:t>
      </w:r>
      <w:r w:rsidR="008251E9">
        <w:t xml:space="preserve"> people with disability experience significant disadvantage in </w:t>
      </w:r>
      <w:r w:rsidR="00B05CCA">
        <w:t>relation to employment</w:t>
      </w:r>
      <w:r w:rsidR="008251E9">
        <w:t xml:space="preserve">. </w:t>
      </w:r>
      <w:r w:rsidR="00B26756">
        <w:t>This is reflected in m</w:t>
      </w:r>
      <w:r w:rsidR="00F06FC3">
        <w:t>ost recent statistics</w:t>
      </w:r>
      <w:r w:rsidR="008251E9">
        <w:t>:</w:t>
      </w:r>
      <w:r w:rsidR="00485DF0">
        <w:t>*</w:t>
      </w:r>
    </w:p>
    <w:p w:rsidR="008251E9" w:rsidRDefault="008251E9" w:rsidP="008251E9"/>
    <w:p w:rsidR="008251E9" w:rsidRPr="00AB7E03" w:rsidRDefault="008251E9" w:rsidP="008251E9">
      <w:pPr>
        <w:pStyle w:val="ListParagraph"/>
        <w:numPr>
          <w:ilvl w:val="0"/>
          <w:numId w:val="2"/>
        </w:numPr>
        <w:rPr>
          <w:rFonts w:eastAsia="Times New Roman" w:cs="Arial"/>
          <w:lang w:eastAsia="en-AU"/>
        </w:rPr>
      </w:pPr>
      <w:r w:rsidRPr="00AB7E03">
        <w:rPr>
          <w:rFonts w:eastAsia="Times New Roman" w:cs="Arial"/>
          <w:lang w:eastAsia="en-AU"/>
        </w:rPr>
        <w:t>38% of young people aged 15 to 24 years with disability either work, study, or do a combination of both on a full time basis compared to 56% of young people without disability;</w:t>
      </w:r>
      <w:r w:rsidRPr="00AB7E03">
        <w:rPr>
          <w:rStyle w:val="FootnoteReference"/>
          <w:rFonts w:eastAsia="Times New Roman" w:cs="Arial"/>
          <w:lang w:eastAsia="en-AU"/>
        </w:rPr>
        <w:footnoteReference w:id="8"/>
      </w:r>
      <w:r w:rsidRPr="00AB7E03">
        <w:rPr>
          <w:rFonts w:eastAsia="Times New Roman" w:cs="Arial"/>
          <w:lang w:eastAsia="en-AU"/>
        </w:rPr>
        <w:t xml:space="preserve"> </w:t>
      </w:r>
    </w:p>
    <w:p w:rsidR="008251E9" w:rsidRPr="00B453B4" w:rsidRDefault="008251E9" w:rsidP="008251E9">
      <w:pPr>
        <w:pStyle w:val="ListParagraph"/>
        <w:numPr>
          <w:ilvl w:val="0"/>
          <w:numId w:val="2"/>
        </w:numPr>
        <w:rPr>
          <w:rFonts w:eastAsia="Times New Roman" w:cs="Arial"/>
          <w:lang w:eastAsia="en-AU"/>
        </w:rPr>
      </w:pPr>
      <w:r w:rsidRPr="005C2927">
        <w:rPr>
          <w:rFonts w:eastAsia="Times New Roman" w:cs="Arial"/>
          <w:lang w:eastAsia="en-AU"/>
        </w:rPr>
        <w:t>42% of young people with disabilit</w:t>
      </w:r>
      <w:r w:rsidRPr="00B453B4">
        <w:rPr>
          <w:rFonts w:eastAsia="Times New Roman" w:cs="Arial"/>
          <w:lang w:eastAsia="en-AU"/>
        </w:rPr>
        <w:t>y neither work nor study. There is no comparative data available for young people without disability;</w:t>
      </w:r>
      <w:r w:rsidRPr="00B453B4">
        <w:rPr>
          <w:rStyle w:val="FootnoteReference"/>
          <w:rFonts w:eastAsia="Times New Roman" w:cs="Arial"/>
          <w:lang w:eastAsia="en-AU"/>
        </w:rPr>
        <w:footnoteReference w:id="9"/>
      </w:r>
    </w:p>
    <w:p w:rsidR="008251E9" w:rsidRDefault="008251E9" w:rsidP="00986EE0">
      <w:pPr>
        <w:pStyle w:val="ListParagraph"/>
        <w:numPr>
          <w:ilvl w:val="0"/>
          <w:numId w:val="2"/>
        </w:numPr>
        <w:rPr>
          <w:rFonts w:eastAsia="Times New Roman" w:cs="Arial"/>
          <w:lang w:eastAsia="en-AU"/>
        </w:rPr>
      </w:pPr>
      <w:r w:rsidRPr="00B453B4">
        <w:rPr>
          <w:rFonts w:eastAsia="Times New Roman" w:cs="Arial"/>
          <w:lang w:eastAsia="en-AU"/>
        </w:rPr>
        <w:t xml:space="preserve">20% of young people with disability either work or study on a part time basis. </w:t>
      </w:r>
      <w:r>
        <w:rPr>
          <w:rFonts w:eastAsia="Times New Roman" w:cs="Arial"/>
          <w:lang w:eastAsia="en-AU"/>
        </w:rPr>
        <w:t>T</w:t>
      </w:r>
      <w:r w:rsidRPr="00B453B4">
        <w:rPr>
          <w:rFonts w:eastAsia="Times New Roman" w:cs="Arial"/>
          <w:lang w:eastAsia="en-AU"/>
        </w:rPr>
        <w:t xml:space="preserve">here is no comparative data available for </w:t>
      </w:r>
      <w:r w:rsidR="00986EE0">
        <w:rPr>
          <w:rFonts w:eastAsia="Times New Roman" w:cs="Arial"/>
          <w:lang w:eastAsia="en-AU"/>
        </w:rPr>
        <w:t>young people without disability;</w:t>
      </w:r>
      <w:r w:rsidRPr="00B453B4">
        <w:rPr>
          <w:rStyle w:val="FootnoteReference"/>
          <w:rFonts w:eastAsia="Times New Roman" w:cs="Arial"/>
          <w:lang w:eastAsia="en-AU"/>
        </w:rPr>
        <w:footnoteReference w:id="10"/>
      </w:r>
    </w:p>
    <w:p w:rsidR="00986EE0" w:rsidRPr="00986EE0" w:rsidRDefault="00986EE0" w:rsidP="00986EE0">
      <w:pPr>
        <w:pStyle w:val="ListParagraph"/>
        <w:numPr>
          <w:ilvl w:val="0"/>
          <w:numId w:val="2"/>
        </w:numPr>
        <w:rPr>
          <w:rFonts w:cs="Arial"/>
        </w:rPr>
      </w:pPr>
      <w:r w:rsidRPr="00986EE0">
        <w:rPr>
          <w:rFonts w:cs="Arial"/>
        </w:rPr>
        <w:t>The labour force participation rate for young people with disability aged 15 to 24 years is 56.6% compared to 70.8% for young people without disability;</w:t>
      </w:r>
      <w:r w:rsidRPr="00986EE0">
        <w:rPr>
          <w:rStyle w:val="FootnoteReference"/>
          <w:rFonts w:cs="Arial"/>
        </w:rPr>
        <w:footnoteReference w:id="11"/>
      </w:r>
    </w:p>
    <w:p w:rsidR="00986EE0" w:rsidRDefault="00986EE0" w:rsidP="00986EE0">
      <w:pPr>
        <w:pStyle w:val="ListParagraph"/>
        <w:numPr>
          <w:ilvl w:val="0"/>
          <w:numId w:val="2"/>
        </w:numPr>
        <w:rPr>
          <w:rFonts w:cs="Arial"/>
        </w:rPr>
      </w:pPr>
      <w:r w:rsidRPr="00986EE0">
        <w:rPr>
          <w:rFonts w:cs="Arial"/>
        </w:rPr>
        <w:t>24.2% of young people with disability aged 15 to 24 years are unemployed, compared to 11.4% of young people without disability;</w:t>
      </w:r>
      <w:r w:rsidRPr="00986EE0">
        <w:rPr>
          <w:rStyle w:val="FootnoteReference"/>
          <w:rFonts w:cs="Arial"/>
        </w:rPr>
        <w:footnoteReference w:id="12"/>
      </w:r>
      <w:r>
        <w:rPr>
          <w:rFonts w:cs="Arial"/>
        </w:rPr>
        <w:t xml:space="preserve"> and</w:t>
      </w:r>
    </w:p>
    <w:p w:rsidR="008251E9" w:rsidRPr="00986EE0" w:rsidRDefault="00986EE0" w:rsidP="00986EE0">
      <w:pPr>
        <w:pStyle w:val="ListParagraph"/>
        <w:numPr>
          <w:ilvl w:val="0"/>
          <w:numId w:val="2"/>
        </w:numPr>
        <w:rPr>
          <w:rFonts w:cs="Arial"/>
        </w:rPr>
      </w:pPr>
      <w:r>
        <w:lastRenderedPageBreak/>
        <w:t>Young people aged 16 to 24 years represent 6.4% (49 918) of total recipients of the Disability Support Pension.</w:t>
      </w:r>
      <w:r>
        <w:rPr>
          <w:rStyle w:val="FootnoteReference"/>
        </w:rPr>
        <w:footnoteReference w:id="13"/>
      </w:r>
    </w:p>
    <w:p w:rsidR="008251E9" w:rsidRDefault="008251E9"/>
    <w:p w:rsidR="00B26756" w:rsidRDefault="00456BBE">
      <w:r w:rsidRPr="00D5197E">
        <w:rPr>
          <w:b/>
          <w:sz w:val="24"/>
        </w:rPr>
        <w:t>KEY FACTORS THAT IMPACT EMPLOYMENT OPPORTUNITIES FOR YOUNG PEOPLE WITH DISABILITY</w:t>
      </w:r>
    </w:p>
    <w:p w:rsidR="00B26756" w:rsidRDefault="00B26756"/>
    <w:p w:rsidR="00DB468F" w:rsidRDefault="00DB468F">
      <w:pPr>
        <w:rPr>
          <w:b/>
        </w:rPr>
      </w:pPr>
      <w:r w:rsidRPr="00B26756">
        <w:rPr>
          <w:b/>
        </w:rPr>
        <w:t>Education</w:t>
      </w:r>
    </w:p>
    <w:p w:rsidR="00066B3B" w:rsidRDefault="008C6FCE" w:rsidP="008C6FCE">
      <w:pPr>
        <w:rPr>
          <w:rFonts w:ascii="Calibri" w:hAnsi="Calibri"/>
        </w:rPr>
      </w:pPr>
      <w:r>
        <w:t xml:space="preserve">A quality education should provide the necessary knowledge, skills and resources to support future meaningful community participation including further education and employment pathways. However, students with disability commonly report poor educational experiences and outcomes. </w:t>
      </w:r>
      <w:r w:rsidRPr="002C6B89">
        <w:t>It is the view of C</w:t>
      </w:r>
      <w:r>
        <w:t>Y</w:t>
      </w:r>
      <w:r w:rsidRPr="002C6B89">
        <w:t xml:space="preserve">DA that the present education system </w:t>
      </w:r>
      <w:r>
        <w:t xml:space="preserve">does not adequately meet the needs of students </w:t>
      </w:r>
      <w:r w:rsidRPr="002C6B89">
        <w:t>with disability.</w:t>
      </w:r>
      <w:r w:rsidRPr="0092077C">
        <w:rPr>
          <w:rFonts w:ascii="Calibri" w:hAnsi="Calibri"/>
        </w:rPr>
        <w:t xml:space="preserve"> </w:t>
      </w:r>
    </w:p>
    <w:p w:rsidR="00066B3B" w:rsidRDefault="00066B3B" w:rsidP="008C6FCE">
      <w:pPr>
        <w:rPr>
          <w:rFonts w:ascii="Calibri" w:hAnsi="Calibri"/>
        </w:rPr>
      </w:pPr>
    </w:p>
    <w:p w:rsidR="008C6FCE" w:rsidRDefault="008C6FCE" w:rsidP="008C6FCE">
      <w:r w:rsidRPr="00C836FB">
        <w:t xml:space="preserve">A typical </w:t>
      </w:r>
      <w:r>
        <w:t>education</w:t>
      </w:r>
      <w:r w:rsidRPr="00C836FB">
        <w:t xml:space="preserve"> experience for students with disability involves discrimination, limited or no funding for support</w:t>
      </w:r>
      <w:r>
        <w:t>, inadequately trained staff,</w:t>
      </w:r>
      <w:r w:rsidRPr="00C836FB">
        <w:t xml:space="preserve"> </w:t>
      </w:r>
      <w:proofErr w:type="gramStart"/>
      <w:r w:rsidRPr="00C836FB">
        <w:t>a</w:t>
      </w:r>
      <w:proofErr w:type="gramEnd"/>
      <w:r w:rsidRPr="00C836FB">
        <w:t xml:space="preserve"> </w:t>
      </w:r>
      <w:r>
        <w:t xml:space="preserve">systemic </w:t>
      </w:r>
      <w:r w:rsidRPr="00C836FB">
        <w:t>culture of low expectations</w:t>
      </w:r>
      <w:r>
        <w:t>,</w:t>
      </w:r>
      <w:r w:rsidRPr="00C836FB">
        <w:t xml:space="preserve"> </w:t>
      </w:r>
      <w:r>
        <w:t>exclusion and bullying. Further, there is a lack of accountability for educational outcomes for students with disability. These issues mean that students with disability are frequently leaving school without the necessary knowledge and skills to participate in further education and employment.</w:t>
      </w:r>
    </w:p>
    <w:p w:rsidR="008C6FCE" w:rsidRDefault="008C6FCE" w:rsidP="008C6FCE"/>
    <w:p w:rsidR="008C6FCE" w:rsidRDefault="008C6FCE" w:rsidP="008C6FCE">
      <w:r>
        <w:t>These experiences are reflected in available statistics, which illustrate significant disparities in educational attainment and outcomes of students with disability in comparison to their peers without disability:</w:t>
      </w:r>
    </w:p>
    <w:p w:rsidR="008C6FCE" w:rsidRDefault="008C6FCE" w:rsidP="008C6FCE"/>
    <w:p w:rsidR="008C6FCE" w:rsidRPr="006E593D" w:rsidRDefault="008C6FCE" w:rsidP="008C6FCE">
      <w:pPr>
        <w:pStyle w:val="ListParagraph"/>
        <w:numPr>
          <w:ilvl w:val="0"/>
          <w:numId w:val="4"/>
        </w:numPr>
        <w:rPr>
          <w:rFonts w:eastAsia="Times New Roman" w:cs="Arial"/>
          <w:lang w:eastAsia="en-AU"/>
        </w:rPr>
      </w:pPr>
      <w:r w:rsidRPr="006E593D">
        <w:rPr>
          <w:rFonts w:eastAsia="Times New Roman" w:cs="Arial"/>
          <w:lang w:eastAsia="en-AU"/>
        </w:rPr>
        <w:t xml:space="preserve">45.8% of </w:t>
      </w:r>
      <w:r w:rsidRPr="006E593D">
        <w:t>people aged 15 to 64 years with disability’s highest level of education was Year 10 or below</w:t>
      </w:r>
      <w:r w:rsidRPr="006E593D">
        <w:rPr>
          <w:rFonts w:eastAsia="Times New Roman" w:cs="Arial"/>
          <w:lang w:eastAsia="en-AU"/>
        </w:rPr>
        <w:t>, compared t</w:t>
      </w:r>
      <w:r w:rsidRPr="00DC4E01">
        <w:rPr>
          <w:rFonts w:eastAsia="Times New Roman" w:cs="Arial"/>
          <w:lang w:eastAsia="en-AU"/>
        </w:rPr>
        <w:t>o 25.7% of people without disability;</w:t>
      </w:r>
      <w:r w:rsidRPr="00DC4E01">
        <w:rPr>
          <w:rStyle w:val="FootnoteReference"/>
          <w:rFonts w:eastAsia="Times New Roman" w:cs="Arial"/>
          <w:lang w:eastAsia="en-AU"/>
        </w:rPr>
        <w:footnoteReference w:id="14"/>
      </w:r>
    </w:p>
    <w:p w:rsidR="008C6FCE" w:rsidRDefault="008C6FCE" w:rsidP="008C6FCE">
      <w:pPr>
        <w:pStyle w:val="ListParagraph"/>
        <w:numPr>
          <w:ilvl w:val="0"/>
          <w:numId w:val="4"/>
        </w:numPr>
        <w:rPr>
          <w:rFonts w:ascii="Calibri" w:eastAsia="Times New Roman" w:hAnsi="Calibri" w:cs="Times New Roman"/>
          <w:szCs w:val="24"/>
        </w:rPr>
      </w:pPr>
      <w:r>
        <w:rPr>
          <w:rFonts w:ascii="Calibri" w:eastAsia="Times New Roman" w:hAnsi="Calibri" w:cs="Times New Roman"/>
          <w:szCs w:val="24"/>
        </w:rPr>
        <w:lastRenderedPageBreak/>
        <w:t>41% of people with disability have completed Year 12, compared to 62.8% of people without disability;</w:t>
      </w:r>
      <w:r>
        <w:rPr>
          <w:rStyle w:val="FootnoteReference"/>
          <w:rFonts w:ascii="Calibri" w:eastAsia="Times New Roman" w:hAnsi="Calibri" w:cs="Times New Roman"/>
          <w:szCs w:val="24"/>
        </w:rPr>
        <w:footnoteReference w:id="15"/>
      </w:r>
      <w:r>
        <w:rPr>
          <w:rFonts w:ascii="Calibri" w:eastAsia="Times New Roman" w:hAnsi="Calibri" w:cs="Times New Roman"/>
          <w:szCs w:val="24"/>
        </w:rPr>
        <w:t xml:space="preserve"> and</w:t>
      </w:r>
    </w:p>
    <w:p w:rsidR="008C6FCE" w:rsidRPr="008C6FCE" w:rsidRDefault="008C6FCE" w:rsidP="008C6FCE">
      <w:pPr>
        <w:pStyle w:val="ListParagraph"/>
        <w:numPr>
          <w:ilvl w:val="0"/>
          <w:numId w:val="4"/>
        </w:numPr>
        <w:rPr>
          <w:rFonts w:ascii="Calibri" w:eastAsia="Times New Roman" w:hAnsi="Calibri" w:cs="Times New Roman"/>
          <w:szCs w:val="24"/>
        </w:rPr>
      </w:pPr>
      <w:r>
        <w:rPr>
          <w:rFonts w:ascii="Calibri" w:eastAsia="Times New Roman" w:hAnsi="Calibri" w:cs="Times New Roman"/>
          <w:szCs w:val="24"/>
        </w:rPr>
        <w:t>17% of people with disability have completed a Bachelor Degree or higher compared to 30.1% of people without disability.</w:t>
      </w:r>
      <w:r>
        <w:rPr>
          <w:rStyle w:val="FootnoteReference"/>
          <w:rFonts w:ascii="Calibri" w:eastAsia="Times New Roman" w:hAnsi="Calibri" w:cs="Times New Roman"/>
          <w:szCs w:val="24"/>
        </w:rPr>
        <w:footnoteReference w:id="16"/>
      </w:r>
    </w:p>
    <w:p w:rsidR="00066B3B" w:rsidRPr="008C6FCE" w:rsidRDefault="00066B3B"/>
    <w:p w:rsidR="008C6FCE" w:rsidRDefault="00B26756" w:rsidP="008C6FCE">
      <w:pPr>
        <w:rPr>
          <w:b/>
        </w:rPr>
      </w:pPr>
      <w:r>
        <w:rPr>
          <w:b/>
        </w:rPr>
        <w:t>Post S</w:t>
      </w:r>
      <w:r w:rsidR="00DB468F" w:rsidRPr="00B26756">
        <w:rPr>
          <w:b/>
        </w:rPr>
        <w:t>chool Transition</w:t>
      </w:r>
    </w:p>
    <w:p w:rsidR="008C6FCE" w:rsidRDefault="008C6FCE" w:rsidP="008C6FCE">
      <w:r>
        <w:t>Y</w:t>
      </w:r>
      <w:r>
        <w:rPr>
          <w:rFonts w:eastAsia="Times New Roman" w:cs="Arial"/>
          <w:lang w:eastAsia="en-AU"/>
        </w:rPr>
        <w:t xml:space="preserve">oung people with disability report highly variable post school transition experiences, with many informing of poor experiences. </w:t>
      </w:r>
      <w:r>
        <w:t xml:space="preserve">Post school transition refers the period in which young people informally or formally consider and prepare for post school life. It is an important time to support and guide young people to think about their post school plans and interests and assist the development of skills and knowledge to pursue these plans. </w:t>
      </w:r>
    </w:p>
    <w:p w:rsidR="008C6FCE" w:rsidRDefault="008C6FCE" w:rsidP="008C6FCE"/>
    <w:p w:rsidR="00066B3B" w:rsidRDefault="008C6FCE" w:rsidP="008C6FCE">
      <w:r>
        <w:t xml:space="preserve">It is reported to CYDA that </w:t>
      </w:r>
      <w:r w:rsidRPr="00AB7E03">
        <w:t xml:space="preserve">post school transition is </w:t>
      </w:r>
      <w:r>
        <w:t xml:space="preserve">typically </w:t>
      </w:r>
      <w:r w:rsidRPr="00AB7E03">
        <w:t>a variable and ad hoc process</w:t>
      </w:r>
      <w:r>
        <w:t xml:space="preserve"> for students with disability</w:t>
      </w:r>
      <w:r w:rsidRPr="00AB7E03">
        <w:t>. This time is</w:t>
      </w:r>
      <w:r>
        <w:t xml:space="preserve"> </w:t>
      </w:r>
      <w:r w:rsidR="000641B7">
        <w:t>usually</w:t>
      </w:r>
      <w:r w:rsidRPr="00AB7E03">
        <w:t xml:space="preserve"> fraught with limited information and negative attitudes from schools, employment programs and further education providers. Valuable opportunities such as work experience or part time employment are </w:t>
      </w:r>
      <w:r>
        <w:t xml:space="preserve">also </w:t>
      </w:r>
      <w:r w:rsidRPr="00AB7E03">
        <w:t>frequently denied</w:t>
      </w:r>
      <w:r w:rsidR="005112AD">
        <w:t>.</w:t>
      </w:r>
    </w:p>
    <w:p w:rsidR="00066B3B" w:rsidRDefault="00066B3B" w:rsidP="008C6FCE"/>
    <w:p w:rsidR="00DD32C8" w:rsidRPr="00DD32C8" w:rsidRDefault="00DD32C8" w:rsidP="00066B3B">
      <w:pPr>
        <w:ind w:left="720"/>
      </w:pPr>
      <w:r>
        <w:rPr>
          <w:i/>
        </w:rPr>
        <w:t>Career planning in years 10 and 11 was quite minimal and tokenistic. There was nothing in particular that prepared me as a student with disability</w:t>
      </w:r>
      <w:r w:rsidR="000641B7">
        <w:t>.</w:t>
      </w:r>
    </w:p>
    <w:p w:rsidR="00DD32C8" w:rsidRDefault="00DD32C8" w:rsidP="00066B3B">
      <w:pPr>
        <w:ind w:left="720"/>
        <w:rPr>
          <w:i/>
        </w:rPr>
      </w:pPr>
    </w:p>
    <w:p w:rsidR="00066B3B" w:rsidRDefault="00066B3B" w:rsidP="00066B3B">
      <w:pPr>
        <w:ind w:left="720"/>
      </w:pPr>
      <w:r>
        <w:rPr>
          <w:i/>
        </w:rPr>
        <w:t xml:space="preserve">(My </w:t>
      </w:r>
      <w:r w:rsidR="000641B7">
        <w:rPr>
          <w:i/>
        </w:rPr>
        <w:t>son</w:t>
      </w:r>
      <w:r>
        <w:rPr>
          <w:i/>
        </w:rPr>
        <w:t xml:space="preserve"> was) held back from work placement…</w:t>
      </w:r>
      <w:r w:rsidRPr="00A46D46">
        <w:rPr>
          <w:i/>
        </w:rPr>
        <w:t>We have had to fight for him to have t</w:t>
      </w:r>
      <w:r>
        <w:rPr>
          <w:i/>
        </w:rPr>
        <w:t>ransition for life after school</w:t>
      </w:r>
      <w:r w:rsidR="000641B7">
        <w:t>.</w:t>
      </w:r>
    </w:p>
    <w:p w:rsidR="00586D04" w:rsidRDefault="00586D04">
      <w:pPr>
        <w:rPr>
          <w:b/>
        </w:rPr>
      </w:pPr>
    </w:p>
    <w:p w:rsidR="00B26756" w:rsidRPr="00B26756" w:rsidRDefault="00586D04">
      <w:pPr>
        <w:rPr>
          <w:b/>
        </w:rPr>
      </w:pPr>
      <w:r>
        <w:rPr>
          <w:b/>
        </w:rPr>
        <w:t xml:space="preserve">Employment </w:t>
      </w:r>
      <w:r w:rsidR="00DF69CE">
        <w:rPr>
          <w:b/>
        </w:rPr>
        <w:t>Context for Young People</w:t>
      </w:r>
    </w:p>
    <w:p w:rsidR="00A4335C" w:rsidRDefault="00A4335C" w:rsidP="00A4335C">
      <w:r>
        <w:t xml:space="preserve">It’s also important to situate the employment experiences of young people with disability within the broader context for young people. Presently, young people in Australia face considerable challenges in finding, securing and maintaining employment. </w:t>
      </w:r>
    </w:p>
    <w:p w:rsidR="00A4335C" w:rsidRDefault="00A4335C" w:rsidP="00A4335C"/>
    <w:p w:rsidR="00A4335C" w:rsidRDefault="00A4335C" w:rsidP="00A4335C">
      <w:r w:rsidRPr="00586D04">
        <w:t xml:space="preserve">In </w:t>
      </w:r>
      <w:r w:rsidR="00586D04" w:rsidRPr="00586D04">
        <w:t>September</w:t>
      </w:r>
      <w:r w:rsidR="00860927" w:rsidRPr="00586D04">
        <w:t xml:space="preserve"> 2016</w:t>
      </w:r>
      <w:r w:rsidRPr="00586D04">
        <w:t>, unemployment among young people aged 15 to 25 years was over double the total unemployment rat</w:t>
      </w:r>
      <w:r w:rsidR="00586D04" w:rsidRPr="00586D04">
        <w:t>e (12.6</w:t>
      </w:r>
      <w:r w:rsidR="00860927" w:rsidRPr="00586D04">
        <w:t>% and 5.6</w:t>
      </w:r>
      <w:r w:rsidRPr="00586D04">
        <w:t xml:space="preserve">% </w:t>
      </w:r>
      <w:r w:rsidRPr="00586D04">
        <w:lastRenderedPageBreak/>
        <w:t>respectively).</w:t>
      </w:r>
      <w:r w:rsidRPr="00586D04">
        <w:rPr>
          <w:rStyle w:val="FootnoteReference"/>
        </w:rPr>
        <w:footnoteReference w:id="17"/>
      </w:r>
      <w:r>
        <w:t xml:space="preserve"> </w:t>
      </w:r>
      <w:r w:rsidR="00860927">
        <w:t>Over</w:t>
      </w:r>
      <w:r>
        <w:t xml:space="preserve"> 30% of young people in Australia are either unemployed or underemployed.</w:t>
      </w:r>
      <w:r>
        <w:rPr>
          <w:rStyle w:val="FootnoteReference"/>
        </w:rPr>
        <w:footnoteReference w:id="18"/>
      </w:r>
      <w:r>
        <w:t xml:space="preserve"> It takes young people on average 4.7 years from leaving full time education to entering full time employment (an increase from one year in 1987).</w:t>
      </w:r>
      <w:r>
        <w:rPr>
          <w:rStyle w:val="FootnoteReference"/>
        </w:rPr>
        <w:footnoteReference w:id="19"/>
      </w:r>
    </w:p>
    <w:p w:rsidR="00A4335C" w:rsidRDefault="00A4335C" w:rsidP="00A4335C"/>
    <w:p w:rsidR="00A4335C" w:rsidRDefault="00A4335C" w:rsidP="00A4335C">
      <w:r>
        <w:t>Poor employment outcomes are also being experienced by young people with tertiary qualifications. 65% of university graduates and 58% of young people with a Certificate III are in full time work four months after graduating.</w:t>
      </w:r>
      <w:r>
        <w:rPr>
          <w:rStyle w:val="FootnoteReference"/>
        </w:rPr>
        <w:footnoteReference w:id="20"/>
      </w:r>
      <w:r>
        <w:t xml:space="preserve"> </w:t>
      </w:r>
      <w:r w:rsidR="00D36285">
        <w:t>Further, 29% of newly employed graduates with bachelor degrees and 62% of newly employed V</w:t>
      </w:r>
      <w:r w:rsidR="000641B7">
        <w:t>ocational Education and Training</w:t>
      </w:r>
      <w:r w:rsidR="00D36285">
        <w:t xml:space="preserve"> graduates ha</w:t>
      </w:r>
      <w:r w:rsidR="008E3329">
        <w:t>ve</w:t>
      </w:r>
      <w:r w:rsidR="00D36285">
        <w:t xml:space="preserve"> jobs that </w:t>
      </w:r>
      <w:r w:rsidR="008E3329">
        <w:t xml:space="preserve">are </w:t>
      </w:r>
      <w:r w:rsidR="00D36285">
        <w:t>not relevant to their course.</w:t>
      </w:r>
      <w:r w:rsidR="00D36285">
        <w:rPr>
          <w:rStyle w:val="FootnoteReference"/>
        </w:rPr>
        <w:footnoteReference w:id="21"/>
      </w:r>
    </w:p>
    <w:p w:rsidR="00A4335C" w:rsidRDefault="00A4335C" w:rsidP="00A4335C"/>
    <w:p w:rsidR="00A4335C" w:rsidRDefault="00D67B0A" w:rsidP="00A4335C">
      <w:r>
        <w:t>In addition</w:t>
      </w:r>
      <w:r w:rsidR="00D36285">
        <w:t xml:space="preserve">, a </w:t>
      </w:r>
      <w:r w:rsidR="00A4335C">
        <w:t>report by the Foundation for Young Australians found that young people are being adversely impacted by changes to the economy and labour markets.</w:t>
      </w:r>
      <w:r w:rsidR="00A4335C">
        <w:rPr>
          <w:rStyle w:val="FootnoteReference"/>
        </w:rPr>
        <w:footnoteReference w:id="22"/>
      </w:r>
      <w:r w:rsidR="00A4335C">
        <w:t xml:space="preserve"> Critically, it found that young people are not being provided with skill sets that align with the labour markets of the future and recommends significant reform to the education, post school transition and employment systems to address this issue.</w:t>
      </w:r>
    </w:p>
    <w:p w:rsidR="00A4335C" w:rsidRDefault="00A4335C" w:rsidP="00A4335C"/>
    <w:p w:rsidR="00A4335C" w:rsidRDefault="00A4335C" w:rsidP="00A4335C">
      <w:r>
        <w:t>There has also been a trend in recent years towards casual, part time, temporary or short-term contracts for young people who are employed.</w:t>
      </w:r>
      <w:r>
        <w:rPr>
          <w:rStyle w:val="FootnoteReference"/>
        </w:rPr>
        <w:footnoteReference w:id="23"/>
      </w:r>
      <w:r>
        <w:t xml:space="preserve"> This creates a number of issues, including job insecurity, lack of access to work entitlements and fewer opportunities to develop skills i</w:t>
      </w:r>
      <w:r w:rsidR="00586D04">
        <w:t>n a stable work environment. A</w:t>
      </w:r>
      <w:r>
        <w:t xml:space="preserve"> report by the </w:t>
      </w:r>
      <w:r w:rsidR="00066B3B">
        <w:t>Organisation for Economic Cooperation and Development</w:t>
      </w:r>
      <w:r>
        <w:t xml:space="preserve"> has highlighted that because “many young people enter the labour market on temporary contracts, it is important to ensure these temporary jobs are ‘stepping stones’ </w:t>
      </w:r>
      <w:r>
        <w:lastRenderedPageBreak/>
        <w:t>into more stable employment, rather than a series of precarious situations that raise the risks of young people being unemployed.”</w:t>
      </w:r>
      <w:r>
        <w:rPr>
          <w:rStyle w:val="FootnoteReference"/>
        </w:rPr>
        <w:footnoteReference w:id="24"/>
      </w:r>
      <w:r>
        <w:t xml:space="preserve"> It recommends that member states examine taxes and social contributions to support employers to hire young people with minimal work experience.</w:t>
      </w:r>
      <w:r>
        <w:rPr>
          <w:rStyle w:val="FootnoteReference"/>
        </w:rPr>
        <w:footnoteReference w:id="25"/>
      </w:r>
    </w:p>
    <w:p w:rsidR="00DF69CE" w:rsidRDefault="00DF69CE" w:rsidP="00A4335C"/>
    <w:p w:rsidR="00A4335C" w:rsidRDefault="00DF69CE">
      <w:r>
        <w:t xml:space="preserve">Present economic and social conditions contribute to a highly uncertain and precarious situation for many young people in relation to employment and future prospects. </w:t>
      </w:r>
      <w:r w:rsidR="00066B3B">
        <w:t>In addition, y</w:t>
      </w:r>
      <w:r>
        <w:t>oung people with disability also contend with barriers in relation to their disability, including negative attitudes about disability among employers</w:t>
      </w:r>
      <w:r>
        <w:rPr>
          <w:rStyle w:val="FootnoteReference"/>
        </w:rPr>
        <w:footnoteReference w:id="26"/>
      </w:r>
      <w:r>
        <w:t xml:space="preserve"> and difficulties in establishing flexible workplace arrangements and negotiating reasonable adjustments. </w:t>
      </w:r>
    </w:p>
    <w:p w:rsidR="00DF69CE" w:rsidRDefault="00DF69CE"/>
    <w:p w:rsidR="00066B3B" w:rsidRDefault="00066B3B" w:rsidP="00066B3B">
      <w:r>
        <w:t>The following employment experiences of young people with disability have been reported to CYDA:</w:t>
      </w:r>
    </w:p>
    <w:p w:rsidR="00066B3B" w:rsidRPr="00066B3B" w:rsidRDefault="00066B3B" w:rsidP="00066B3B"/>
    <w:p w:rsidR="00066B3B" w:rsidRDefault="00066B3B" w:rsidP="00DF69CE">
      <w:pPr>
        <w:ind w:left="720"/>
      </w:pPr>
      <w:r w:rsidRPr="00402138">
        <w:rPr>
          <w:i/>
        </w:rPr>
        <w:t>I should be able to work in most jobs, with little changes</w:t>
      </w:r>
      <w:r>
        <w:rPr>
          <w:i/>
        </w:rPr>
        <w:t xml:space="preserve"> (to support me)</w:t>
      </w:r>
      <w:r w:rsidRPr="00402138">
        <w:rPr>
          <w:i/>
        </w:rPr>
        <w:t xml:space="preserve">. But really, getting a job in </w:t>
      </w:r>
      <w:r>
        <w:rPr>
          <w:i/>
        </w:rPr>
        <w:t>the first place is a nightmare!</w:t>
      </w:r>
      <w:r w:rsidRPr="00402138">
        <w:rPr>
          <w:i/>
        </w:rPr>
        <w:t xml:space="preserve"> People judge my ability to work, based on an intervie</w:t>
      </w:r>
      <w:r>
        <w:rPr>
          <w:i/>
        </w:rPr>
        <w:t>w which I greatly struggle with</w:t>
      </w:r>
      <w:r w:rsidR="000641B7">
        <w:rPr>
          <w:i/>
        </w:rPr>
        <w:t>.</w:t>
      </w:r>
    </w:p>
    <w:p w:rsidR="00DD32C8" w:rsidRDefault="00DD32C8" w:rsidP="00DF69CE">
      <w:pPr>
        <w:ind w:left="720"/>
      </w:pPr>
    </w:p>
    <w:p w:rsidR="009032EA" w:rsidRDefault="00DD32C8" w:rsidP="00D5197E">
      <w:pPr>
        <w:ind w:left="720"/>
      </w:pPr>
      <w:r>
        <w:rPr>
          <w:i/>
        </w:rPr>
        <w:t>I tried the employment services but they could not help me as they said I was ‘too disabled</w:t>
      </w:r>
      <w:r w:rsidR="000641B7">
        <w:rPr>
          <w:i/>
        </w:rPr>
        <w:t>.</w:t>
      </w:r>
      <w:r>
        <w:rPr>
          <w:i/>
        </w:rPr>
        <w:t>’</w:t>
      </w:r>
    </w:p>
    <w:p w:rsidR="009032EA" w:rsidRDefault="009032EA"/>
    <w:p w:rsidR="00982EED" w:rsidRDefault="003A6B11">
      <w:r>
        <w:t>While it is not the role of DES to address exclusion and discrimination against children and young people with disability in other sectors, it is critical that these experiences in relation to education, post school transition and employment are recognised within the DES system.</w:t>
      </w:r>
    </w:p>
    <w:p w:rsidR="00F06FC3" w:rsidRDefault="00F06FC3"/>
    <w:p w:rsidR="009C2F9B" w:rsidRPr="00B26756" w:rsidRDefault="009C454B">
      <w:pPr>
        <w:rPr>
          <w:b/>
          <w:sz w:val="24"/>
        </w:rPr>
      </w:pPr>
      <w:r w:rsidRPr="00B26756">
        <w:rPr>
          <w:b/>
          <w:sz w:val="24"/>
        </w:rPr>
        <w:t>COMMENTS ON THE DISCUSSION PAPER</w:t>
      </w:r>
    </w:p>
    <w:p w:rsidR="008251E9" w:rsidRDefault="008251E9">
      <w:pPr>
        <w:rPr>
          <w:b/>
        </w:rPr>
      </w:pPr>
    </w:p>
    <w:p w:rsidR="00DB468F" w:rsidRPr="0088227F" w:rsidRDefault="00125901">
      <w:pPr>
        <w:rPr>
          <w:b/>
        </w:rPr>
      </w:pPr>
      <w:r>
        <w:rPr>
          <w:b/>
        </w:rPr>
        <w:t>Eligible School Leavers</w:t>
      </w:r>
    </w:p>
    <w:p w:rsidR="007723BD" w:rsidRDefault="007723BD">
      <w:r>
        <w:t xml:space="preserve">DES can be accessed </w:t>
      </w:r>
      <w:r w:rsidR="008302B7">
        <w:t xml:space="preserve">presently </w:t>
      </w:r>
      <w:r>
        <w:t>by students in their final year of secondary school who meet the Eligible School Leaver (ESL) guidelines. To be eligible, students must either: access individualised funding through their relevant education authority; be enrolled in a special school or special unit within a mainstream school or; receive the Disability Support Pension</w:t>
      </w:r>
      <w:r w:rsidR="00227B85">
        <w:t xml:space="preserve"> (DSP)</w:t>
      </w:r>
      <w:r>
        <w:t>.</w:t>
      </w:r>
      <w:r>
        <w:rPr>
          <w:rStyle w:val="FootnoteReference"/>
        </w:rPr>
        <w:footnoteReference w:id="27"/>
      </w:r>
      <w:r>
        <w:t xml:space="preserve"> </w:t>
      </w:r>
    </w:p>
    <w:p w:rsidR="007723BD" w:rsidRDefault="007723BD"/>
    <w:p w:rsidR="007723BD" w:rsidRDefault="007723BD">
      <w:r>
        <w:t xml:space="preserve">The purpose of the ESL program is currently </w:t>
      </w:r>
      <w:r w:rsidR="0089274C">
        <w:t>to support the</w:t>
      </w:r>
      <w:r w:rsidR="0089274C" w:rsidRPr="00251665">
        <w:t xml:space="preserve"> transition</w:t>
      </w:r>
      <w:r w:rsidR="0089274C">
        <w:t xml:space="preserve"> of students</w:t>
      </w:r>
      <w:r w:rsidR="0089274C" w:rsidRPr="00251665">
        <w:t xml:space="preserve"> into ongoing employment upon finishing school</w:t>
      </w:r>
      <w:r>
        <w:t>.</w:t>
      </w:r>
      <w:r>
        <w:rPr>
          <w:rStyle w:val="FootnoteReference"/>
        </w:rPr>
        <w:footnoteReference w:id="28"/>
      </w:r>
      <w:r>
        <w:t xml:space="preserve"> It is focused on “allowing DES </w:t>
      </w:r>
      <w:r w:rsidR="00863545">
        <w:t xml:space="preserve">providers </w:t>
      </w:r>
      <w:r>
        <w:t>to work in partnership with the school to develop the employment skills to support the transition at the end of Year 12 into sustainable employment with ongoing support as required.”</w:t>
      </w:r>
      <w:r>
        <w:rPr>
          <w:rStyle w:val="FootnoteReference"/>
        </w:rPr>
        <w:footnoteReference w:id="29"/>
      </w:r>
      <w:r>
        <w:t xml:space="preserve"> </w:t>
      </w:r>
      <w:r w:rsidRPr="00251665">
        <w:t xml:space="preserve">The </w:t>
      </w:r>
      <w:r>
        <w:t>ESL g</w:t>
      </w:r>
      <w:r w:rsidRPr="00251665">
        <w:t>uidelines</w:t>
      </w:r>
      <w:r w:rsidR="00C25EF8">
        <w:t xml:space="preserve"> speci</w:t>
      </w:r>
      <w:r w:rsidR="00AA27CE">
        <w:t>fic</w:t>
      </w:r>
      <w:r w:rsidR="00C25EF8">
        <w:t>ally</w:t>
      </w:r>
      <w:r w:rsidRPr="00251665">
        <w:t xml:space="preserve"> discourage the registration of students with DES providers for the purpose of gaining part time after school work</w:t>
      </w:r>
      <w:r>
        <w:t>.</w:t>
      </w:r>
      <w:r>
        <w:rPr>
          <w:rStyle w:val="FootnoteReference"/>
        </w:rPr>
        <w:footnoteReference w:id="30"/>
      </w:r>
    </w:p>
    <w:p w:rsidR="0089274C" w:rsidRDefault="0089274C"/>
    <w:p w:rsidR="00C25EF8" w:rsidRDefault="00C25EF8">
      <w:r>
        <w:t xml:space="preserve">The discussion paper proposes changes to the ESL program to expand the eligibility to include more students with disability, particularly </w:t>
      </w:r>
      <w:r w:rsidR="00D5796C">
        <w:t>Y</w:t>
      </w:r>
      <w:r>
        <w:t>ear 12 students.</w:t>
      </w:r>
      <w:r>
        <w:rPr>
          <w:rStyle w:val="FootnoteReference"/>
        </w:rPr>
        <w:footnoteReference w:id="31"/>
      </w:r>
      <w:r>
        <w:t xml:space="preserve"> It states that “this expanded cohort of students could be supported by a specific service fee and employment outcome payment.”</w:t>
      </w:r>
      <w:r>
        <w:rPr>
          <w:rStyle w:val="FootnoteReference"/>
        </w:rPr>
        <w:footnoteReference w:id="32"/>
      </w:r>
      <w:r>
        <w:t xml:space="preserve"> The discussion paper reiterates the guidelines in stating the ESL program is not intended to provide assistance in locating part time work “as any new outcome payment would only be payable when students remained in employment for a specified period of time after they have finished Year 12.”</w:t>
      </w:r>
      <w:r>
        <w:rPr>
          <w:rStyle w:val="FootnoteReference"/>
        </w:rPr>
        <w:footnoteReference w:id="33"/>
      </w:r>
    </w:p>
    <w:p w:rsidR="00C25EF8" w:rsidRDefault="00C25EF8"/>
    <w:p w:rsidR="006468A8" w:rsidRDefault="001B1D44">
      <w:r>
        <w:t>CYDA supports the expansion of the ESL program to include more students with disability and the development of a specific service fee and outcome payment in recognition of the significant barriers to employment experienced by young people with disability. However, it is</w:t>
      </w:r>
      <w:r w:rsidR="004309AA">
        <w:t xml:space="preserve"> also</w:t>
      </w:r>
      <w:r>
        <w:t xml:space="preserve"> </w:t>
      </w:r>
      <w:r>
        <w:lastRenderedPageBreak/>
        <w:t>the view of CYDA that revising the ESL program to include support for students in locating employment opportunities while at school would result in significant benefits</w:t>
      </w:r>
      <w:r w:rsidR="004309AA">
        <w:t>.</w:t>
      </w:r>
    </w:p>
    <w:p w:rsidR="00870000" w:rsidRDefault="00870000"/>
    <w:p w:rsidR="00C55927" w:rsidRDefault="00870000">
      <w:r>
        <w:t xml:space="preserve">Available research highlights the </w:t>
      </w:r>
      <w:r w:rsidR="007F68B7">
        <w:t xml:space="preserve">positive outcomes </w:t>
      </w:r>
      <w:r>
        <w:t>of part time work for students</w:t>
      </w:r>
      <w:r w:rsidR="00046196">
        <w:t xml:space="preserve">. Having a part time job has been found to support young people </w:t>
      </w:r>
      <w:r w:rsidR="00AA27CE">
        <w:t xml:space="preserve">to </w:t>
      </w:r>
      <w:r w:rsidR="00046196">
        <w:t>develop employability skills including work organisation, time management and appropriate workplace behaviour as well as facilitating financial independence.</w:t>
      </w:r>
      <w:r w:rsidR="00046196">
        <w:rPr>
          <w:rStyle w:val="FootnoteReference"/>
        </w:rPr>
        <w:footnoteReference w:id="34"/>
      </w:r>
      <w:r w:rsidR="00046196">
        <w:t xml:space="preserve"> Part time employment also allows young people to gain an understanding of the labour market and support the transition between education and employment.</w:t>
      </w:r>
      <w:r w:rsidR="00046196">
        <w:rPr>
          <w:rStyle w:val="FootnoteReference"/>
        </w:rPr>
        <w:footnoteReference w:id="35"/>
      </w:r>
      <w:r w:rsidR="00046196">
        <w:t xml:space="preserve"> Volunteering and work experience placements have also been found to provide similar benefits in terms of developing the skills of young people to support future employment.</w:t>
      </w:r>
      <w:r w:rsidR="00046196">
        <w:rPr>
          <w:rStyle w:val="FootnoteReference"/>
        </w:rPr>
        <w:footnoteReference w:id="36"/>
      </w:r>
    </w:p>
    <w:p w:rsidR="00866660" w:rsidRDefault="00866660"/>
    <w:p w:rsidR="00633534" w:rsidRDefault="00866660">
      <w:r>
        <w:t xml:space="preserve">These activities are generally </w:t>
      </w:r>
      <w:r w:rsidR="006D445A">
        <w:t>seen</w:t>
      </w:r>
      <w:r>
        <w:t xml:space="preserve"> as typical to the post school transition experiences of students without disability, however are frequently denied to students with disability. </w:t>
      </w:r>
      <w:r w:rsidR="00046196">
        <w:t>Young people with disability</w:t>
      </w:r>
      <w:r w:rsidR="006D445A">
        <w:t xml:space="preserve"> therefore often </w:t>
      </w:r>
      <w:r>
        <w:t>cannot access</w:t>
      </w:r>
      <w:r w:rsidR="00046196">
        <w:t xml:space="preserve"> opportunities to develop foundational employment skills and gain valuable work experience</w:t>
      </w:r>
      <w:r w:rsidR="0009630F">
        <w:t>.</w:t>
      </w:r>
    </w:p>
    <w:p w:rsidR="008557E2" w:rsidRDefault="008557E2"/>
    <w:p w:rsidR="00866660" w:rsidRDefault="00D5796C">
      <w:r>
        <w:t>This is not to suggest that</w:t>
      </w:r>
      <w:r w:rsidR="00B9388A">
        <w:t xml:space="preserve"> DES </w:t>
      </w:r>
      <w:r w:rsidR="00AA27CE">
        <w:t>providers cease</w:t>
      </w:r>
      <w:r w:rsidR="00B9388A">
        <w:t xml:space="preserve"> </w:t>
      </w:r>
      <w:r w:rsidR="00AA27CE">
        <w:t xml:space="preserve">to facilitate </w:t>
      </w:r>
      <w:r w:rsidR="00B9388A">
        <w:t>support for longer term career development for young people for whom t</w:t>
      </w:r>
      <w:r w:rsidR="00AA27CE">
        <w:t>his</w:t>
      </w:r>
      <w:r w:rsidR="00B9388A">
        <w:t xml:space="preserve"> i</w:t>
      </w:r>
      <w:r w:rsidR="00863545">
        <w:t>s</w:t>
      </w:r>
      <w:r w:rsidR="00B9388A">
        <w:t xml:space="preserve"> appropriate. However, t</w:t>
      </w:r>
      <w:r w:rsidR="006D445A">
        <w:t xml:space="preserve">he </w:t>
      </w:r>
      <w:r w:rsidR="00DE3EFE">
        <w:t>present reform process provides a valuable opportunity to reframe the ESL provisions</w:t>
      </w:r>
      <w:r w:rsidR="00B9388A">
        <w:t xml:space="preserve"> to meet the needs of a broader range of young people</w:t>
      </w:r>
      <w:r w:rsidR="00DE3EFE">
        <w:t xml:space="preserve">. This </w:t>
      </w:r>
      <w:r w:rsidR="00866660">
        <w:t>could</w:t>
      </w:r>
      <w:r w:rsidR="006D445A">
        <w:t xml:space="preserve"> potentially</w:t>
      </w:r>
      <w:r w:rsidR="00866660">
        <w:t xml:space="preserve"> include:</w:t>
      </w:r>
    </w:p>
    <w:p w:rsidR="00866660" w:rsidRDefault="00866660" w:rsidP="00866660">
      <w:pPr>
        <w:pStyle w:val="ListParagraph"/>
        <w:numPr>
          <w:ilvl w:val="0"/>
          <w:numId w:val="8"/>
        </w:numPr>
      </w:pPr>
      <w:r>
        <w:t xml:space="preserve">Redefining the purpose of DES </w:t>
      </w:r>
      <w:r w:rsidR="008302B7">
        <w:t>regarding access for</w:t>
      </w:r>
      <w:r>
        <w:t xml:space="preserve"> </w:t>
      </w:r>
      <w:r w:rsidR="00AA27CE">
        <w:t xml:space="preserve">secondary students with </w:t>
      </w:r>
      <w:r>
        <w:t>disability</w:t>
      </w:r>
      <w:r w:rsidR="00AA27CE">
        <w:t xml:space="preserve"> </w:t>
      </w:r>
      <w:r>
        <w:t xml:space="preserve">to </w:t>
      </w:r>
      <w:r w:rsidR="008302B7">
        <w:t>facilitate the development of</w:t>
      </w:r>
      <w:r>
        <w:t xml:space="preserve"> foundational employment skills, including through part time employment, volunteering and work experience;</w:t>
      </w:r>
    </w:p>
    <w:p w:rsidR="00866660" w:rsidRDefault="00866660" w:rsidP="00866660">
      <w:pPr>
        <w:pStyle w:val="ListParagraph"/>
        <w:numPr>
          <w:ilvl w:val="0"/>
          <w:numId w:val="8"/>
        </w:numPr>
      </w:pPr>
      <w:r>
        <w:lastRenderedPageBreak/>
        <w:t>Expansion of the eligibility to include students who are at the legal working age, rather than just ‘school leavers’ in Year 12;</w:t>
      </w:r>
    </w:p>
    <w:p w:rsidR="00866660" w:rsidRDefault="00866660">
      <w:pPr>
        <w:pStyle w:val="ListParagraph"/>
        <w:numPr>
          <w:ilvl w:val="0"/>
          <w:numId w:val="8"/>
        </w:numPr>
      </w:pPr>
      <w:r>
        <w:t>Expansion of the eligibility to include</w:t>
      </w:r>
      <w:r w:rsidR="00633534">
        <w:t xml:space="preserve"> </w:t>
      </w:r>
      <w:r>
        <w:t>students with disability</w:t>
      </w:r>
      <w:r w:rsidR="00227B85">
        <w:t xml:space="preserve"> who are enrolled in mainstream classes and</w:t>
      </w:r>
      <w:r>
        <w:t xml:space="preserve"> do not receive individual </w:t>
      </w:r>
      <w:r w:rsidR="008302B7">
        <w:t xml:space="preserve">education </w:t>
      </w:r>
      <w:r>
        <w:t>funding</w:t>
      </w:r>
      <w:r w:rsidR="00227B85">
        <w:t xml:space="preserve"> or the DSP</w:t>
      </w:r>
      <w:r>
        <w:t xml:space="preserve">. CYDA is aware </w:t>
      </w:r>
      <w:r w:rsidR="00227B85">
        <w:t>that there are</w:t>
      </w:r>
      <w:r>
        <w:t xml:space="preserve"> many young people who do not meet the current criteria but would none the less greatly benefit from additional support</w:t>
      </w:r>
      <w:r w:rsidR="00227B85">
        <w:t xml:space="preserve"> in accessing employment; and</w:t>
      </w:r>
    </w:p>
    <w:p w:rsidR="00227B85" w:rsidRDefault="00227B85" w:rsidP="00866660">
      <w:pPr>
        <w:pStyle w:val="ListParagraph"/>
        <w:numPr>
          <w:ilvl w:val="0"/>
          <w:numId w:val="8"/>
        </w:numPr>
      </w:pPr>
      <w:r>
        <w:t>Changing the title of the ESL program to reflect that support is not solely intended for school leavers.</w:t>
      </w:r>
    </w:p>
    <w:p w:rsidR="002F14D0" w:rsidRDefault="002F14D0"/>
    <w:p w:rsidR="00227B85" w:rsidRDefault="00227B85">
      <w:r>
        <w:t>It is also important to consider appropriate linkages and collaboration with relevant education, post school transition and employment systems and supports. This will involve significant challenges as these areas each sit within different jurisdictions and p</w:t>
      </w:r>
      <w:r w:rsidR="007C190B">
        <w:t>ortfolios</w:t>
      </w:r>
      <w:r>
        <w:t>.</w:t>
      </w:r>
    </w:p>
    <w:p w:rsidR="00227B85" w:rsidRDefault="00227B85"/>
    <w:p w:rsidR="008725D5" w:rsidRDefault="00227B85">
      <w:r>
        <w:t xml:space="preserve">CYDA notes the </w:t>
      </w:r>
      <w:r w:rsidR="00D5796C">
        <w:t xml:space="preserve">issue </w:t>
      </w:r>
      <w:r>
        <w:t>raised in the discussion paper that:</w:t>
      </w:r>
      <w:r w:rsidR="008725D5">
        <w:t xml:space="preserve"> “given that the education of people with disability is fundamentally the responsibility of the education system, it is important to ensure that DES does not duplicate supports that should be provided by schools.”</w:t>
      </w:r>
      <w:r w:rsidR="008725D5">
        <w:rPr>
          <w:rStyle w:val="FootnoteReference"/>
        </w:rPr>
        <w:footnoteReference w:id="37"/>
      </w:r>
      <w:r w:rsidR="008725D5">
        <w:t xml:space="preserve"> However, support in accessing part time employment is not </w:t>
      </w:r>
      <w:r w:rsidR="00AA27CE">
        <w:t xml:space="preserve">generally </w:t>
      </w:r>
      <w:r w:rsidR="008725D5">
        <w:t>the role of schools.</w:t>
      </w:r>
    </w:p>
    <w:p w:rsidR="008725D5" w:rsidRDefault="008725D5"/>
    <w:p w:rsidR="00227B85" w:rsidRDefault="008725D5">
      <w:r>
        <w:t xml:space="preserve">Further, provision of post school transition support for students with disability is </w:t>
      </w:r>
      <w:r w:rsidR="00227B85">
        <w:t>typically</w:t>
      </w:r>
      <w:r>
        <w:t xml:space="preserve"> non-existent or extremely poor. While CYDA is not suggesting DES adopt the responsibilities of schools, it is </w:t>
      </w:r>
      <w:r w:rsidR="00AA27CE">
        <w:t xml:space="preserve">crucial </w:t>
      </w:r>
      <w:r>
        <w:t xml:space="preserve">to ensure appropriate collaboration and coordination across the different systems in a young person’s life to ensure provision of appropriate support. </w:t>
      </w:r>
    </w:p>
    <w:p w:rsidR="00227B85" w:rsidRDefault="00227B85"/>
    <w:p w:rsidR="008725D5" w:rsidRDefault="008725D5">
      <w:r>
        <w:t>For example, students with disability are often denied access to work experience facilitated through schools. A common scenario is students with disability being required to undertake work experience within the school, such as in the library or</w:t>
      </w:r>
      <w:r w:rsidR="007F68B7">
        <w:t xml:space="preserve"> </w:t>
      </w:r>
      <w:r>
        <w:t>not participate at all. In these cases, consideration should be given to how</w:t>
      </w:r>
      <w:r w:rsidR="007C190B">
        <w:t xml:space="preserve"> </w:t>
      </w:r>
      <w:r>
        <w:t xml:space="preserve">DES could provide assistance in locating work experience placements to ensure students with disability do </w:t>
      </w:r>
      <w:r>
        <w:lastRenderedPageBreak/>
        <w:t>not miss out on this valuable experience. This would require close collaboration with schools and provision of information to ensure schools are aware of supports available through DES.</w:t>
      </w:r>
    </w:p>
    <w:p w:rsidR="008725D5" w:rsidRDefault="008725D5"/>
    <w:p w:rsidR="008725D5" w:rsidRDefault="008725D5">
      <w:r>
        <w:t>In addition, appropriate connections with other relevant post school transition supports or services</w:t>
      </w:r>
      <w:r w:rsidR="00AA27CE">
        <w:t xml:space="preserve"> are also important</w:t>
      </w:r>
      <w:r>
        <w:t xml:space="preserve">. This may include the National Disability Insurance Scheme </w:t>
      </w:r>
      <w:r w:rsidR="00CA70F0">
        <w:t xml:space="preserve">(NDIS) </w:t>
      </w:r>
      <w:r>
        <w:t>for students who are participants or the National Disability Coordination Officer program.</w:t>
      </w:r>
    </w:p>
    <w:p w:rsidR="008725D5" w:rsidRDefault="008725D5"/>
    <w:p w:rsidR="008725D5" w:rsidRDefault="008725D5">
      <w:r>
        <w:t>The discussion paper</w:t>
      </w:r>
      <w:r w:rsidR="00863545">
        <w:t xml:space="preserve"> also</w:t>
      </w:r>
      <w:r>
        <w:t xml:space="preserve"> notes the availability of youth specialist DES</w:t>
      </w:r>
      <w:r w:rsidR="00863545">
        <w:t xml:space="preserve"> providers</w:t>
      </w:r>
      <w:r>
        <w:t>.</w:t>
      </w:r>
      <w:r>
        <w:rPr>
          <w:rStyle w:val="FootnoteReference"/>
        </w:rPr>
        <w:footnoteReference w:id="38"/>
      </w:r>
      <w:r>
        <w:t xml:space="preserve"> Examination and review of the outcomes and expertise of these organisations could also be of significant value in ensuring the DES system can meet the needs of young people with disability.</w:t>
      </w:r>
    </w:p>
    <w:p w:rsidR="009F3320" w:rsidRDefault="009F3320" w:rsidP="009F3320">
      <w:pPr>
        <w:rPr>
          <w:u w:val="single"/>
        </w:rPr>
      </w:pPr>
    </w:p>
    <w:p w:rsidR="00633534" w:rsidRDefault="00D468F3" w:rsidP="009F3320">
      <w:r>
        <w:rPr>
          <w:b/>
        </w:rPr>
        <w:t>Recommendation</w:t>
      </w:r>
      <w:r w:rsidR="00D5796C">
        <w:rPr>
          <w:b/>
        </w:rPr>
        <w:t xml:space="preserve"> </w:t>
      </w:r>
      <w:r w:rsidR="00D5796C" w:rsidRPr="00635C00">
        <w:rPr>
          <w:b/>
        </w:rPr>
        <w:t>1</w:t>
      </w:r>
      <w:r w:rsidR="00035FA7" w:rsidRPr="004026A4">
        <w:rPr>
          <w:b/>
        </w:rPr>
        <w:t>:</w:t>
      </w:r>
      <w:r>
        <w:rPr>
          <w:b/>
        </w:rPr>
        <w:t xml:space="preserve"> </w:t>
      </w:r>
      <w:r w:rsidR="009F3320" w:rsidRPr="002F14D0">
        <w:t xml:space="preserve">Review of the Eligible School Leaver Guidelines for </w:t>
      </w:r>
      <w:r w:rsidR="00CA70F0">
        <w:t>DES</w:t>
      </w:r>
      <w:r w:rsidR="009F3320" w:rsidRPr="002F14D0">
        <w:t xml:space="preserve"> to facilitate support for young people with disabili</w:t>
      </w:r>
      <w:r w:rsidR="008725D5">
        <w:t>ty to access work experience,</w:t>
      </w:r>
      <w:r w:rsidR="009F3320" w:rsidRPr="002F14D0">
        <w:t xml:space="preserve"> part time employment </w:t>
      </w:r>
      <w:r w:rsidR="008725D5">
        <w:t xml:space="preserve">and volunteering </w:t>
      </w:r>
      <w:r w:rsidR="009F3320" w:rsidRPr="002F14D0">
        <w:t>opportunities while still at school.</w:t>
      </w:r>
      <w:r w:rsidR="00850A8F">
        <w:t xml:space="preserve"> </w:t>
      </w:r>
    </w:p>
    <w:p w:rsidR="00633534" w:rsidRDefault="00633534" w:rsidP="009F3320">
      <w:pPr>
        <w:rPr>
          <w:b/>
        </w:rPr>
      </w:pPr>
    </w:p>
    <w:p w:rsidR="00035FA7" w:rsidRDefault="00633534" w:rsidP="009F3320">
      <w:r>
        <w:rPr>
          <w:b/>
        </w:rPr>
        <w:t>Recommendation</w:t>
      </w:r>
      <w:r w:rsidR="006A6FEE">
        <w:rPr>
          <w:b/>
        </w:rPr>
        <w:t xml:space="preserve"> 2</w:t>
      </w:r>
      <w:r>
        <w:rPr>
          <w:b/>
        </w:rPr>
        <w:t xml:space="preserve">: </w:t>
      </w:r>
      <w:r>
        <w:t xml:space="preserve">Expansion of </w:t>
      </w:r>
      <w:r w:rsidR="00CA70F0">
        <w:t xml:space="preserve">the </w:t>
      </w:r>
      <w:r>
        <w:t xml:space="preserve">eligibility criteria </w:t>
      </w:r>
      <w:r w:rsidR="00CA70F0">
        <w:t>for</w:t>
      </w:r>
      <w:r>
        <w:t xml:space="preserve"> DES to include </w:t>
      </w:r>
      <w:r w:rsidR="006C5604">
        <w:t xml:space="preserve">secondary </w:t>
      </w:r>
      <w:r>
        <w:t xml:space="preserve">students </w:t>
      </w:r>
      <w:r w:rsidR="00DD0FCF">
        <w:t>of</w:t>
      </w:r>
      <w:r>
        <w:t xml:space="preserve"> legal working age, who are enrolled in mainstream classes and do not receive individual education funding or the DSP. </w:t>
      </w:r>
    </w:p>
    <w:p w:rsidR="00035FA7" w:rsidRDefault="00035FA7" w:rsidP="009F3320"/>
    <w:p w:rsidR="000B1D86" w:rsidRDefault="006C5604">
      <w:r w:rsidRPr="00D5197E">
        <w:rPr>
          <w:b/>
        </w:rPr>
        <w:t>Recommendations</w:t>
      </w:r>
      <w:r w:rsidR="006A6FEE">
        <w:rPr>
          <w:b/>
        </w:rPr>
        <w:t xml:space="preserve"> 3</w:t>
      </w:r>
      <w:r w:rsidRPr="00D5197E">
        <w:rPr>
          <w:b/>
        </w:rPr>
        <w:t>:</w:t>
      </w:r>
      <w:r>
        <w:t xml:space="preserve"> </w:t>
      </w:r>
      <w:r w:rsidR="00D5796C">
        <w:t>Consideration of mechanisms to ensure</w:t>
      </w:r>
      <w:r>
        <w:t xml:space="preserve"> adequate linkages and collaboration between DES, schools, tertiary education providers, the </w:t>
      </w:r>
      <w:r w:rsidR="00CA70F0">
        <w:t>NDIS</w:t>
      </w:r>
      <w:r>
        <w:t xml:space="preserve">, post school transition programs for students with disability and employers with the aim of providing coordinated support for young people with disability to access employment. </w:t>
      </w:r>
    </w:p>
    <w:p w:rsidR="000B1D86" w:rsidRDefault="000B1D86"/>
    <w:p w:rsidR="00AA27CE" w:rsidRDefault="000B1D86">
      <w:r>
        <w:rPr>
          <w:b/>
        </w:rPr>
        <w:t>Recommendation</w:t>
      </w:r>
      <w:r w:rsidR="006A6FEE">
        <w:rPr>
          <w:b/>
        </w:rPr>
        <w:t xml:space="preserve"> 4</w:t>
      </w:r>
      <w:r>
        <w:rPr>
          <w:b/>
        </w:rPr>
        <w:t xml:space="preserve">: </w:t>
      </w:r>
      <w:r>
        <w:t>Examination and review of available expertise and outcomes facilitated through youth specialist DES providers.</w:t>
      </w:r>
    </w:p>
    <w:p w:rsidR="000B1D86" w:rsidRPr="00D5197E" w:rsidRDefault="000B1D86"/>
    <w:p w:rsidR="00AA27CE" w:rsidRPr="00D5197E" w:rsidRDefault="00AA27CE">
      <w:pPr>
        <w:rPr>
          <w:b/>
        </w:rPr>
      </w:pPr>
      <w:r w:rsidRPr="00737988">
        <w:rPr>
          <w:b/>
        </w:rPr>
        <w:t>Support for Young Peo</w:t>
      </w:r>
      <w:r w:rsidR="00E7470D">
        <w:rPr>
          <w:b/>
        </w:rPr>
        <w:t>ple with Disability Post School</w:t>
      </w:r>
    </w:p>
    <w:p w:rsidR="00AA27CE" w:rsidRPr="00737988" w:rsidRDefault="00E7470D" w:rsidP="00AA27CE">
      <w:r>
        <w:t xml:space="preserve">It is also important to ensure there is consideration of the circumstances of young people who have finished secondary school or are in tertiary education in relation to supports provided through DES. </w:t>
      </w:r>
      <w:r w:rsidR="005E70B9" w:rsidRPr="00737988">
        <w:t>It is c</w:t>
      </w:r>
      <w:r w:rsidR="00D5796C" w:rsidRPr="00737988">
        <w:t>ommon for young people to seek</w:t>
      </w:r>
      <w:r w:rsidR="005E70B9" w:rsidRPr="00737988">
        <w:t xml:space="preserve"> </w:t>
      </w:r>
      <w:r w:rsidR="00455281" w:rsidRPr="00737988">
        <w:t>employment in term</w:t>
      </w:r>
      <w:r w:rsidR="00D5796C" w:rsidRPr="00737988">
        <w:t xml:space="preserve"> or </w:t>
      </w:r>
      <w:r w:rsidR="00455281" w:rsidRPr="00737988">
        <w:t xml:space="preserve">semester </w:t>
      </w:r>
      <w:r w:rsidR="00455281" w:rsidRPr="00737988">
        <w:lastRenderedPageBreak/>
        <w:t>breaks</w:t>
      </w:r>
      <w:r w:rsidR="00D5796C" w:rsidRPr="00737988">
        <w:t>,</w:t>
      </w:r>
      <w:r w:rsidR="00455281" w:rsidRPr="00737988">
        <w:t xml:space="preserve"> </w:t>
      </w:r>
      <w:r w:rsidR="000B1D86" w:rsidRPr="00737988">
        <w:t>after completing school or after commencing in tertiary study.</w:t>
      </w:r>
      <w:r w:rsidR="005E70B9" w:rsidRPr="00737988">
        <w:t xml:space="preserve"> </w:t>
      </w:r>
      <w:r>
        <w:t xml:space="preserve">This may include part time or temporary employment. </w:t>
      </w:r>
    </w:p>
    <w:p w:rsidR="00AA27CE" w:rsidRPr="00737988" w:rsidRDefault="00AA27CE"/>
    <w:p w:rsidR="00E7470D" w:rsidRDefault="00E7470D">
      <w:r>
        <w:t>CYDA understands that support provided by DES during this time depend</w:t>
      </w:r>
      <w:r w:rsidR="00D67B0A">
        <w:t>s</w:t>
      </w:r>
      <w:r>
        <w:t xml:space="preserve"> on </w:t>
      </w:r>
      <w:r w:rsidR="00D67B0A">
        <w:t>Employment B</w:t>
      </w:r>
      <w:r>
        <w:t xml:space="preserve">enchmark hours determined through </w:t>
      </w:r>
      <w:r w:rsidR="00D67B0A">
        <w:t xml:space="preserve">required assessments </w:t>
      </w:r>
      <w:r>
        <w:t>or any Mutual Obligation</w:t>
      </w:r>
      <w:r w:rsidR="00D67B0A">
        <w:t xml:space="preserve"> or Participation r</w:t>
      </w:r>
      <w:r>
        <w:t>equirements</w:t>
      </w:r>
      <w:r w:rsidR="00D67B0A">
        <w:t xml:space="preserve"> through Centrelink</w:t>
      </w:r>
      <w:r>
        <w:t xml:space="preserve">. However, it may be useful to consider </w:t>
      </w:r>
      <w:r w:rsidR="004F08C5">
        <w:t>how</w:t>
      </w:r>
      <w:r>
        <w:t xml:space="preserve"> DES can </w:t>
      </w:r>
      <w:r w:rsidR="004F08C5">
        <w:t>provide more flexible support for young people, including in locating part time or temporary work, in addition to a focus on longer term employment outcomes.</w:t>
      </w:r>
    </w:p>
    <w:p w:rsidR="00AA27CE" w:rsidRDefault="00AA27CE"/>
    <w:p w:rsidR="00125901" w:rsidRDefault="00F80B40" w:rsidP="00125901">
      <w:pPr>
        <w:rPr>
          <w:b/>
        </w:rPr>
      </w:pPr>
      <w:r>
        <w:rPr>
          <w:b/>
        </w:rPr>
        <w:t>DES Providers</w:t>
      </w:r>
    </w:p>
    <w:p w:rsidR="009F5537" w:rsidRDefault="00F80B40" w:rsidP="00035FA7">
      <w:r>
        <w:t>CYDA has heard varied feedback in relation to the quality of service accessed through DES. While some positive experiences have been reported, concerns have been raised with CYDA around support provided</w:t>
      </w:r>
      <w:r w:rsidR="006107A5">
        <w:t xml:space="preserve"> and available expertise</w:t>
      </w:r>
      <w:r>
        <w:t xml:space="preserve">. An example is a lack of </w:t>
      </w:r>
      <w:r w:rsidRPr="00633534">
        <w:t>responsiveness from DES following</w:t>
      </w:r>
      <w:r>
        <w:t xml:space="preserve"> participant or family queries or suggestions regarding useful supports and job placement options. </w:t>
      </w:r>
    </w:p>
    <w:p w:rsidR="009F5537" w:rsidRDefault="009F5537" w:rsidP="00035FA7"/>
    <w:p w:rsidR="00F80B40" w:rsidRDefault="009F5537" w:rsidP="00035FA7">
      <w:r>
        <w:t>CYDA notes that the discussion paper includes proposals that aim to ensure successful DES providers are able to expand their market share. It is the view of CYDA that also important is consideration of participant experiences in examining the ‘success’ of services.</w:t>
      </w:r>
    </w:p>
    <w:p w:rsidR="009F5537" w:rsidRDefault="009F5537" w:rsidP="00035FA7"/>
    <w:p w:rsidR="009F5537" w:rsidRPr="009F5537" w:rsidRDefault="009F5537" w:rsidP="00035FA7">
      <w:r>
        <w:rPr>
          <w:b/>
        </w:rPr>
        <w:t>Recommendation</w:t>
      </w:r>
      <w:r w:rsidR="006A6FEE">
        <w:rPr>
          <w:b/>
        </w:rPr>
        <w:t xml:space="preserve"> 5</w:t>
      </w:r>
      <w:r>
        <w:rPr>
          <w:b/>
        </w:rPr>
        <w:t xml:space="preserve">: </w:t>
      </w:r>
      <w:r>
        <w:t xml:space="preserve">Consideration of mechanisms to ensure participant experiences and </w:t>
      </w:r>
      <w:r w:rsidR="000B1D86">
        <w:t xml:space="preserve">reported </w:t>
      </w:r>
      <w:r>
        <w:t xml:space="preserve">satisfaction </w:t>
      </w:r>
      <w:r w:rsidR="000B1D86">
        <w:t>is</w:t>
      </w:r>
      <w:r>
        <w:t xml:space="preserve"> able to inform evaluation of DES provider performance.</w:t>
      </w:r>
    </w:p>
    <w:p w:rsidR="00035FA7" w:rsidRPr="00125901" w:rsidRDefault="00035FA7" w:rsidP="00125901">
      <w:pPr>
        <w:rPr>
          <w:b/>
        </w:rPr>
      </w:pPr>
    </w:p>
    <w:p w:rsidR="00125901" w:rsidRDefault="00125901" w:rsidP="00125901">
      <w:pPr>
        <w:rPr>
          <w:b/>
        </w:rPr>
      </w:pPr>
      <w:r w:rsidRPr="00125901">
        <w:rPr>
          <w:b/>
        </w:rPr>
        <w:t>Linkages with Broader Employment Initiatives</w:t>
      </w:r>
    </w:p>
    <w:p w:rsidR="009F5537" w:rsidRDefault="00225A81" w:rsidP="00125901">
      <w:r>
        <w:t>There are presently a range of services, initiatives and programs that aim to improve employment outcomes, including those targeted at people with disability and the broader population. It is important to ensure appropriate linkages and collaboration occurs to coordinate service delivery. However, because DES sits within the Department of Social Services, CYDA is concerned that provision of employment support for people with disability remains siloed and segregated from broader reform around employment.</w:t>
      </w:r>
    </w:p>
    <w:p w:rsidR="009F5537" w:rsidRDefault="009F5537" w:rsidP="00125901"/>
    <w:p w:rsidR="00225A81" w:rsidRDefault="00225A81" w:rsidP="00225A81">
      <w:r>
        <w:t xml:space="preserve">One particular current employment initiative CYDA would like to highlight is the </w:t>
      </w:r>
      <w:r>
        <w:rPr>
          <w:i/>
        </w:rPr>
        <w:t xml:space="preserve">Youth Jobs </w:t>
      </w:r>
      <w:proofErr w:type="spellStart"/>
      <w:r>
        <w:rPr>
          <w:i/>
        </w:rPr>
        <w:t>PaTH</w:t>
      </w:r>
      <w:proofErr w:type="spellEnd"/>
      <w:r>
        <w:rPr>
          <w:i/>
        </w:rPr>
        <w:t xml:space="preserve"> (Prepare, Trial Hire) </w:t>
      </w:r>
      <w:r>
        <w:t xml:space="preserve">program. The program </w:t>
      </w:r>
      <w:r>
        <w:lastRenderedPageBreak/>
        <w:t>aims to maximise “the chance of young job seekers obtaining a job and moving off income support.”</w:t>
      </w:r>
      <w:r>
        <w:rPr>
          <w:rStyle w:val="FootnoteReference"/>
        </w:rPr>
        <w:footnoteReference w:id="39"/>
      </w:r>
      <w:r>
        <w:t xml:space="preserve"> The three components of the initiative are employability skills training, subsidised internship placements and a youth wage subsidy.</w:t>
      </w:r>
      <w:r>
        <w:rPr>
          <w:rStyle w:val="FootnoteReference"/>
        </w:rPr>
        <w:footnoteReference w:id="40"/>
      </w:r>
      <w:r>
        <w:t xml:space="preserve"> </w:t>
      </w:r>
    </w:p>
    <w:p w:rsidR="00225A81" w:rsidRDefault="00225A81" w:rsidP="00225A81"/>
    <w:p w:rsidR="00DB468F" w:rsidRDefault="00225A81">
      <w:r>
        <w:t xml:space="preserve">To be eligible, young people must be aged between 17 and 24 years, have been in </w:t>
      </w:r>
      <w:proofErr w:type="spellStart"/>
      <w:r>
        <w:t>jobactive</w:t>
      </w:r>
      <w:proofErr w:type="spellEnd"/>
      <w:r>
        <w:t>, Transition to Work or Disability Employment Services for at least six months and be currently accessing income support payments.</w:t>
      </w:r>
      <w:r>
        <w:rPr>
          <w:rStyle w:val="FootnoteReference"/>
        </w:rPr>
        <w:footnoteReference w:id="41"/>
      </w:r>
      <w:r>
        <w:t xml:space="preserve"> The </w:t>
      </w:r>
      <w:r>
        <w:rPr>
          <w:i/>
        </w:rPr>
        <w:t xml:space="preserve">Youth Bonus Wage Subsidy </w:t>
      </w:r>
      <w:r>
        <w:t>will be available to employers who hire a job seeker aged under 25 years who has been accessing employment services for at least six months.</w:t>
      </w:r>
      <w:r>
        <w:rPr>
          <w:rStyle w:val="FootnoteReference"/>
        </w:rPr>
        <w:footnoteReference w:id="42"/>
      </w:r>
      <w:r>
        <w:t xml:space="preserve"> Legislation to give effect to the internship and wage subsidy component</w:t>
      </w:r>
      <w:r w:rsidR="00693774">
        <w:t>s</w:t>
      </w:r>
      <w:r>
        <w:t xml:space="preserve"> of the program is yet to be passed by Parliament.</w:t>
      </w:r>
    </w:p>
    <w:p w:rsidR="00225A81" w:rsidRDefault="00225A81"/>
    <w:p w:rsidR="006C5604" w:rsidRDefault="00D468F3">
      <w:r>
        <w:t xml:space="preserve">It is important to consider how these concurrent areas of reform will be connected to provide assistance to young people with disability and ultimately improve outcomes. </w:t>
      </w:r>
      <w:r w:rsidR="006107A5">
        <w:t xml:space="preserve">For example, </w:t>
      </w:r>
      <w:r>
        <w:t>DES providers will need to be informed a</w:t>
      </w:r>
      <w:r w:rsidR="006D445A">
        <w:t>bout</w:t>
      </w:r>
      <w:r>
        <w:t xml:space="preserve"> </w:t>
      </w:r>
      <w:r>
        <w:rPr>
          <w:i/>
        </w:rPr>
        <w:t xml:space="preserve">Youth Jobs </w:t>
      </w:r>
      <w:proofErr w:type="spellStart"/>
      <w:r>
        <w:rPr>
          <w:i/>
        </w:rPr>
        <w:t>PaTH</w:t>
      </w:r>
      <w:proofErr w:type="spellEnd"/>
      <w:r>
        <w:rPr>
          <w:i/>
        </w:rPr>
        <w:t xml:space="preserve"> </w:t>
      </w:r>
      <w:r>
        <w:t xml:space="preserve">to provide information and support around accessing the program for young DES participants </w:t>
      </w:r>
      <w:r w:rsidR="006107A5">
        <w:t>if relevant.</w:t>
      </w:r>
    </w:p>
    <w:p w:rsidR="006C5604" w:rsidRPr="006C5604" w:rsidRDefault="006C5604"/>
    <w:p w:rsidR="006C5604" w:rsidRDefault="006C5604">
      <w:r>
        <w:rPr>
          <w:b/>
        </w:rPr>
        <w:t>Recommendation</w:t>
      </w:r>
      <w:r w:rsidR="006A6FEE">
        <w:rPr>
          <w:b/>
        </w:rPr>
        <w:t xml:space="preserve"> 6</w:t>
      </w:r>
      <w:r>
        <w:rPr>
          <w:b/>
        </w:rPr>
        <w:t xml:space="preserve">: </w:t>
      </w:r>
      <w:r>
        <w:t>Ensure appropriate linkages between DES and the broader employment system and the Department of Employment.</w:t>
      </w:r>
    </w:p>
    <w:p w:rsidR="006C5604" w:rsidRDefault="006C5604"/>
    <w:p w:rsidR="006C5604" w:rsidRPr="006C5604" w:rsidRDefault="006C5604">
      <w:r>
        <w:rPr>
          <w:b/>
        </w:rPr>
        <w:t>Recommendation</w:t>
      </w:r>
      <w:r w:rsidR="006A6FEE">
        <w:rPr>
          <w:b/>
        </w:rPr>
        <w:t xml:space="preserve"> 7</w:t>
      </w:r>
      <w:r>
        <w:rPr>
          <w:b/>
        </w:rPr>
        <w:t xml:space="preserve">: </w:t>
      </w:r>
      <w:r>
        <w:t>D</w:t>
      </w:r>
      <w:r w:rsidR="00B927F4">
        <w:t xml:space="preserve">epartment of Social Services </w:t>
      </w:r>
      <w:r>
        <w:t xml:space="preserve">collaborate with the Department of Employment in relation to the </w:t>
      </w:r>
      <w:r>
        <w:rPr>
          <w:i/>
        </w:rPr>
        <w:t xml:space="preserve">Youth Jobs </w:t>
      </w:r>
      <w:proofErr w:type="spellStart"/>
      <w:r>
        <w:rPr>
          <w:i/>
        </w:rPr>
        <w:t>PaTH</w:t>
      </w:r>
      <w:proofErr w:type="spellEnd"/>
      <w:r>
        <w:rPr>
          <w:i/>
        </w:rPr>
        <w:t xml:space="preserve"> </w:t>
      </w:r>
      <w:r>
        <w:t>initiative to ensure young DES participants can access the program if relevant.</w:t>
      </w:r>
    </w:p>
    <w:p w:rsidR="006D445A" w:rsidRPr="00D5197E" w:rsidRDefault="006D445A"/>
    <w:p w:rsidR="006F5D90" w:rsidRDefault="00D468F3">
      <w:pPr>
        <w:rPr>
          <w:b/>
        </w:rPr>
      </w:pPr>
      <w:r>
        <w:rPr>
          <w:b/>
        </w:rPr>
        <w:t>Availability of Information for Young People</w:t>
      </w:r>
      <w:bookmarkStart w:id="0" w:name="_GoBack"/>
      <w:bookmarkEnd w:id="0"/>
    </w:p>
    <w:p w:rsidR="00D468F3" w:rsidRDefault="00D468F3">
      <w:r>
        <w:t xml:space="preserve">CYDA frequently hears from young people with disability and families about the significant challenges associated with accessing clear information </w:t>
      </w:r>
      <w:r w:rsidR="0060399D">
        <w:t xml:space="preserve">about </w:t>
      </w:r>
      <w:r>
        <w:t xml:space="preserve">post school transition and employment supports. These challenges are compounded by the fact that programs and supports are </w:t>
      </w:r>
      <w:r>
        <w:lastRenderedPageBreak/>
        <w:t>provided by different agencies and organisations and in different jurisdictions. This is reflected in the following comment made to CYDA</w:t>
      </w:r>
      <w:r w:rsidR="001534F7">
        <w:t xml:space="preserve"> in relation to DES</w:t>
      </w:r>
      <w:r>
        <w:t>:</w:t>
      </w:r>
    </w:p>
    <w:p w:rsidR="00D468F3" w:rsidRPr="00D468F3" w:rsidRDefault="00D468F3"/>
    <w:p w:rsidR="00035FA7" w:rsidRPr="00035FA7" w:rsidRDefault="00035FA7" w:rsidP="00D468F3">
      <w:pPr>
        <w:ind w:left="720"/>
      </w:pPr>
      <w:r w:rsidRPr="00D468F3">
        <w:rPr>
          <w:i/>
        </w:rPr>
        <w:t xml:space="preserve">EVERY bit of information I receive is through advocacy groups like </w:t>
      </w:r>
      <w:r w:rsidR="00D468F3" w:rsidRPr="00D468F3">
        <w:rPr>
          <w:i/>
        </w:rPr>
        <w:t>(CYDA)</w:t>
      </w:r>
      <w:r w:rsidRPr="00D468F3">
        <w:rPr>
          <w:i/>
        </w:rPr>
        <w:t>, networking with other parents or troll</w:t>
      </w:r>
      <w:r w:rsidR="00D468F3" w:rsidRPr="00D468F3">
        <w:rPr>
          <w:i/>
        </w:rPr>
        <w:t>ing through mazes of paperwork and</w:t>
      </w:r>
      <w:r w:rsidRPr="00D468F3">
        <w:rPr>
          <w:i/>
        </w:rPr>
        <w:t xml:space="preserve"> we</w:t>
      </w:r>
      <w:r w:rsidR="00D468F3" w:rsidRPr="00D468F3">
        <w:rPr>
          <w:i/>
        </w:rPr>
        <w:t>bsites to find things by chance</w:t>
      </w:r>
      <w:r w:rsidR="006107A5">
        <w:t>.</w:t>
      </w:r>
    </w:p>
    <w:p w:rsidR="001D1874" w:rsidRDefault="001D1874"/>
    <w:p w:rsidR="00D468F3" w:rsidRDefault="00D468F3">
      <w:r>
        <w:t>It is critical that clear and accessible information about reform to DES and the broader disability employment system is developed and provided to young people and families. Further, this should include information about pathways to independent information and advocacy.</w:t>
      </w:r>
    </w:p>
    <w:p w:rsidR="006C5604" w:rsidRPr="00D468F3" w:rsidRDefault="006C5604"/>
    <w:p w:rsidR="00225A81" w:rsidRDefault="00225A81">
      <w:pPr>
        <w:rPr>
          <w:b/>
          <w:sz w:val="24"/>
        </w:rPr>
      </w:pPr>
      <w:r>
        <w:rPr>
          <w:b/>
          <w:sz w:val="24"/>
        </w:rPr>
        <w:t>CONCLUSION</w:t>
      </w:r>
    </w:p>
    <w:p w:rsidR="006C5604" w:rsidRDefault="006C5604"/>
    <w:p w:rsidR="006C5604" w:rsidRDefault="00B9388A">
      <w:r>
        <w:t>Employment is highly valued within the Australian community, with widely recognised benefits to individuals, the economy and society. However, due to a multitude of complex barriers, young people with disability are being denied opportunities to access employment.</w:t>
      </w:r>
    </w:p>
    <w:p w:rsidR="00B9388A" w:rsidRDefault="00B9388A"/>
    <w:p w:rsidR="0060399D" w:rsidRPr="00D5197E" w:rsidRDefault="00B9388A">
      <w:pPr>
        <w:rPr>
          <w:caps/>
        </w:rPr>
      </w:pPr>
      <w:r>
        <w:t xml:space="preserve">As a key government initiative to support employment of people with disability, it is critical that DES </w:t>
      </w:r>
      <w:r w:rsidR="00DD0FCF">
        <w:t xml:space="preserve">are </w:t>
      </w:r>
      <w:r>
        <w:t xml:space="preserve">able to meet the specific needs of young people with disability. It is the view of CYDA that there is scope to expand the role and eligibility criteria for DES to better support young people </w:t>
      </w:r>
      <w:r w:rsidR="003B7098">
        <w:t>who are beginning to pursue further education and employment pathways</w:t>
      </w:r>
      <w:r>
        <w:t>. It is vital that appropriate support is provided at this crucial transition point in a young person’s life.</w:t>
      </w:r>
    </w:p>
    <w:p w:rsidR="006C5604" w:rsidRDefault="006C5604"/>
    <w:p w:rsidR="009A5121" w:rsidRPr="009A5121" w:rsidRDefault="009A5121">
      <w:r w:rsidRPr="00EF28D8">
        <w:t xml:space="preserve">Thank you for the opportunity to contribute to this </w:t>
      </w:r>
      <w:r>
        <w:t>consultation</w:t>
      </w:r>
      <w:r w:rsidRPr="00EF28D8">
        <w:t xml:space="preserve"> and please do not hesitate to contact CY</w:t>
      </w:r>
      <w:r w:rsidRPr="009A5121">
        <w:t>DA if you wish to discuss further any of the matters raised in this submission.</w:t>
      </w:r>
    </w:p>
    <w:p w:rsidR="0060399D" w:rsidRDefault="0060399D">
      <w:pPr>
        <w:rPr>
          <w:b/>
          <w:sz w:val="24"/>
        </w:rPr>
      </w:pPr>
      <w:r>
        <w:rPr>
          <w:b/>
          <w:sz w:val="24"/>
        </w:rPr>
        <w:br w:type="page"/>
      </w:r>
    </w:p>
    <w:p w:rsidR="00225A81" w:rsidRDefault="00225A81">
      <w:pPr>
        <w:rPr>
          <w:b/>
          <w:sz w:val="24"/>
        </w:rPr>
      </w:pPr>
      <w:r w:rsidRPr="00635C00">
        <w:rPr>
          <w:b/>
          <w:sz w:val="24"/>
        </w:rPr>
        <w:lastRenderedPageBreak/>
        <w:t>SUMMARY OF RECOMMENDATIONS</w:t>
      </w:r>
    </w:p>
    <w:p w:rsidR="004F469B" w:rsidRDefault="004F469B"/>
    <w:p w:rsidR="00682797" w:rsidRDefault="00682797" w:rsidP="00682797">
      <w:r>
        <w:rPr>
          <w:b/>
        </w:rPr>
        <w:t xml:space="preserve">Recommendation </w:t>
      </w:r>
      <w:r w:rsidRPr="009F3728">
        <w:rPr>
          <w:b/>
        </w:rPr>
        <w:t>1</w:t>
      </w:r>
      <w:r w:rsidRPr="004026A4">
        <w:rPr>
          <w:b/>
        </w:rPr>
        <w:t>:</w:t>
      </w:r>
      <w:r>
        <w:rPr>
          <w:b/>
        </w:rPr>
        <w:t xml:space="preserve"> </w:t>
      </w:r>
      <w:r w:rsidRPr="002F14D0">
        <w:t xml:space="preserve">Review of the Eligible School Leaver Guidelines for </w:t>
      </w:r>
      <w:r>
        <w:t>DES</w:t>
      </w:r>
      <w:r w:rsidRPr="002F14D0">
        <w:t xml:space="preserve"> to facilitate support for young people with disabili</w:t>
      </w:r>
      <w:r>
        <w:t>ty to access work experience,</w:t>
      </w:r>
      <w:r w:rsidRPr="002F14D0">
        <w:t xml:space="preserve"> part time employment </w:t>
      </w:r>
      <w:r>
        <w:t xml:space="preserve">and volunteering </w:t>
      </w:r>
      <w:r w:rsidRPr="002F14D0">
        <w:t>opportunities while still at school.</w:t>
      </w:r>
      <w:r>
        <w:t xml:space="preserve"> </w:t>
      </w:r>
    </w:p>
    <w:p w:rsidR="00682797" w:rsidRDefault="00682797" w:rsidP="00682797">
      <w:pPr>
        <w:rPr>
          <w:b/>
        </w:rPr>
      </w:pPr>
    </w:p>
    <w:p w:rsidR="00682797" w:rsidRDefault="00682797" w:rsidP="00682797">
      <w:r>
        <w:rPr>
          <w:b/>
        </w:rPr>
        <w:t xml:space="preserve">Recommendation 2: </w:t>
      </w:r>
      <w:r>
        <w:t xml:space="preserve">Expansion of the eligibility criteria for DES to include secondary students of legal working age, who are enrolled in mainstream classes and do not receive individual education funding or the DSP. </w:t>
      </w:r>
    </w:p>
    <w:p w:rsidR="00682797" w:rsidRDefault="00682797" w:rsidP="00682797"/>
    <w:p w:rsidR="00682797" w:rsidRDefault="00682797" w:rsidP="00682797">
      <w:r w:rsidRPr="00D5197E">
        <w:rPr>
          <w:b/>
        </w:rPr>
        <w:t>Recommendations</w:t>
      </w:r>
      <w:r>
        <w:rPr>
          <w:b/>
        </w:rPr>
        <w:t xml:space="preserve"> 3</w:t>
      </w:r>
      <w:r w:rsidRPr="00D5197E">
        <w:rPr>
          <w:b/>
        </w:rPr>
        <w:t>:</w:t>
      </w:r>
      <w:r>
        <w:t xml:space="preserve"> Consideration of mechanisms to ensure adequate linkages and collaboration between DES, schools, tertiary education providers, the NDIS, post school transition programs for students with disability and employers with the aim of providing coordinated support for young people with disability to access employment. </w:t>
      </w:r>
    </w:p>
    <w:p w:rsidR="00682797" w:rsidRDefault="00682797" w:rsidP="00682797"/>
    <w:p w:rsidR="00682797" w:rsidRDefault="00682797" w:rsidP="00682797">
      <w:r>
        <w:rPr>
          <w:b/>
        </w:rPr>
        <w:t xml:space="preserve">Recommendation 4: </w:t>
      </w:r>
      <w:r>
        <w:t>Examination and review of available expertise and outcomes facilitated through youth specialist DES providers.</w:t>
      </w:r>
    </w:p>
    <w:p w:rsidR="00682797" w:rsidRDefault="00682797" w:rsidP="00682797"/>
    <w:p w:rsidR="00682797" w:rsidRPr="009F5537" w:rsidRDefault="00682797" w:rsidP="00682797">
      <w:r>
        <w:rPr>
          <w:b/>
        </w:rPr>
        <w:t xml:space="preserve">Recommendation 5: </w:t>
      </w:r>
      <w:r>
        <w:t>Consideration of mechanisms to ensure participant experiences and reported satisfaction is able to inform evaluation of DES provider performance.</w:t>
      </w:r>
    </w:p>
    <w:p w:rsidR="00682797" w:rsidRDefault="00682797" w:rsidP="00682797"/>
    <w:p w:rsidR="00682797" w:rsidRDefault="00682797" w:rsidP="00682797">
      <w:r>
        <w:rPr>
          <w:b/>
        </w:rPr>
        <w:t xml:space="preserve">Recommendation 6: </w:t>
      </w:r>
      <w:r>
        <w:t>Ensure appropriate linkages between DES and the broader employment system and the Department of Employment.</w:t>
      </w:r>
    </w:p>
    <w:p w:rsidR="00682797" w:rsidRDefault="00682797" w:rsidP="00682797"/>
    <w:p w:rsidR="00682797" w:rsidRDefault="00682797">
      <w:r>
        <w:rPr>
          <w:b/>
        </w:rPr>
        <w:t xml:space="preserve">Recommendation 7: </w:t>
      </w:r>
      <w:r>
        <w:t xml:space="preserve">Department of Social Services collaborate with the Department of Employment in relation to the </w:t>
      </w:r>
      <w:r>
        <w:rPr>
          <w:i/>
        </w:rPr>
        <w:t xml:space="preserve">Youth Jobs </w:t>
      </w:r>
      <w:proofErr w:type="spellStart"/>
      <w:r>
        <w:rPr>
          <w:i/>
        </w:rPr>
        <w:t>PaTH</w:t>
      </w:r>
      <w:proofErr w:type="spellEnd"/>
      <w:r>
        <w:rPr>
          <w:i/>
        </w:rPr>
        <w:t xml:space="preserve"> </w:t>
      </w:r>
      <w:r>
        <w:t>initiative to ensure young DES participants can access the program if relevant.</w:t>
      </w:r>
    </w:p>
    <w:p w:rsidR="00682797" w:rsidRPr="00D5197E" w:rsidRDefault="00682797"/>
    <w:p w:rsidR="00225A81" w:rsidRDefault="00225A81">
      <w:pPr>
        <w:rPr>
          <w:b/>
          <w:sz w:val="24"/>
        </w:rPr>
      </w:pPr>
      <w:r>
        <w:rPr>
          <w:b/>
          <w:sz w:val="24"/>
        </w:rPr>
        <w:t>CONTACT</w:t>
      </w:r>
    </w:p>
    <w:p w:rsidR="00B9388A" w:rsidRDefault="00B9388A"/>
    <w:p w:rsidR="00B9388A" w:rsidRDefault="00B9388A" w:rsidP="00B9388A">
      <w:pPr>
        <w:contextualSpacing/>
      </w:pPr>
      <w:r w:rsidRPr="00E50431">
        <w:t>Stephanie Gotlib</w:t>
      </w:r>
    </w:p>
    <w:p w:rsidR="00B9388A" w:rsidRPr="00E50431" w:rsidRDefault="00B9388A" w:rsidP="00B9388A">
      <w:pPr>
        <w:contextualSpacing/>
      </w:pPr>
      <w:r w:rsidRPr="00E50431">
        <w:t>Chief Executive Officer</w:t>
      </w:r>
    </w:p>
    <w:p w:rsidR="00B9388A" w:rsidRPr="00E50431" w:rsidRDefault="00B9388A" w:rsidP="00B9388A">
      <w:pPr>
        <w:contextualSpacing/>
      </w:pPr>
      <w:r w:rsidRPr="00E50431">
        <w:t>20 Derby Street</w:t>
      </w:r>
      <w:r>
        <w:t xml:space="preserve">, </w:t>
      </w:r>
      <w:r w:rsidRPr="00E50431">
        <w:t>Collingwood VIC 3066</w:t>
      </w:r>
    </w:p>
    <w:p w:rsidR="00B9388A" w:rsidRPr="00E50431" w:rsidRDefault="00B9388A" w:rsidP="00B9388A">
      <w:pPr>
        <w:contextualSpacing/>
      </w:pPr>
      <w:r w:rsidRPr="00E50431">
        <w:t>03 9417 1025</w:t>
      </w:r>
    </w:p>
    <w:p w:rsidR="00B9388A" w:rsidRPr="00E50431" w:rsidRDefault="00B9388A" w:rsidP="00B9388A">
      <w:pPr>
        <w:contextualSpacing/>
      </w:pPr>
      <w:r w:rsidRPr="00E50431">
        <w:t>stephanieg@cda.org.au</w:t>
      </w:r>
    </w:p>
    <w:p w:rsidR="00B9388A" w:rsidRPr="00D5197E" w:rsidRDefault="00B9388A">
      <w:pPr>
        <w:rPr>
          <w:b/>
        </w:rPr>
      </w:pPr>
      <w:r w:rsidRPr="00E50431">
        <w:t>www.cda.org.au</w:t>
      </w:r>
    </w:p>
    <w:sectPr w:rsidR="00B9388A" w:rsidRPr="00D5197E" w:rsidSect="007B0EA1">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B57" w:rsidRDefault="00F56B57" w:rsidP="007B0EA1">
      <w:r>
        <w:separator/>
      </w:r>
    </w:p>
  </w:endnote>
  <w:endnote w:type="continuationSeparator" w:id="0">
    <w:p w:rsidR="00F56B57" w:rsidRDefault="00F56B57" w:rsidP="007B0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EA1" w:rsidRDefault="007B0EA1" w:rsidP="007B0EA1"/>
  <w:p w:rsidR="007B0EA1" w:rsidRPr="00CF3A78" w:rsidRDefault="007B0EA1" w:rsidP="007B0EA1">
    <w:pPr>
      <w:pStyle w:val="Footer"/>
      <w:pBdr>
        <w:top w:val="thinThickSmallGap" w:sz="24" w:space="1" w:color="823B0B" w:themeColor="accent2" w:themeShade="7F"/>
      </w:pBdr>
      <w:rPr>
        <w:rFonts w:eastAsiaTheme="majorEastAsia" w:cstheme="majorBidi"/>
      </w:rPr>
    </w:pPr>
    <w:r w:rsidRPr="00CF3A78">
      <w:rPr>
        <w:rFonts w:eastAsiaTheme="majorEastAsia" w:cstheme="majorBidi"/>
      </w:rPr>
      <w:t xml:space="preserve">Children </w:t>
    </w:r>
    <w:r>
      <w:rPr>
        <w:rFonts w:eastAsiaTheme="majorEastAsia" w:cstheme="majorBidi"/>
      </w:rPr>
      <w:t xml:space="preserve">and Young People </w:t>
    </w:r>
    <w:r w:rsidRPr="00CF3A78">
      <w:rPr>
        <w:rFonts w:eastAsiaTheme="majorEastAsia" w:cstheme="majorBidi"/>
      </w:rPr>
      <w:t>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FA1A74" w:rsidRPr="00FA1A74">
      <w:rPr>
        <w:rFonts w:eastAsiaTheme="majorEastAsia" w:cstheme="majorBidi"/>
        <w:noProof/>
      </w:rPr>
      <w:t>12</w:t>
    </w:r>
    <w:r w:rsidRPr="00CF3A78">
      <w:rPr>
        <w:rFonts w:eastAsiaTheme="majorEastAsia" w:cstheme="majorBidi"/>
        <w:noProof/>
      </w:rPr>
      <w:fldChar w:fldCharType="end"/>
    </w:r>
  </w:p>
  <w:p w:rsidR="007B0EA1" w:rsidRDefault="007B0E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B57" w:rsidRDefault="00F56B57" w:rsidP="007B0EA1">
      <w:r>
        <w:separator/>
      </w:r>
    </w:p>
  </w:footnote>
  <w:footnote w:type="continuationSeparator" w:id="0">
    <w:p w:rsidR="00F56B57" w:rsidRDefault="00F56B57" w:rsidP="007B0EA1">
      <w:r>
        <w:continuationSeparator/>
      </w:r>
    </w:p>
  </w:footnote>
  <w:footnote w:id="1">
    <w:p w:rsidR="00C71F02" w:rsidRDefault="00C71F02" w:rsidP="00C71F02">
      <w:pPr>
        <w:pStyle w:val="FootnoteText"/>
      </w:pPr>
      <w:r>
        <w:rPr>
          <w:rStyle w:val="FootnoteReference"/>
        </w:rPr>
        <w:footnoteRef/>
      </w:r>
      <w:r>
        <w:t xml:space="preserve"> </w:t>
      </w:r>
      <w:r w:rsidR="00EE1475">
        <w:t xml:space="preserve">Australian Bureau of Statistics 2016, ‘Disability,’ </w:t>
      </w:r>
      <w:r w:rsidR="00EE1475" w:rsidRPr="00516EFF">
        <w:rPr>
          <w:i/>
        </w:rPr>
        <w:t>Disability, Ageing and Carers, Australia: Summary of Findings, 2015</w:t>
      </w:r>
      <w:r w:rsidR="00EE1475">
        <w:rPr>
          <w:i/>
        </w:rPr>
        <w:t>,</w:t>
      </w:r>
      <w:r w:rsidR="00EE1475">
        <w:t xml:space="preserve"> Commonwealth of Australia, Canberra, viewed 15 December 2016, </w:t>
      </w:r>
      <w:hyperlink r:id="rId1" w:history="1">
        <w:r w:rsidR="00EE1475" w:rsidRPr="00BD269F">
          <w:rPr>
            <w:rStyle w:val="Hyperlink"/>
          </w:rPr>
          <w:t>https://goo.gl/cXkD3a</w:t>
        </w:r>
      </w:hyperlink>
      <w:r w:rsidR="00EE1475">
        <w:t>.</w:t>
      </w:r>
    </w:p>
  </w:footnote>
  <w:footnote w:id="2">
    <w:p w:rsidR="00C71F02" w:rsidRDefault="00C71F02" w:rsidP="00C71F02">
      <w:pPr>
        <w:pStyle w:val="FootnoteText"/>
      </w:pPr>
      <w:r>
        <w:rPr>
          <w:rStyle w:val="FootnoteReference"/>
        </w:rPr>
        <w:footnoteRef/>
      </w:r>
      <w:r>
        <w:t xml:space="preserve"> </w:t>
      </w:r>
      <w:r w:rsidR="00EE1475" w:rsidRPr="00D5197E">
        <w:t>Ibi</w:t>
      </w:r>
      <w:r w:rsidR="00EE1475" w:rsidRPr="0026782F">
        <w:t>d.</w:t>
      </w:r>
      <w:r>
        <w:t xml:space="preserve"> </w:t>
      </w:r>
    </w:p>
  </w:footnote>
  <w:footnote w:id="3">
    <w:p w:rsidR="00FC2F30" w:rsidRDefault="00FC2F30">
      <w:pPr>
        <w:pStyle w:val="FootnoteText"/>
      </w:pPr>
      <w:r>
        <w:rPr>
          <w:rStyle w:val="FootnoteReference"/>
        </w:rPr>
        <w:footnoteRef/>
      </w:r>
      <w:r>
        <w:t xml:space="preserve"> Australian Government Department of Social Services 2016, </w:t>
      </w:r>
      <w:r>
        <w:rPr>
          <w:i/>
        </w:rPr>
        <w:t xml:space="preserve">Disability Employment Services, </w:t>
      </w:r>
      <w:r>
        <w:t xml:space="preserve">Commonwealth of Australia, Canberra, viewed 15 December 2016, </w:t>
      </w:r>
      <w:hyperlink r:id="rId2" w:history="1">
        <w:r w:rsidRPr="00BD269F">
          <w:rPr>
            <w:rStyle w:val="Hyperlink"/>
          </w:rPr>
          <w:t>https://goo.gl/3t4Rsf</w:t>
        </w:r>
      </w:hyperlink>
      <w:r>
        <w:t>.</w:t>
      </w:r>
    </w:p>
  </w:footnote>
  <w:footnote w:id="4">
    <w:p w:rsidR="00B12B62" w:rsidRDefault="00B12B62" w:rsidP="00B12B62">
      <w:pPr>
        <w:pStyle w:val="FootnoteText"/>
      </w:pPr>
      <w:r>
        <w:rPr>
          <w:rStyle w:val="FootnoteReference"/>
        </w:rPr>
        <w:footnoteRef/>
      </w:r>
      <w:r>
        <w:t xml:space="preserve"> </w:t>
      </w:r>
      <w:r w:rsidR="00FC2F30">
        <w:t xml:space="preserve">Australian Government Department of Social Services 2016, </w:t>
      </w:r>
      <w:r w:rsidR="00FC2F30">
        <w:rPr>
          <w:i/>
        </w:rPr>
        <w:t xml:space="preserve">New Disability Employment Services from 2018: Discussion Paper, </w:t>
      </w:r>
      <w:r w:rsidR="00FC2F30">
        <w:t>Commonwealth of Australia, Canberra,</w:t>
      </w:r>
      <w:r>
        <w:t xml:space="preserve"> p. 7. </w:t>
      </w:r>
    </w:p>
  </w:footnote>
  <w:footnote w:id="5">
    <w:p w:rsidR="00EC14A7" w:rsidRPr="0026782F" w:rsidRDefault="00EC14A7" w:rsidP="00EC14A7">
      <w:pPr>
        <w:pStyle w:val="FootnoteText"/>
      </w:pPr>
      <w:r>
        <w:rPr>
          <w:rStyle w:val="FootnoteReference"/>
        </w:rPr>
        <w:footnoteRef/>
      </w:r>
      <w:r>
        <w:t xml:space="preserve"> </w:t>
      </w:r>
      <w:r w:rsidR="00FC2F30">
        <w:t>Australian Government Department of Social Services 2016, ‘</w:t>
      </w:r>
      <w:r w:rsidR="00FC2F30" w:rsidRPr="00FC2F30">
        <w:t>Table 3: DES Caseload by LMR/ESA and Age - Data as at 30 June 2016</w:t>
      </w:r>
      <w:r w:rsidR="00FC2F30">
        <w:t xml:space="preserve">,’ </w:t>
      </w:r>
      <w:r w:rsidR="00FC2F30" w:rsidRPr="00D5197E">
        <w:rPr>
          <w:i/>
        </w:rPr>
        <w:t>DES Historical Commencements and Caseload Data (by ESA and Postcode) - 30 June 2016</w:t>
      </w:r>
      <w:r w:rsidR="00FC2F30">
        <w:rPr>
          <w:i/>
        </w:rPr>
        <w:t xml:space="preserve">, </w:t>
      </w:r>
      <w:r w:rsidR="00FC2F30">
        <w:t>Commonwealth of Australia, Canberra.</w:t>
      </w:r>
    </w:p>
  </w:footnote>
  <w:footnote w:id="6">
    <w:p w:rsidR="006A6FEE" w:rsidRDefault="006A6FEE" w:rsidP="001C548E">
      <w:pPr>
        <w:pStyle w:val="FootnoteText"/>
      </w:pPr>
      <w:r>
        <w:t xml:space="preserve">* Please note that employment statistics from the 2015 Australian Bureau of Statistics </w:t>
      </w:r>
      <w:r w:rsidRPr="00485DF0">
        <w:rPr>
          <w:i/>
        </w:rPr>
        <w:t>Survey of Disability, Ageing and Carers</w:t>
      </w:r>
      <w:r>
        <w:rPr>
          <w:i/>
        </w:rPr>
        <w:t xml:space="preserve"> </w:t>
      </w:r>
      <w:r>
        <w:t>that disaggregates according to age has not yet been released and CYDA has therefore included 2012 data.</w:t>
      </w:r>
    </w:p>
    <w:p w:rsidR="001C548E" w:rsidRDefault="001C548E" w:rsidP="001C548E">
      <w:pPr>
        <w:pStyle w:val="FootnoteText"/>
      </w:pPr>
      <w:r>
        <w:rPr>
          <w:rStyle w:val="FootnoteReference"/>
        </w:rPr>
        <w:footnoteRef/>
      </w:r>
      <w:r>
        <w:t xml:space="preserve"> </w:t>
      </w:r>
      <w:r w:rsidRPr="0094136A">
        <w:t xml:space="preserve">Council of Australian Governments 2011, </w:t>
      </w:r>
      <w:r w:rsidRPr="0094136A">
        <w:rPr>
          <w:i/>
        </w:rPr>
        <w:t xml:space="preserve">National Disability Strategy 2010-2020, </w:t>
      </w:r>
      <w:r w:rsidRPr="0094136A">
        <w:t>Comm</w:t>
      </w:r>
      <w:r>
        <w:t>onwealth of Australia, Canberra, p. 42.</w:t>
      </w:r>
    </w:p>
  </w:footnote>
  <w:footnote w:id="7">
    <w:p w:rsidR="006C4F55" w:rsidRPr="00424012" w:rsidRDefault="006C4F55" w:rsidP="006C4F55">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Foundation for Young Australians 2015, </w:t>
      </w:r>
      <w:r w:rsidR="00FC2F30">
        <w:rPr>
          <w:rFonts w:ascii="Calibri" w:hAnsi="Calibri"/>
          <w:i/>
        </w:rPr>
        <w:t>The New Work Order: Ensuring Young Australians have Skills and Experience for the Jobs of the Future, Not the P</w:t>
      </w:r>
      <w:r w:rsidRPr="00424012">
        <w:rPr>
          <w:rFonts w:ascii="Calibri" w:hAnsi="Calibri"/>
          <w:i/>
        </w:rPr>
        <w:t xml:space="preserve">ast, </w:t>
      </w:r>
      <w:r w:rsidRPr="00424012">
        <w:rPr>
          <w:rFonts w:ascii="Calibri" w:hAnsi="Calibri"/>
        </w:rPr>
        <w:t xml:space="preserve">Melbourne, p. 5, Organisation for Economic Cooperation and Development 2015, </w:t>
      </w:r>
      <w:r w:rsidR="00FC2F30">
        <w:rPr>
          <w:rFonts w:ascii="Calibri" w:hAnsi="Calibri"/>
          <w:i/>
        </w:rPr>
        <w:t>OECD Skills Outlook 2015: Youth, Skills and E</w:t>
      </w:r>
      <w:r w:rsidRPr="00424012">
        <w:rPr>
          <w:rFonts w:ascii="Calibri" w:hAnsi="Calibri"/>
          <w:i/>
        </w:rPr>
        <w:t xml:space="preserve">mployability, </w:t>
      </w:r>
      <w:r w:rsidRPr="00424012">
        <w:rPr>
          <w:rFonts w:ascii="Calibri" w:hAnsi="Calibri"/>
        </w:rPr>
        <w:t>OECD Publishing,</w:t>
      </w:r>
      <w:r w:rsidR="009A5121">
        <w:rPr>
          <w:rFonts w:ascii="Calibri" w:hAnsi="Calibri"/>
        </w:rPr>
        <w:t xml:space="preserve"> Paris,</w:t>
      </w:r>
      <w:r w:rsidRPr="00424012">
        <w:rPr>
          <w:rFonts w:ascii="Calibri" w:hAnsi="Calibri"/>
          <w:i/>
        </w:rPr>
        <w:t xml:space="preserve"> </w:t>
      </w:r>
      <w:r w:rsidRPr="00424012">
        <w:rPr>
          <w:rFonts w:ascii="Calibri" w:hAnsi="Calibri"/>
        </w:rPr>
        <w:t>p. 15.</w:t>
      </w:r>
    </w:p>
  </w:footnote>
  <w:footnote w:id="8">
    <w:p w:rsidR="008251E9" w:rsidRPr="00DF385F" w:rsidRDefault="008251E9" w:rsidP="008251E9">
      <w:pPr>
        <w:pStyle w:val="FootnoteText"/>
        <w:rPr>
          <w:rFonts w:ascii="Calibri" w:eastAsia="Times New Roman" w:hAnsi="Calibri" w:cs="Arial"/>
          <w:lang w:eastAsia="en-AU"/>
        </w:rPr>
      </w:pPr>
      <w:r w:rsidRPr="00424012">
        <w:rPr>
          <w:rStyle w:val="FootnoteReference"/>
          <w:rFonts w:ascii="Calibri" w:hAnsi="Calibri"/>
        </w:rPr>
        <w:footnoteRef/>
      </w:r>
      <w:r w:rsidRPr="00424012">
        <w:rPr>
          <w:rFonts w:ascii="Calibri" w:hAnsi="Calibri"/>
        </w:rPr>
        <w:t xml:space="preserve"> </w:t>
      </w:r>
      <w:r w:rsidRPr="00424012">
        <w:rPr>
          <w:rFonts w:ascii="Calibri" w:eastAsia="Times New Roman" w:hAnsi="Calibri" w:cs="Arial"/>
          <w:lang w:eastAsia="en-AU"/>
        </w:rPr>
        <w:t xml:space="preserve">Australian Bureau of Statistics 2012, </w:t>
      </w:r>
      <w:r w:rsidRPr="00424012">
        <w:rPr>
          <w:rFonts w:ascii="Calibri" w:eastAsia="Times New Roman" w:hAnsi="Calibri" w:cs="Arial"/>
          <w:i/>
          <w:iCs/>
          <w:lang w:eastAsia="en-AU"/>
        </w:rPr>
        <w:t xml:space="preserve">Australian </w:t>
      </w:r>
      <w:r>
        <w:rPr>
          <w:rFonts w:ascii="Calibri" w:eastAsia="Times New Roman" w:hAnsi="Calibri" w:cs="Arial"/>
          <w:i/>
          <w:iCs/>
          <w:lang w:eastAsia="en-AU"/>
        </w:rPr>
        <w:t>S</w:t>
      </w:r>
      <w:r w:rsidRPr="00424012">
        <w:rPr>
          <w:rFonts w:ascii="Calibri" w:eastAsia="Times New Roman" w:hAnsi="Calibri" w:cs="Arial"/>
          <w:i/>
          <w:iCs/>
          <w:lang w:eastAsia="en-AU"/>
        </w:rPr>
        <w:t xml:space="preserve">ocial </w:t>
      </w:r>
      <w:r>
        <w:rPr>
          <w:rFonts w:ascii="Calibri" w:eastAsia="Times New Roman" w:hAnsi="Calibri" w:cs="Arial"/>
          <w:i/>
          <w:iCs/>
          <w:lang w:eastAsia="en-AU"/>
        </w:rPr>
        <w:t>T</w:t>
      </w:r>
      <w:r w:rsidRPr="00424012">
        <w:rPr>
          <w:rFonts w:ascii="Calibri" w:eastAsia="Times New Roman" w:hAnsi="Calibri" w:cs="Arial"/>
          <w:i/>
          <w:iCs/>
          <w:lang w:eastAsia="en-AU"/>
        </w:rPr>
        <w:t xml:space="preserve">rends, </w:t>
      </w:r>
      <w:r w:rsidRPr="00424012">
        <w:rPr>
          <w:rFonts w:ascii="Calibri" w:eastAsia="Times New Roman" w:hAnsi="Calibri" w:cs="Arial"/>
          <w:lang w:eastAsia="en-AU"/>
        </w:rPr>
        <w:t xml:space="preserve">Commonwealth of Australia, Canberra, viewed </w:t>
      </w:r>
      <w:r w:rsidR="00FC2F30">
        <w:rPr>
          <w:rFonts w:ascii="Calibri" w:eastAsia="Times New Roman" w:hAnsi="Calibri" w:cs="Arial"/>
          <w:lang w:eastAsia="en-AU"/>
        </w:rPr>
        <w:t>15 December 2016</w:t>
      </w:r>
      <w:r w:rsidRPr="00424012">
        <w:rPr>
          <w:rFonts w:ascii="Calibri" w:eastAsia="Times New Roman" w:hAnsi="Calibri" w:cs="Arial"/>
          <w:lang w:eastAsia="en-AU"/>
        </w:rPr>
        <w:t>,</w:t>
      </w:r>
      <w:r w:rsidRPr="00424012">
        <w:rPr>
          <w:rFonts w:ascii="Calibri" w:hAnsi="Calibri"/>
        </w:rPr>
        <w:t xml:space="preserve"> </w:t>
      </w:r>
      <w:hyperlink r:id="rId3" w:history="1">
        <w:r w:rsidRPr="00424012">
          <w:rPr>
            <w:rStyle w:val="Hyperlink"/>
            <w:rFonts w:ascii="Calibri" w:eastAsia="Times New Roman" w:hAnsi="Calibri" w:cs="Arial"/>
            <w:lang w:eastAsia="en-AU"/>
          </w:rPr>
          <w:t>http://goo.gl/u0oAIp</w:t>
        </w:r>
      </w:hyperlink>
      <w:r w:rsidRPr="00424012">
        <w:rPr>
          <w:rFonts w:ascii="Calibri" w:eastAsia="Times New Roman" w:hAnsi="Calibri" w:cs="Arial"/>
          <w:lang w:eastAsia="en-AU"/>
        </w:rPr>
        <w:t>.</w:t>
      </w:r>
    </w:p>
  </w:footnote>
  <w:footnote w:id="9">
    <w:p w:rsidR="008251E9" w:rsidRPr="00424012" w:rsidRDefault="008251E9" w:rsidP="008251E9">
      <w:pPr>
        <w:pStyle w:val="FootnoteText"/>
        <w:rPr>
          <w:rFonts w:ascii="Calibri" w:eastAsia="Times New Roman" w:hAnsi="Calibri" w:cs="Arial"/>
          <w:lang w:eastAsia="en-AU"/>
        </w:rPr>
      </w:pPr>
      <w:r w:rsidRPr="00424012">
        <w:rPr>
          <w:rStyle w:val="FootnoteReference"/>
          <w:rFonts w:ascii="Calibri" w:hAnsi="Calibri"/>
        </w:rPr>
        <w:footnoteRef/>
      </w:r>
      <w:r w:rsidRPr="00424012">
        <w:rPr>
          <w:rFonts w:ascii="Calibri" w:hAnsi="Calibri"/>
        </w:rPr>
        <w:t xml:space="preserve"> </w:t>
      </w:r>
      <w:r w:rsidRPr="00424012">
        <w:rPr>
          <w:rFonts w:ascii="Calibri" w:eastAsia="Times New Roman" w:hAnsi="Calibri" w:cs="Arial"/>
          <w:lang w:eastAsia="en-AU"/>
        </w:rPr>
        <w:t>Ibid.</w:t>
      </w:r>
    </w:p>
  </w:footnote>
  <w:footnote w:id="10">
    <w:p w:rsidR="008251E9" w:rsidRPr="00424012" w:rsidRDefault="008251E9" w:rsidP="008251E9">
      <w:pPr>
        <w:rPr>
          <w:rFonts w:ascii="Calibri" w:eastAsia="Times New Roman" w:hAnsi="Calibri" w:cs="Arial"/>
          <w:sz w:val="20"/>
          <w:szCs w:val="20"/>
          <w:lang w:eastAsia="en-AU"/>
        </w:rPr>
      </w:pPr>
      <w:r w:rsidRPr="00424012">
        <w:rPr>
          <w:rStyle w:val="FootnoteReference"/>
          <w:rFonts w:ascii="Calibri" w:hAnsi="Calibri"/>
          <w:sz w:val="20"/>
          <w:szCs w:val="20"/>
        </w:rPr>
        <w:footnoteRef/>
      </w:r>
      <w:r w:rsidRPr="00424012">
        <w:rPr>
          <w:rFonts w:ascii="Calibri" w:hAnsi="Calibri"/>
          <w:sz w:val="20"/>
          <w:szCs w:val="20"/>
        </w:rPr>
        <w:t xml:space="preserve"> Ibid.</w:t>
      </w:r>
    </w:p>
  </w:footnote>
  <w:footnote w:id="11">
    <w:p w:rsidR="00986EE0" w:rsidRPr="00424012" w:rsidRDefault="00986EE0" w:rsidP="00986EE0">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Ibid.</w:t>
      </w:r>
    </w:p>
  </w:footnote>
  <w:footnote w:id="12">
    <w:p w:rsidR="00986EE0" w:rsidRPr="00424012" w:rsidRDefault="00986EE0" w:rsidP="00986EE0">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Australian Bureau of Statistics 2015, ‘Table 4: ALL PERSONS AGED 15 TO 64 YEARS LIVING IN HOUSEHOLDS, Labour </w:t>
      </w:r>
      <w:r w:rsidR="00FC2F30">
        <w:rPr>
          <w:rFonts w:ascii="Calibri" w:hAnsi="Calibri"/>
        </w:rPr>
        <w:t>F</w:t>
      </w:r>
      <w:r w:rsidRPr="00424012">
        <w:rPr>
          <w:rFonts w:ascii="Calibri" w:hAnsi="Calibri"/>
        </w:rPr>
        <w:t xml:space="preserve">orce </w:t>
      </w:r>
      <w:r w:rsidR="00FC2F30">
        <w:rPr>
          <w:rFonts w:ascii="Calibri" w:hAnsi="Calibri"/>
        </w:rPr>
        <w:t>S</w:t>
      </w:r>
      <w:r w:rsidRPr="00424012">
        <w:rPr>
          <w:rFonts w:ascii="Calibri" w:hAnsi="Calibri"/>
        </w:rPr>
        <w:t xml:space="preserve">tatus by </w:t>
      </w:r>
      <w:r w:rsidR="00FC2F30">
        <w:rPr>
          <w:rFonts w:ascii="Calibri" w:hAnsi="Calibri"/>
        </w:rPr>
        <w:t>W</w:t>
      </w:r>
      <w:r w:rsidRPr="00424012">
        <w:rPr>
          <w:rFonts w:ascii="Calibri" w:hAnsi="Calibri"/>
        </w:rPr>
        <w:t xml:space="preserve">hether </w:t>
      </w:r>
      <w:r w:rsidR="00FC2F30">
        <w:rPr>
          <w:rFonts w:ascii="Calibri" w:hAnsi="Calibri"/>
        </w:rPr>
        <w:t>H</w:t>
      </w:r>
      <w:r w:rsidRPr="00424012">
        <w:rPr>
          <w:rFonts w:ascii="Calibri" w:hAnsi="Calibri"/>
        </w:rPr>
        <w:t xml:space="preserve">ave a </w:t>
      </w:r>
      <w:r w:rsidR="00FC2F30">
        <w:rPr>
          <w:rFonts w:ascii="Calibri" w:hAnsi="Calibri"/>
        </w:rPr>
        <w:t>D</w:t>
      </w:r>
      <w:r w:rsidRPr="00424012">
        <w:rPr>
          <w:rFonts w:ascii="Calibri" w:hAnsi="Calibri"/>
        </w:rPr>
        <w:t xml:space="preserve">isability by </w:t>
      </w:r>
      <w:r w:rsidR="00FC2F30">
        <w:rPr>
          <w:rFonts w:ascii="Calibri" w:hAnsi="Calibri"/>
        </w:rPr>
        <w:t>A</w:t>
      </w:r>
      <w:r w:rsidRPr="00424012">
        <w:rPr>
          <w:rFonts w:ascii="Calibri" w:hAnsi="Calibri"/>
        </w:rPr>
        <w:t xml:space="preserve">ge,’ </w:t>
      </w:r>
      <w:r w:rsidRPr="00424012">
        <w:rPr>
          <w:rFonts w:ascii="Calibri" w:hAnsi="Calibri"/>
          <w:i/>
        </w:rPr>
        <w:t xml:space="preserve">Disability and </w:t>
      </w:r>
      <w:r w:rsidR="00FC2F30">
        <w:rPr>
          <w:rFonts w:ascii="Calibri" w:hAnsi="Calibri"/>
          <w:i/>
        </w:rPr>
        <w:t>L</w:t>
      </w:r>
      <w:r w:rsidRPr="00424012">
        <w:rPr>
          <w:rFonts w:ascii="Calibri" w:hAnsi="Calibri"/>
          <w:i/>
        </w:rPr>
        <w:t xml:space="preserve">abour </w:t>
      </w:r>
      <w:r w:rsidR="00FC2F30">
        <w:rPr>
          <w:rFonts w:ascii="Calibri" w:hAnsi="Calibri"/>
          <w:i/>
        </w:rPr>
        <w:t>F</w:t>
      </w:r>
      <w:r w:rsidRPr="00424012">
        <w:rPr>
          <w:rFonts w:ascii="Calibri" w:hAnsi="Calibri"/>
          <w:i/>
        </w:rPr>
        <w:t xml:space="preserve">orce </w:t>
      </w:r>
      <w:r w:rsidR="00FC2F30">
        <w:rPr>
          <w:rFonts w:ascii="Calibri" w:hAnsi="Calibri"/>
          <w:i/>
        </w:rPr>
        <w:t>P</w:t>
      </w:r>
      <w:r w:rsidRPr="00424012">
        <w:rPr>
          <w:rFonts w:ascii="Calibri" w:hAnsi="Calibri"/>
          <w:i/>
        </w:rPr>
        <w:t xml:space="preserve">articipation, 2012, </w:t>
      </w:r>
      <w:r w:rsidRPr="00424012">
        <w:rPr>
          <w:rFonts w:ascii="Calibri" w:hAnsi="Calibri"/>
        </w:rPr>
        <w:t>Commonwealth of Australia, Canberra.</w:t>
      </w:r>
    </w:p>
  </w:footnote>
  <w:footnote w:id="13">
    <w:p w:rsidR="00986EE0" w:rsidRDefault="00986EE0" w:rsidP="00986EE0">
      <w:pPr>
        <w:pStyle w:val="FootnoteText"/>
      </w:pPr>
      <w:r>
        <w:rPr>
          <w:rStyle w:val="FootnoteReference"/>
        </w:rPr>
        <w:footnoteRef/>
      </w:r>
      <w:r>
        <w:t xml:space="preserve"> Department of Social Services 2016, </w:t>
      </w:r>
      <w:r>
        <w:rPr>
          <w:i/>
        </w:rPr>
        <w:t xml:space="preserve">DSS Demographics June 2016, </w:t>
      </w:r>
      <w:r>
        <w:t>Commonwealth of Australia, Canberra.</w:t>
      </w:r>
    </w:p>
  </w:footnote>
  <w:footnote w:id="14">
    <w:p w:rsidR="008C6FCE" w:rsidRPr="006E593D" w:rsidRDefault="008C6FCE" w:rsidP="008C6FCE">
      <w:pPr>
        <w:pStyle w:val="FootnoteText"/>
        <w:rPr>
          <w:highlight w:val="yellow"/>
        </w:rPr>
      </w:pPr>
      <w:r w:rsidRPr="006E593D">
        <w:rPr>
          <w:rStyle w:val="FootnoteReference"/>
        </w:rPr>
        <w:footnoteRef/>
      </w:r>
      <w:r w:rsidRPr="006E593D">
        <w:t xml:space="preserve"> </w:t>
      </w:r>
      <w:r>
        <w:t>Australian Bureau of Statistics 2016, ‘Table 7.3 Persons Aged 15 Years and Over, Living in Households, D</w:t>
      </w:r>
      <w:r w:rsidRPr="00DC4E01">
        <w:t xml:space="preserve">isability </w:t>
      </w:r>
      <w:r>
        <w:t>Status, by Selected Social Characteristics–2015, Proportion of P</w:t>
      </w:r>
      <w:r w:rsidRPr="00DC4E01">
        <w:t>ersons</w:t>
      </w:r>
      <w:r>
        <w:t xml:space="preserve">,’ </w:t>
      </w:r>
      <w:r w:rsidRPr="002A2752">
        <w:rPr>
          <w:i/>
        </w:rPr>
        <w:t>Disability, Ageing and Carers, Australia: Summary of Findings, 2015</w:t>
      </w:r>
      <w:r>
        <w:rPr>
          <w:i/>
        </w:rPr>
        <w:t>,</w:t>
      </w:r>
      <w:r>
        <w:t xml:space="preserve"> Commonwealth of Australia, Canberra.</w:t>
      </w:r>
    </w:p>
  </w:footnote>
  <w:footnote w:id="15">
    <w:p w:rsidR="008C6FCE" w:rsidRDefault="008C6FCE" w:rsidP="008C6FCE">
      <w:pPr>
        <w:pStyle w:val="FootnoteText"/>
      </w:pPr>
      <w:r>
        <w:rPr>
          <w:rStyle w:val="FootnoteReference"/>
        </w:rPr>
        <w:footnoteRef/>
      </w:r>
      <w:r>
        <w:t xml:space="preserve"> </w:t>
      </w:r>
      <w:r w:rsidRPr="006E593D">
        <w:t xml:space="preserve">Australian Bureau of Statistics 2016, </w:t>
      </w:r>
      <w:r w:rsidRPr="006E593D">
        <w:rPr>
          <w:i/>
        </w:rPr>
        <w:t>Disability, Ageing and Carers, Australia: Summary of Findings, 2015</w:t>
      </w:r>
      <w:r>
        <w:rPr>
          <w:i/>
        </w:rPr>
        <w:t xml:space="preserve">, </w:t>
      </w:r>
      <w:r>
        <w:t xml:space="preserve">Commonwealth of Australia, Canberra, viewed 23 November 2016, </w:t>
      </w:r>
      <w:hyperlink r:id="rId4" w:history="1">
        <w:r w:rsidRPr="008B21D7">
          <w:rPr>
            <w:rStyle w:val="Hyperlink"/>
          </w:rPr>
          <w:t>https://goo.gl/cXkD3a</w:t>
        </w:r>
      </w:hyperlink>
      <w:r>
        <w:t xml:space="preserve">. </w:t>
      </w:r>
    </w:p>
  </w:footnote>
  <w:footnote w:id="16">
    <w:p w:rsidR="008C6FCE" w:rsidRDefault="008C6FCE" w:rsidP="008C6FCE">
      <w:pPr>
        <w:pStyle w:val="FootnoteText"/>
      </w:pPr>
      <w:r>
        <w:rPr>
          <w:rStyle w:val="FootnoteReference"/>
        </w:rPr>
        <w:footnoteRef/>
      </w:r>
      <w:r>
        <w:t xml:space="preserve"> </w:t>
      </w:r>
      <w:r w:rsidRPr="006E593D">
        <w:t>Ibid.</w:t>
      </w:r>
    </w:p>
  </w:footnote>
  <w:footnote w:id="17">
    <w:p w:rsidR="00A4335C" w:rsidRPr="0026782F" w:rsidRDefault="00A4335C" w:rsidP="00A4335C">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w:t>
      </w:r>
      <w:r w:rsidR="00FC2F30">
        <w:rPr>
          <w:rFonts w:ascii="Calibri" w:hAnsi="Calibri"/>
        </w:rPr>
        <w:t xml:space="preserve">Australian Bureau of Statistics 2016, </w:t>
      </w:r>
      <w:r w:rsidR="00FC2F30">
        <w:rPr>
          <w:rFonts w:ascii="Calibri" w:hAnsi="Calibri"/>
          <w:i/>
        </w:rPr>
        <w:t xml:space="preserve">Labour Force Australia, </w:t>
      </w:r>
      <w:r w:rsidR="00FC2F30">
        <w:rPr>
          <w:rFonts w:ascii="Calibri" w:hAnsi="Calibri"/>
        </w:rPr>
        <w:t>Commonwealth of Australia, Canberra.</w:t>
      </w:r>
    </w:p>
  </w:footnote>
  <w:footnote w:id="18">
    <w:p w:rsidR="00A4335C" w:rsidRPr="00424012" w:rsidRDefault="00A4335C" w:rsidP="00A4335C">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Found</w:t>
      </w:r>
      <w:r w:rsidR="00860927">
        <w:rPr>
          <w:rFonts w:ascii="Calibri" w:hAnsi="Calibri"/>
        </w:rPr>
        <w:t>ation for Young Australians 2016</w:t>
      </w:r>
      <w:r w:rsidRPr="00424012">
        <w:rPr>
          <w:rFonts w:ascii="Calibri" w:hAnsi="Calibri"/>
        </w:rPr>
        <w:t xml:space="preserve">, </w:t>
      </w:r>
      <w:r w:rsidRPr="00424012">
        <w:rPr>
          <w:rFonts w:ascii="Calibri" w:hAnsi="Calibri"/>
          <w:i/>
        </w:rPr>
        <w:t xml:space="preserve">Renewing Australia’s promise: </w:t>
      </w:r>
      <w:r w:rsidR="00860927">
        <w:rPr>
          <w:rFonts w:ascii="Calibri" w:hAnsi="Calibri"/>
          <w:i/>
        </w:rPr>
        <w:t xml:space="preserve">Report Card 2016, </w:t>
      </w:r>
      <w:r w:rsidR="00860927">
        <w:rPr>
          <w:rFonts w:ascii="Calibri" w:hAnsi="Calibri"/>
        </w:rPr>
        <w:t>Melbourne, p. 5</w:t>
      </w:r>
      <w:r w:rsidRPr="00424012">
        <w:rPr>
          <w:rFonts w:ascii="Calibri" w:hAnsi="Calibri"/>
        </w:rPr>
        <w:t>.</w:t>
      </w:r>
    </w:p>
  </w:footnote>
  <w:footnote w:id="19">
    <w:p w:rsidR="00A4335C" w:rsidRPr="00424012" w:rsidRDefault="00A4335C" w:rsidP="00A4335C">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Foundation for Young Australians 2015, </w:t>
      </w:r>
      <w:r w:rsidRPr="00424012">
        <w:rPr>
          <w:rFonts w:ascii="Calibri" w:hAnsi="Calibri"/>
          <w:i/>
        </w:rPr>
        <w:t xml:space="preserve">Report </w:t>
      </w:r>
      <w:r w:rsidR="00FC2F30">
        <w:rPr>
          <w:rFonts w:ascii="Calibri" w:hAnsi="Calibri"/>
          <w:i/>
        </w:rPr>
        <w:t>C</w:t>
      </w:r>
      <w:r w:rsidRPr="00424012">
        <w:rPr>
          <w:rFonts w:ascii="Calibri" w:hAnsi="Calibri"/>
          <w:i/>
        </w:rPr>
        <w:t xml:space="preserve">ard 2015: How </w:t>
      </w:r>
      <w:r w:rsidR="00FC2F30">
        <w:rPr>
          <w:rFonts w:ascii="Calibri" w:hAnsi="Calibri"/>
          <w:i/>
        </w:rPr>
        <w:t>A</w:t>
      </w:r>
      <w:r w:rsidRPr="00424012">
        <w:rPr>
          <w:rFonts w:ascii="Calibri" w:hAnsi="Calibri"/>
          <w:i/>
        </w:rPr>
        <w:t xml:space="preserve">re </w:t>
      </w:r>
      <w:r w:rsidR="00FC2F30">
        <w:rPr>
          <w:rFonts w:ascii="Calibri" w:hAnsi="Calibri"/>
          <w:i/>
        </w:rPr>
        <w:t>Y</w:t>
      </w:r>
      <w:r w:rsidRPr="00424012">
        <w:rPr>
          <w:rFonts w:ascii="Calibri" w:hAnsi="Calibri"/>
          <w:i/>
        </w:rPr>
        <w:t xml:space="preserve">oung </w:t>
      </w:r>
      <w:r w:rsidR="00FC2F30">
        <w:rPr>
          <w:rFonts w:ascii="Calibri" w:hAnsi="Calibri"/>
          <w:i/>
        </w:rPr>
        <w:t>P</w:t>
      </w:r>
      <w:r w:rsidRPr="00424012">
        <w:rPr>
          <w:rFonts w:ascii="Calibri" w:hAnsi="Calibri"/>
          <w:i/>
        </w:rPr>
        <w:t xml:space="preserve">eople </w:t>
      </w:r>
      <w:r w:rsidR="00FC2F30">
        <w:rPr>
          <w:rFonts w:ascii="Calibri" w:hAnsi="Calibri"/>
          <w:i/>
        </w:rPr>
        <w:t>F</w:t>
      </w:r>
      <w:r w:rsidR="00FC2F30" w:rsidRPr="00424012">
        <w:rPr>
          <w:rFonts w:ascii="Calibri" w:hAnsi="Calibri"/>
          <w:i/>
        </w:rPr>
        <w:t xml:space="preserve">aring </w:t>
      </w:r>
      <w:r w:rsidRPr="00424012">
        <w:rPr>
          <w:rFonts w:ascii="Calibri" w:hAnsi="Calibri"/>
          <w:i/>
        </w:rPr>
        <w:t xml:space="preserve">in the </w:t>
      </w:r>
      <w:r w:rsidR="00FC2F30">
        <w:rPr>
          <w:rFonts w:ascii="Calibri" w:hAnsi="Calibri"/>
          <w:i/>
        </w:rPr>
        <w:t>T</w:t>
      </w:r>
      <w:r w:rsidRPr="00424012">
        <w:rPr>
          <w:rFonts w:ascii="Calibri" w:hAnsi="Calibri"/>
          <w:i/>
        </w:rPr>
        <w:t xml:space="preserve">ransition from </w:t>
      </w:r>
      <w:r w:rsidR="00FC2F30">
        <w:rPr>
          <w:rFonts w:ascii="Calibri" w:hAnsi="Calibri"/>
          <w:i/>
        </w:rPr>
        <w:t>S</w:t>
      </w:r>
      <w:r w:rsidRPr="00424012">
        <w:rPr>
          <w:rFonts w:ascii="Calibri" w:hAnsi="Calibri"/>
          <w:i/>
        </w:rPr>
        <w:t xml:space="preserve">chool to </w:t>
      </w:r>
      <w:r w:rsidR="00FC2F30">
        <w:rPr>
          <w:rFonts w:ascii="Calibri" w:hAnsi="Calibri"/>
          <w:i/>
        </w:rPr>
        <w:t>W</w:t>
      </w:r>
      <w:r w:rsidRPr="00424012">
        <w:rPr>
          <w:rFonts w:ascii="Calibri" w:hAnsi="Calibri"/>
          <w:i/>
        </w:rPr>
        <w:t>ork</w:t>
      </w:r>
      <w:proofErr w:type="gramStart"/>
      <w:r w:rsidRPr="00424012">
        <w:rPr>
          <w:rFonts w:ascii="Calibri" w:hAnsi="Calibri"/>
          <w:i/>
        </w:rPr>
        <w:t>?,</w:t>
      </w:r>
      <w:proofErr w:type="gramEnd"/>
      <w:r w:rsidRPr="00424012">
        <w:rPr>
          <w:rFonts w:ascii="Calibri" w:hAnsi="Calibri"/>
          <w:i/>
        </w:rPr>
        <w:t xml:space="preserve"> </w:t>
      </w:r>
      <w:r>
        <w:rPr>
          <w:rFonts w:ascii="Calibri" w:hAnsi="Calibri"/>
        </w:rPr>
        <w:t>Melbourne, p. 2.</w:t>
      </w:r>
    </w:p>
  </w:footnote>
  <w:footnote w:id="20">
    <w:p w:rsidR="00A4335C" w:rsidRPr="00424012" w:rsidRDefault="00A4335C" w:rsidP="00A4335C">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Ibid, p. 2.</w:t>
      </w:r>
    </w:p>
  </w:footnote>
  <w:footnote w:id="21">
    <w:p w:rsidR="00D36285" w:rsidRPr="00D36285" w:rsidRDefault="00D36285">
      <w:pPr>
        <w:pStyle w:val="FootnoteText"/>
      </w:pPr>
      <w:r>
        <w:rPr>
          <w:rStyle w:val="FootnoteReference"/>
        </w:rPr>
        <w:footnoteRef/>
      </w:r>
      <w:r>
        <w:t xml:space="preserve"> Foundation for Young Australians 2016, </w:t>
      </w:r>
      <w:r w:rsidRPr="00424012">
        <w:rPr>
          <w:rFonts w:ascii="Calibri" w:hAnsi="Calibri"/>
          <w:i/>
        </w:rPr>
        <w:t xml:space="preserve">Renewing Australia’s promise: </w:t>
      </w:r>
      <w:r>
        <w:rPr>
          <w:rFonts w:ascii="Calibri" w:hAnsi="Calibri"/>
          <w:i/>
        </w:rPr>
        <w:t xml:space="preserve">Report Card 2016, </w:t>
      </w:r>
      <w:r>
        <w:rPr>
          <w:rFonts w:ascii="Calibri" w:hAnsi="Calibri"/>
        </w:rPr>
        <w:t>p. 3.</w:t>
      </w:r>
    </w:p>
  </w:footnote>
  <w:footnote w:id="22">
    <w:p w:rsidR="00A4335C" w:rsidRPr="00424012" w:rsidRDefault="00A4335C" w:rsidP="00A4335C">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Foundation for Young Australians 2015, </w:t>
      </w:r>
      <w:r w:rsidR="00FC2F30">
        <w:rPr>
          <w:rFonts w:ascii="Calibri" w:hAnsi="Calibri"/>
          <w:i/>
        </w:rPr>
        <w:t>The New Work Order: Ensuring Young Australians have Skills and Experience for the Jobs of the Future, Not the P</w:t>
      </w:r>
      <w:r w:rsidR="00FC2F30" w:rsidRPr="00424012">
        <w:rPr>
          <w:rFonts w:ascii="Calibri" w:hAnsi="Calibri"/>
          <w:i/>
        </w:rPr>
        <w:t>ast</w:t>
      </w:r>
      <w:r w:rsidRPr="00424012">
        <w:rPr>
          <w:rFonts w:ascii="Calibri" w:hAnsi="Calibri"/>
          <w:i/>
        </w:rPr>
        <w:t>.</w:t>
      </w:r>
    </w:p>
  </w:footnote>
  <w:footnote w:id="23">
    <w:p w:rsidR="00A4335C" w:rsidRPr="00424012" w:rsidRDefault="00A4335C" w:rsidP="00A4335C">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w:t>
      </w:r>
      <w:r w:rsidR="00586D04" w:rsidRPr="00424012">
        <w:rPr>
          <w:rFonts w:ascii="Calibri" w:hAnsi="Calibri"/>
        </w:rPr>
        <w:t>Found</w:t>
      </w:r>
      <w:r w:rsidR="00586D04">
        <w:rPr>
          <w:rFonts w:ascii="Calibri" w:hAnsi="Calibri"/>
        </w:rPr>
        <w:t>ation for Young Australians 2016</w:t>
      </w:r>
      <w:r w:rsidR="00586D04" w:rsidRPr="00424012">
        <w:rPr>
          <w:rFonts w:ascii="Calibri" w:hAnsi="Calibri"/>
        </w:rPr>
        <w:t xml:space="preserve">, </w:t>
      </w:r>
      <w:r w:rsidR="00586D04" w:rsidRPr="00424012">
        <w:rPr>
          <w:rFonts w:ascii="Calibri" w:hAnsi="Calibri"/>
          <w:i/>
        </w:rPr>
        <w:t xml:space="preserve">Renewing Australia’s promise: </w:t>
      </w:r>
      <w:r w:rsidR="00586D04">
        <w:rPr>
          <w:rFonts w:ascii="Calibri" w:hAnsi="Calibri"/>
          <w:i/>
        </w:rPr>
        <w:t xml:space="preserve">Report Card 2016, </w:t>
      </w:r>
      <w:r w:rsidR="00586D04">
        <w:rPr>
          <w:rFonts w:ascii="Calibri" w:hAnsi="Calibri"/>
        </w:rPr>
        <w:t xml:space="preserve">p. 5, </w:t>
      </w:r>
      <w:r w:rsidRPr="00424012">
        <w:rPr>
          <w:rFonts w:ascii="Calibri" w:hAnsi="Calibri"/>
        </w:rPr>
        <w:t xml:space="preserve">Foundation for Young Australians 2015, </w:t>
      </w:r>
      <w:r w:rsidR="00FC2F30" w:rsidRPr="00424012">
        <w:rPr>
          <w:rFonts w:ascii="Calibri" w:hAnsi="Calibri"/>
          <w:i/>
        </w:rPr>
        <w:t xml:space="preserve">Report </w:t>
      </w:r>
      <w:r w:rsidR="00FC2F30">
        <w:rPr>
          <w:rFonts w:ascii="Calibri" w:hAnsi="Calibri"/>
          <w:i/>
        </w:rPr>
        <w:t>C</w:t>
      </w:r>
      <w:r w:rsidR="00FC2F30" w:rsidRPr="00424012">
        <w:rPr>
          <w:rFonts w:ascii="Calibri" w:hAnsi="Calibri"/>
          <w:i/>
        </w:rPr>
        <w:t xml:space="preserve">ard 2015: How </w:t>
      </w:r>
      <w:r w:rsidR="00FC2F30">
        <w:rPr>
          <w:rFonts w:ascii="Calibri" w:hAnsi="Calibri"/>
          <w:i/>
        </w:rPr>
        <w:t>A</w:t>
      </w:r>
      <w:r w:rsidR="00FC2F30" w:rsidRPr="00424012">
        <w:rPr>
          <w:rFonts w:ascii="Calibri" w:hAnsi="Calibri"/>
          <w:i/>
        </w:rPr>
        <w:t xml:space="preserve">re </w:t>
      </w:r>
      <w:r w:rsidR="00FC2F30">
        <w:rPr>
          <w:rFonts w:ascii="Calibri" w:hAnsi="Calibri"/>
          <w:i/>
        </w:rPr>
        <w:t>Y</w:t>
      </w:r>
      <w:r w:rsidR="00FC2F30" w:rsidRPr="00424012">
        <w:rPr>
          <w:rFonts w:ascii="Calibri" w:hAnsi="Calibri"/>
          <w:i/>
        </w:rPr>
        <w:t xml:space="preserve">oung </w:t>
      </w:r>
      <w:r w:rsidR="00FC2F30">
        <w:rPr>
          <w:rFonts w:ascii="Calibri" w:hAnsi="Calibri"/>
          <w:i/>
        </w:rPr>
        <w:t>P</w:t>
      </w:r>
      <w:r w:rsidR="00FC2F30" w:rsidRPr="00424012">
        <w:rPr>
          <w:rFonts w:ascii="Calibri" w:hAnsi="Calibri"/>
          <w:i/>
        </w:rPr>
        <w:t xml:space="preserve">eople </w:t>
      </w:r>
      <w:r w:rsidR="00FC2F30">
        <w:rPr>
          <w:rFonts w:ascii="Calibri" w:hAnsi="Calibri"/>
          <w:i/>
        </w:rPr>
        <w:t>F</w:t>
      </w:r>
      <w:r w:rsidR="00FC2F30" w:rsidRPr="00424012">
        <w:rPr>
          <w:rFonts w:ascii="Calibri" w:hAnsi="Calibri"/>
          <w:i/>
        </w:rPr>
        <w:t xml:space="preserve">aring in the </w:t>
      </w:r>
      <w:r w:rsidR="00FC2F30">
        <w:rPr>
          <w:rFonts w:ascii="Calibri" w:hAnsi="Calibri"/>
          <w:i/>
        </w:rPr>
        <w:t>T</w:t>
      </w:r>
      <w:r w:rsidR="00FC2F30" w:rsidRPr="00424012">
        <w:rPr>
          <w:rFonts w:ascii="Calibri" w:hAnsi="Calibri"/>
          <w:i/>
        </w:rPr>
        <w:t xml:space="preserve">ransition from </w:t>
      </w:r>
      <w:r w:rsidR="00FC2F30">
        <w:rPr>
          <w:rFonts w:ascii="Calibri" w:hAnsi="Calibri"/>
          <w:i/>
        </w:rPr>
        <w:t>S</w:t>
      </w:r>
      <w:r w:rsidR="00FC2F30" w:rsidRPr="00424012">
        <w:rPr>
          <w:rFonts w:ascii="Calibri" w:hAnsi="Calibri"/>
          <w:i/>
        </w:rPr>
        <w:t xml:space="preserve">chool to </w:t>
      </w:r>
      <w:r w:rsidR="00FC2F30">
        <w:rPr>
          <w:rFonts w:ascii="Calibri" w:hAnsi="Calibri"/>
          <w:i/>
        </w:rPr>
        <w:t>Work?</w:t>
      </w:r>
      <w:r w:rsidRPr="00424012">
        <w:rPr>
          <w:rFonts w:ascii="Calibri" w:hAnsi="Calibri"/>
          <w:i/>
        </w:rPr>
        <w:t xml:space="preserve">, </w:t>
      </w:r>
      <w:r w:rsidRPr="00586D04">
        <w:rPr>
          <w:rFonts w:ascii="Calibri" w:hAnsi="Calibri"/>
        </w:rPr>
        <w:t>p.</w:t>
      </w:r>
      <w:r w:rsidRPr="00424012">
        <w:rPr>
          <w:rFonts w:ascii="Calibri" w:hAnsi="Calibri"/>
          <w:i/>
        </w:rPr>
        <w:t xml:space="preserve"> 7.</w:t>
      </w:r>
    </w:p>
  </w:footnote>
  <w:footnote w:id="24">
    <w:p w:rsidR="00A4335C" w:rsidRPr="00424012" w:rsidRDefault="00A4335C" w:rsidP="00A4335C">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Organisation for Economic Cooperation and Development 2015, </w:t>
      </w:r>
      <w:r w:rsidR="00FC2F30">
        <w:rPr>
          <w:rFonts w:ascii="Calibri" w:hAnsi="Calibri"/>
          <w:i/>
        </w:rPr>
        <w:t>OECD Skills Outlook 2015: Youth, Skills and E</w:t>
      </w:r>
      <w:r w:rsidR="00FC2F30" w:rsidRPr="00424012">
        <w:rPr>
          <w:rFonts w:ascii="Calibri" w:hAnsi="Calibri"/>
          <w:i/>
        </w:rPr>
        <w:t>mployability</w:t>
      </w:r>
      <w:r w:rsidRPr="00424012">
        <w:rPr>
          <w:rFonts w:ascii="Calibri" w:hAnsi="Calibri"/>
          <w:i/>
        </w:rPr>
        <w:t>,</w:t>
      </w:r>
      <w:r w:rsidRPr="00424012">
        <w:rPr>
          <w:rFonts w:ascii="Calibri" w:hAnsi="Calibri"/>
        </w:rPr>
        <w:t xml:space="preserve"> p. 16.</w:t>
      </w:r>
    </w:p>
  </w:footnote>
  <w:footnote w:id="25">
    <w:p w:rsidR="00A4335C" w:rsidRPr="00424012" w:rsidRDefault="00A4335C" w:rsidP="00A4335C">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Ibid, p. 16. </w:t>
      </w:r>
    </w:p>
  </w:footnote>
  <w:footnote w:id="26">
    <w:p w:rsidR="00DF69CE" w:rsidRDefault="00DF69CE" w:rsidP="00DF69CE">
      <w:pPr>
        <w:pStyle w:val="FootnoteText"/>
      </w:pPr>
      <w:r>
        <w:rPr>
          <w:rStyle w:val="FootnoteReference"/>
        </w:rPr>
        <w:footnoteRef/>
      </w:r>
      <w:r>
        <w:t xml:space="preserve"> </w:t>
      </w:r>
      <w:r w:rsidRPr="00424012">
        <w:rPr>
          <w:rFonts w:ascii="Calibri" w:hAnsi="Calibri"/>
        </w:rPr>
        <w:t xml:space="preserve">National People with Disabilities and Carer Council 2009, </w:t>
      </w:r>
      <w:r w:rsidRPr="00424012">
        <w:rPr>
          <w:rFonts w:ascii="Calibri" w:hAnsi="Calibri"/>
          <w:i/>
        </w:rPr>
        <w:t xml:space="preserve">Shut </w:t>
      </w:r>
      <w:r>
        <w:rPr>
          <w:rFonts w:ascii="Calibri" w:hAnsi="Calibri"/>
          <w:i/>
        </w:rPr>
        <w:t>O</w:t>
      </w:r>
      <w:r w:rsidRPr="00424012">
        <w:rPr>
          <w:rFonts w:ascii="Calibri" w:hAnsi="Calibri"/>
          <w:i/>
        </w:rPr>
        <w:t xml:space="preserve">ut: The </w:t>
      </w:r>
      <w:r>
        <w:rPr>
          <w:rFonts w:ascii="Calibri" w:hAnsi="Calibri"/>
          <w:i/>
        </w:rPr>
        <w:t>E</w:t>
      </w:r>
      <w:r w:rsidRPr="00424012">
        <w:rPr>
          <w:rFonts w:ascii="Calibri" w:hAnsi="Calibri"/>
          <w:i/>
        </w:rPr>
        <w:t xml:space="preserve">xperience of </w:t>
      </w:r>
      <w:r>
        <w:rPr>
          <w:rFonts w:ascii="Calibri" w:hAnsi="Calibri"/>
          <w:i/>
        </w:rPr>
        <w:t>P</w:t>
      </w:r>
      <w:r w:rsidRPr="00424012">
        <w:rPr>
          <w:rFonts w:ascii="Calibri" w:hAnsi="Calibri"/>
          <w:i/>
        </w:rPr>
        <w:t xml:space="preserve">eople with </w:t>
      </w:r>
      <w:r>
        <w:rPr>
          <w:rFonts w:ascii="Calibri" w:hAnsi="Calibri"/>
          <w:i/>
        </w:rPr>
        <w:t>D</w:t>
      </w:r>
      <w:r w:rsidRPr="00424012">
        <w:rPr>
          <w:rFonts w:ascii="Calibri" w:hAnsi="Calibri"/>
          <w:i/>
        </w:rPr>
        <w:t xml:space="preserve">isabilities and their </w:t>
      </w:r>
      <w:r>
        <w:rPr>
          <w:rFonts w:ascii="Calibri" w:hAnsi="Calibri"/>
          <w:i/>
        </w:rPr>
        <w:t>F</w:t>
      </w:r>
      <w:r w:rsidRPr="00424012">
        <w:rPr>
          <w:rFonts w:ascii="Calibri" w:hAnsi="Calibri"/>
          <w:i/>
        </w:rPr>
        <w:t xml:space="preserve">amilies in Australia, </w:t>
      </w:r>
      <w:r w:rsidRPr="00424012">
        <w:rPr>
          <w:rFonts w:ascii="Calibri" w:hAnsi="Calibri"/>
        </w:rPr>
        <w:t>Commonwealth of Australia, Canberra, p. 38</w:t>
      </w:r>
      <w:r>
        <w:rPr>
          <w:rFonts w:ascii="Calibri" w:hAnsi="Calibri"/>
        </w:rPr>
        <w:t xml:space="preserve">, </w:t>
      </w:r>
      <w:r w:rsidRPr="00424012">
        <w:rPr>
          <w:rFonts w:ascii="Calibri" w:hAnsi="Calibri"/>
        </w:rPr>
        <w:t xml:space="preserve">Australian Human Resources Institute 2011, </w:t>
      </w:r>
      <w:r w:rsidRPr="00424012">
        <w:rPr>
          <w:rFonts w:ascii="Calibri" w:hAnsi="Calibri"/>
          <w:i/>
        </w:rPr>
        <w:t xml:space="preserve">Recruiting </w:t>
      </w:r>
      <w:r>
        <w:rPr>
          <w:rFonts w:ascii="Calibri" w:hAnsi="Calibri"/>
          <w:i/>
        </w:rPr>
        <w:t>P</w:t>
      </w:r>
      <w:r w:rsidRPr="00424012">
        <w:rPr>
          <w:rFonts w:ascii="Calibri" w:hAnsi="Calibri"/>
          <w:i/>
        </w:rPr>
        <w:t xml:space="preserve">eople with </w:t>
      </w:r>
      <w:r>
        <w:rPr>
          <w:rFonts w:ascii="Calibri" w:hAnsi="Calibri"/>
          <w:i/>
        </w:rPr>
        <w:t>D</w:t>
      </w:r>
      <w:r w:rsidRPr="00424012">
        <w:rPr>
          <w:rFonts w:ascii="Calibri" w:hAnsi="Calibri"/>
          <w:i/>
        </w:rPr>
        <w:t xml:space="preserve">isability: An </w:t>
      </w:r>
      <w:r>
        <w:rPr>
          <w:rFonts w:ascii="Calibri" w:hAnsi="Calibri"/>
          <w:i/>
        </w:rPr>
        <w:t>E</w:t>
      </w:r>
      <w:r w:rsidRPr="00424012">
        <w:rPr>
          <w:rFonts w:ascii="Calibri" w:hAnsi="Calibri"/>
          <w:i/>
        </w:rPr>
        <w:t xml:space="preserve">mployer </w:t>
      </w:r>
      <w:r>
        <w:rPr>
          <w:rFonts w:ascii="Calibri" w:hAnsi="Calibri"/>
          <w:i/>
        </w:rPr>
        <w:t>P</w:t>
      </w:r>
      <w:r w:rsidRPr="00424012">
        <w:rPr>
          <w:rFonts w:ascii="Calibri" w:hAnsi="Calibri"/>
          <w:i/>
        </w:rPr>
        <w:t xml:space="preserve">erspective, </w:t>
      </w:r>
      <w:r w:rsidRPr="00424012">
        <w:rPr>
          <w:rFonts w:ascii="Calibri" w:hAnsi="Calibri"/>
        </w:rPr>
        <w:t xml:space="preserve">Melbourne, Australian Government Department of Education, Employment and Workplace Relations 2011, </w:t>
      </w:r>
      <w:r w:rsidRPr="00424012">
        <w:rPr>
          <w:rFonts w:ascii="Calibri" w:hAnsi="Calibri"/>
          <w:i/>
        </w:rPr>
        <w:t xml:space="preserve">Employer </w:t>
      </w:r>
      <w:r>
        <w:rPr>
          <w:rFonts w:ascii="Calibri" w:hAnsi="Calibri"/>
          <w:i/>
        </w:rPr>
        <w:t>P</w:t>
      </w:r>
      <w:r w:rsidRPr="00424012">
        <w:rPr>
          <w:rFonts w:ascii="Calibri" w:hAnsi="Calibri"/>
          <w:i/>
        </w:rPr>
        <w:t xml:space="preserve">erspectives on </w:t>
      </w:r>
      <w:r>
        <w:rPr>
          <w:rFonts w:ascii="Calibri" w:hAnsi="Calibri"/>
          <w:i/>
        </w:rPr>
        <w:t>R</w:t>
      </w:r>
      <w:r w:rsidRPr="00424012">
        <w:rPr>
          <w:rFonts w:ascii="Calibri" w:hAnsi="Calibri"/>
          <w:i/>
        </w:rPr>
        <w:t xml:space="preserve">ecruiting </w:t>
      </w:r>
      <w:r>
        <w:rPr>
          <w:rFonts w:ascii="Calibri" w:hAnsi="Calibri"/>
          <w:i/>
        </w:rPr>
        <w:t>P</w:t>
      </w:r>
      <w:r w:rsidRPr="00424012">
        <w:rPr>
          <w:rFonts w:ascii="Calibri" w:hAnsi="Calibri"/>
          <w:i/>
        </w:rPr>
        <w:t xml:space="preserve">eople with </w:t>
      </w:r>
      <w:r>
        <w:rPr>
          <w:rFonts w:ascii="Calibri" w:hAnsi="Calibri"/>
          <w:i/>
        </w:rPr>
        <w:t>D</w:t>
      </w:r>
      <w:r w:rsidRPr="00424012">
        <w:rPr>
          <w:rFonts w:ascii="Calibri" w:hAnsi="Calibri"/>
          <w:i/>
        </w:rPr>
        <w:t xml:space="preserve">isability and the role of Disability Employment Services, </w:t>
      </w:r>
      <w:r w:rsidRPr="00424012">
        <w:rPr>
          <w:rFonts w:ascii="Calibri" w:hAnsi="Calibri"/>
        </w:rPr>
        <w:t>Commonwealth of Australia, Canberra.</w:t>
      </w:r>
      <w:r>
        <w:rPr>
          <w:rFonts w:ascii="Calibri" w:hAnsi="Calibri"/>
        </w:rPr>
        <w:t xml:space="preserve"> </w:t>
      </w:r>
    </w:p>
  </w:footnote>
  <w:footnote w:id="27">
    <w:p w:rsidR="007723BD" w:rsidRDefault="007723BD">
      <w:pPr>
        <w:pStyle w:val="FootnoteText"/>
      </w:pPr>
      <w:r>
        <w:rPr>
          <w:rStyle w:val="FootnoteReference"/>
        </w:rPr>
        <w:footnoteRef/>
      </w:r>
      <w:r>
        <w:t xml:space="preserve"> </w:t>
      </w:r>
      <w:r w:rsidR="00FC2F30">
        <w:t xml:space="preserve">Australian Government 2015, </w:t>
      </w:r>
      <w:r w:rsidR="00FC2F30">
        <w:rPr>
          <w:i/>
        </w:rPr>
        <w:t>Disability Employment Services Eligible School Leaver Guidelines</w:t>
      </w:r>
      <w:r w:rsidR="008E3329">
        <w:t>,</w:t>
      </w:r>
      <w:r w:rsidR="00FC2F30">
        <w:t xml:space="preserve"> Commonwealth of Australia, Canberra,</w:t>
      </w:r>
      <w:r w:rsidR="008E3329">
        <w:t xml:space="preserve"> p. 10.</w:t>
      </w:r>
    </w:p>
  </w:footnote>
  <w:footnote w:id="28">
    <w:p w:rsidR="007723BD" w:rsidRDefault="007723BD">
      <w:pPr>
        <w:pStyle w:val="FootnoteText"/>
      </w:pPr>
      <w:r>
        <w:rPr>
          <w:rStyle w:val="FootnoteReference"/>
        </w:rPr>
        <w:footnoteRef/>
      </w:r>
      <w:r>
        <w:t xml:space="preserve"> </w:t>
      </w:r>
      <w:r w:rsidR="00FC2F30">
        <w:t>Ibid</w:t>
      </w:r>
      <w:r>
        <w:t>, p. 5.</w:t>
      </w:r>
    </w:p>
  </w:footnote>
  <w:footnote w:id="29">
    <w:p w:rsidR="007723BD" w:rsidRDefault="007723BD">
      <w:pPr>
        <w:pStyle w:val="FootnoteText"/>
      </w:pPr>
      <w:r>
        <w:rPr>
          <w:rStyle w:val="FootnoteReference"/>
        </w:rPr>
        <w:footnoteRef/>
      </w:r>
      <w:r>
        <w:t xml:space="preserve"> </w:t>
      </w:r>
      <w:r w:rsidR="00FC2F30">
        <w:t>Ibid</w:t>
      </w:r>
      <w:r>
        <w:t>, p. 5.</w:t>
      </w:r>
    </w:p>
  </w:footnote>
  <w:footnote w:id="30">
    <w:p w:rsidR="007723BD" w:rsidRDefault="007723BD">
      <w:pPr>
        <w:pStyle w:val="FootnoteText"/>
      </w:pPr>
      <w:r>
        <w:rPr>
          <w:rStyle w:val="FootnoteReference"/>
        </w:rPr>
        <w:footnoteRef/>
      </w:r>
      <w:r>
        <w:t xml:space="preserve"> </w:t>
      </w:r>
      <w:r w:rsidR="00FC2F30">
        <w:t>Ibid</w:t>
      </w:r>
      <w:r>
        <w:t>, p. 5.</w:t>
      </w:r>
    </w:p>
  </w:footnote>
  <w:footnote w:id="31">
    <w:p w:rsidR="00C25EF8" w:rsidRDefault="00C25EF8">
      <w:pPr>
        <w:pStyle w:val="FootnoteText"/>
      </w:pPr>
      <w:r>
        <w:rPr>
          <w:rStyle w:val="FootnoteReference"/>
        </w:rPr>
        <w:footnoteRef/>
      </w:r>
      <w:r>
        <w:t xml:space="preserve"> </w:t>
      </w:r>
      <w:r w:rsidR="00FC2F30">
        <w:t xml:space="preserve">Australian Government Department of Social Services 2016, </w:t>
      </w:r>
      <w:r w:rsidR="00FC2F30">
        <w:rPr>
          <w:i/>
        </w:rPr>
        <w:t xml:space="preserve">New Disability Employment Services from 2018: Discussion Paper, </w:t>
      </w:r>
      <w:r>
        <w:t xml:space="preserve">p. 44. </w:t>
      </w:r>
    </w:p>
  </w:footnote>
  <w:footnote w:id="32">
    <w:p w:rsidR="00C25EF8" w:rsidRDefault="00C25EF8">
      <w:pPr>
        <w:pStyle w:val="FootnoteText"/>
      </w:pPr>
      <w:r>
        <w:rPr>
          <w:rStyle w:val="FootnoteReference"/>
        </w:rPr>
        <w:footnoteRef/>
      </w:r>
      <w:r>
        <w:t xml:space="preserve"> </w:t>
      </w:r>
      <w:r w:rsidR="00FC2F30">
        <w:t>Ibid,</w:t>
      </w:r>
      <w:r>
        <w:t xml:space="preserve"> p. 45. </w:t>
      </w:r>
    </w:p>
  </w:footnote>
  <w:footnote w:id="33">
    <w:p w:rsidR="00C25EF8" w:rsidRDefault="00C25EF8">
      <w:pPr>
        <w:pStyle w:val="FootnoteText"/>
      </w:pPr>
      <w:r>
        <w:rPr>
          <w:rStyle w:val="FootnoteReference"/>
        </w:rPr>
        <w:footnoteRef/>
      </w:r>
      <w:r>
        <w:t xml:space="preserve"> </w:t>
      </w:r>
      <w:r w:rsidR="00FC2F30">
        <w:t>Ibid,</w:t>
      </w:r>
      <w:r>
        <w:t xml:space="preserve"> p. 45.</w:t>
      </w:r>
    </w:p>
  </w:footnote>
  <w:footnote w:id="34">
    <w:p w:rsidR="00046196" w:rsidRDefault="00046196">
      <w:pPr>
        <w:pStyle w:val="FootnoteText"/>
      </w:pPr>
      <w:r>
        <w:rPr>
          <w:rStyle w:val="FootnoteReference"/>
        </w:rPr>
        <w:footnoteRef/>
      </w:r>
      <w:r>
        <w:t xml:space="preserve"> </w:t>
      </w:r>
      <w:r w:rsidR="00AA0049">
        <w:t xml:space="preserve">J </w:t>
      </w:r>
      <w:proofErr w:type="spellStart"/>
      <w:r w:rsidR="00AA0049" w:rsidRPr="00AA0049">
        <w:t>Abhayaratna</w:t>
      </w:r>
      <w:proofErr w:type="spellEnd"/>
      <w:r w:rsidR="00AA0049">
        <w:t xml:space="preserve"> et al. 2008, </w:t>
      </w:r>
      <w:r w:rsidR="00AA0049">
        <w:rPr>
          <w:i/>
        </w:rPr>
        <w:t xml:space="preserve">Part Time Employment: The Australian Experience, Productivity Commission Staff Working Paper, </w:t>
      </w:r>
      <w:r w:rsidR="00AA0049">
        <w:t xml:space="preserve">Commonwealth of Australia, Canberra, pp. 94-95, </w:t>
      </w:r>
      <w:r w:rsidR="00FC2F30">
        <w:t xml:space="preserve">W </w:t>
      </w:r>
      <w:r>
        <w:t>Patton</w:t>
      </w:r>
      <w:r w:rsidR="00FC2F30">
        <w:t xml:space="preserve"> et al. 2009, </w:t>
      </w:r>
      <w:r w:rsidR="0089562F">
        <w:t>‘</w:t>
      </w:r>
      <w:r w:rsidR="00FC2F30" w:rsidRPr="00FC2F30">
        <w:t>Pa</w:t>
      </w:r>
      <w:r w:rsidR="00AA0049">
        <w:t>rt-Time Work of School Students: Impact on Employability, Employment Outcomes and Career D</w:t>
      </w:r>
      <w:r w:rsidR="00FC2F30" w:rsidRPr="00FC2F30">
        <w:t>evelopment</w:t>
      </w:r>
      <w:r w:rsidR="00AA0049">
        <w:t>,</w:t>
      </w:r>
      <w:r w:rsidR="0089562F">
        <w:t>’</w:t>
      </w:r>
      <w:r w:rsidR="00AA0049">
        <w:t xml:space="preserve"> </w:t>
      </w:r>
      <w:r w:rsidR="00AA0049">
        <w:rPr>
          <w:i/>
        </w:rPr>
        <w:t xml:space="preserve">Journal of Career Development, </w:t>
      </w:r>
      <w:r w:rsidR="00AA0049">
        <w:t>p.</w:t>
      </w:r>
      <w:r>
        <w:t xml:space="preserve"> 4.</w:t>
      </w:r>
      <w:r w:rsidRPr="00046196">
        <w:t xml:space="preserve"> </w:t>
      </w:r>
    </w:p>
  </w:footnote>
  <w:footnote w:id="35">
    <w:p w:rsidR="00046196" w:rsidRDefault="00046196">
      <w:pPr>
        <w:pStyle w:val="FootnoteText"/>
      </w:pPr>
      <w:r>
        <w:rPr>
          <w:rStyle w:val="FootnoteReference"/>
        </w:rPr>
        <w:footnoteRef/>
      </w:r>
      <w:r>
        <w:t xml:space="preserve"> </w:t>
      </w:r>
      <w:r w:rsidR="00AA0049">
        <w:t>Ibid, p.</w:t>
      </w:r>
      <w:r>
        <w:t xml:space="preserve"> 4, 5. </w:t>
      </w:r>
    </w:p>
  </w:footnote>
  <w:footnote w:id="36">
    <w:p w:rsidR="00046196" w:rsidRDefault="00046196">
      <w:pPr>
        <w:pStyle w:val="FootnoteText"/>
      </w:pPr>
      <w:r>
        <w:rPr>
          <w:rStyle w:val="FootnoteReference"/>
        </w:rPr>
        <w:footnoteRef/>
      </w:r>
      <w:r>
        <w:t xml:space="preserve"> </w:t>
      </w:r>
      <w:r w:rsidR="00AA0049" w:rsidRPr="00AA0049">
        <w:t xml:space="preserve">Organisation for Economic Cooperation and Development 2015, </w:t>
      </w:r>
      <w:proofErr w:type="gramStart"/>
      <w:r w:rsidR="00AA0049" w:rsidRPr="00D5197E">
        <w:rPr>
          <w:i/>
        </w:rPr>
        <w:t>How’s</w:t>
      </w:r>
      <w:proofErr w:type="gramEnd"/>
      <w:r w:rsidR="00AA0049" w:rsidRPr="00D5197E">
        <w:rPr>
          <w:i/>
        </w:rPr>
        <w:t xml:space="preserve"> Life? Measuring Wellbeing</w:t>
      </w:r>
      <w:r w:rsidR="00AA0049" w:rsidRPr="00AA0049">
        <w:t>, OECD Publishi</w:t>
      </w:r>
      <w:r w:rsidR="00AA0049">
        <w:t>ng, Paris, p. 18</w:t>
      </w:r>
      <w:r w:rsidR="00AA0049" w:rsidRPr="00AA0049">
        <w:t>, Organisation for Economic Cooperation and Development 2009,</w:t>
      </w:r>
      <w:r w:rsidR="00AA0049" w:rsidRPr="00D5197E">
        <w:rPr>
          <w:i/>
        </w:rPr>
        <w:t xml:space="preserve"> Learning for Jobs: OECD Policy Review of Vocational Education and Training</w:t>
      </w:r>
      <w:r w:rsidR="00AA0049" w:rsidRPr="00AA0049">
        <w:t>, Initial Report, OECD Publishing, Paris, p. 62.</w:t>
      </w:r>
    </w:p>
  </w:footnote>
  <w:footnote w:id="37">
    <w:p w:rsidR="008725D5" w:rsidRDefault="008725D5">
      <w:pPr>
        <w:pStyle w:val="FootnoteText"/>
      </w:pPr>
      <w:r>
        <w:rPr>
          <w:rStyle w:val="FootnoteReference"/>
        </w:rPr>
        <w:footnoteRef/>
      </w:r>
      <w:r>
        <w:t xml:space="preserve"> </w:t>
      </w:r>
      <w:r w:rsidR="00DF3906">
        <w:t xml:space="preserve">Australian Government Department of Social Services 2016, </w:t>
      </w:r>
      <w:r w:rsidR="00DF3906">
        <w:rPr>
          <w:i/>
        </w:rPr>
        <w:t xml:space="preserve">New Disability Employment Services from 2018: Discussion Paper, </w:t>
      </w:r>
      <w:r>
        <w:t>p. 44.</w:t>
      </w:r>
    </w:p>
  </w:footnote>
  <w:footnote w:id="38">
    <w:p w:rsidR="008725D5" w:rsidRDefault="008725D5">
      <w:pPr>
        <w:pStyle w:val="FootnoteText"/>
      </w:pPr>
      <w:r>
        <w:rPr>
          <w:rStyle w:val="FootnoteReference"/>
        </w:rPr>
        <w:footnoteRef/>
      </w:r>
      <w:r>
        <w:t xml:space="preserve"> </w:t>
      </w:r>
      <w:r w:rsidR="00DF3906">
        <w:t>Ibid, p. 30.</w:t>
      </w:r>
    </w:p>
  </w:footnote>
  <w:footnote w:id="39">
    <w:p w:rsidR="00225A81" w:rsidRDefault="00225A81" w:rsidP="00225A81">
      <w:pPr>
        <w:pStyle w:val="FootnoteText"/>
      </w:pPr>
      <w:r>
        <w:rPr>
          <w:rStyle w:val="FootnoteReference"/>
        </w:rPr>
        <w:footnoteRef/>
      </w:r>
      <w:r>
        <w:t xml:space="preserve"> House of Representatives 2016, </w:t>
      </w:r>
      <w:r>
        <w:rPr>
          <w:i/>
        </w:rPr>
        <w:t xml:space="preserve">Social Security Legislation Amendment (Youth Jobs </w:t>
      </w:r>
      <w:proofErr w:type="spellStart"/>
      <w:r>
        <w:rPr>
          <w:i/>
        </w:rPr>
        <w:t>PaTH</w:t>
      </w:r>
      <w:proofErr w:type="spellEnd"/>
      <w:r>
        <w:rPr>
          <w:i/>
        </w:rPr>
        <w:t xml:space="preserve">: Prepare, Trial, Hire) Bill 2016 Explanatory Memorandum, </w:t>
      </w:r>
      <w:r>
        <w:t>Commonwealth of Australia, Canberra, p. 1.</w:t>
      </w:r>
    </w:p>
  </w:footnote>
  <w:footnote w:id="40">
    <w:p w:rsidR="00225A81" w:rsidRDefault="00225A81" w:rsidP="00225A81">
      <w:pPr>
        <w:pStyle w:val="FootnoteText"/>
      </w:pPr>
      <w:r>
        <w:rPr>
          <w:rStyle w:val="FootnoteReference"/>
        </w:rPr>
        <w:footnoteRef/>
      </w:r>
      <w:r>
        <w:t xml:space="preserve"> Ibid, p. 1.</w:t>
      </w:r>
    </w:p>
  </w:footnote>
  <w:footnote w:id="41">
    <w:p w:rsidR="00225A81" w:rsidRDefault="00225A81" w:rsidP="00225A81">
      <w:pPr>
        <w:pStyle w:val="FootnoteText"/>
      </w:pPr>
      <w:r>
        <w:rPr>
          <w:rStyle w:val="FootnoteReference"/>
        </w:rPr>
        <w:footnoteRef/>
      </w:r>
      <w:r>
        <w:t xml:space="preserve"> Ibid, p. 4.</w:t>
      </w:r>
    </w:p>
  </w:footnote>
  <w:footnote w:id="42">
    <w:p w:rsidR="00B9388A" w:rsidRDefault="00225A81" w:rsidP="00225A81">
      <w:pPr>
        <w:pStyle w:val="FootnoteText"/>
      </w:pPr>
      <w:r>
        <w:rPr>
          <w:rStyle w:val="FootnoteReference"/>
        </w:rPr>
        <w:footnoteRef/>
      </w:r>
      <w:r>
        <w:t xml:space="preserve"> </w:t>
      </w:r>
      <w:r w:rsidR="00DF3906">
        <w:t xml:space="preserve">House of Representatives 2016, </w:t>
      </w:r>
      <w:r w:rsidR="00DF3906">
        <w:rPr>
          <w:i/>
        </w:rPr>
        <w:t xml:space="preserve">Social Security Legislation Amendment (Youth Jobs </w:t>
      </w:r>
      <w:proofErr w:type="spellStart"/>
      <w:r w:rsidR="00DF3906">
        <w:rPr>
          <w:i/>
        </w:rPr>
        <w:t>PaTH</w:t>
      </w:r>
      <w:proofErr w:type="spellEnd"/>
      <w:r w:rsidR="00DF3906">
        <w:rPr>
          <w:i/>
        </w:rPr>
        <w:t xml:space="preserve">: Prepare, Trial, Hire) Bill 2016 Explanatory Memorandum, </w:t>
      </w:r>
      <w:r>
        <w:t>p. 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92247D"/>
    <w:multiLevelType w:val="hybridMultilevel"/>
    <w:tmpl w:val="89B0CD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4E03E68"/>
    <w:multiLevelType w:val="hybridMultilevel"/>
    <w:tmpl w:val="CED413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C366B4E"/>
    <w:multiLevelType w:val="hybridMultilevel"/>
    <w:tmpl w:val="967CA8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24B5C40"/>
    <w:multiLevelType w:val="hybridMultilevel"/>
    <w:tmpl w:val="A104B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0ED3A04"/>
    <w:multiLevelType w:val="hybridMultilevel"/>
    <w:tmpl w:val="C9C663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5E676D7"/>
    <w:multiLevelType w:val="hybridMultilevel"/>
    <w:tmpl w:val="932EC8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D7D1243"/>
    <w:multiLevelType w:val="hybridMultilevel"/>
    <w:tmpl w:val="9B0461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7"/>
  </w:num>
  <w:num w:numId="5">
    <w:abstractNumId w:val="5"/>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EA1"/>
    <w:rsid w:val="000122C3"/>
    <w:rsid w:val="000233E8"/>
    <w:rsid w:val="00030950"/>
    <w:rsid w:val="00032F4C"/>
    <w:rsid w:val="00035FA7"/>
    <w:rsid w:val="00046196"/>
    <w:rsid w:val="00064195"/>
    <w:rsid w:val="000641B7"/>
    <w:rsid w:val="00066B3B"/>
    <w:rsid w:val="00067285"/>
    <w:rsid w:val="0009630F"/>
    <w:rsid w:val="00096E5F"/>
    <w:rsid w:val="000A18FB"/>
    <w:rsid w:val="000B1D86"/>
    <w:rsid w:val="000D62A0"/>
    <w:rsid w:val="000F26CB"/>
    <w:rsid w:val="000F641F"/>
    <w:rsid w:val="00125901"/>
    <w:rsid w:val="001534F7"/>
    <w:rsid w:val="00164BAA"/>
    <w:rsid w:val="0018599E"/>
    <w:rsid w:val="001A2A1B"/>
    <w:rsid w:val="001A67D0"/>
    <w:rsid w:val="001B1D44"/>
    <w:rsid w:val="001B5469"/>
    <w:rsid w:val="001B7F5B"/>
    <w:rsid w:val="001C548E"/>
    <w:rsid w:val="001D1874"/>
    <w:rsid w:val="001F01AC"/>
    <w:rsid w:val="00201B0B"/>
    <w:rsid w:val="0021281D"/>
    <w:rsid w:val="00225A81"/>
    <w:rsid w:val="00227B85"/>
    <w:rsid w:val="00254632"/>
    <w:rsid w:val="0026782F"/>
    <w:rsid w:val="002857F1"/>
    <w:rsid w:val="00292D5C"/>
    <w:rsid w:val="002A36EF"/>
    <w:rsid w:val="002C072F"/>
    <w:rsid w:val="002D62A8"/>
    <w:rsid w:val="002E2DEE"/>
    <w:rsid w:val="002F14D0"/>
    <w:rsid w:val="00351180"/>
    <w:rsid w:val="003856F5"/>
    <w:rsid w:val="00391427"/>
    <w:rsid w:val="003A19D0"/>
    <w:rsid w:val="003A5BD4"/>
    <w:rsid w:val="003A6B11"/>
    <w:rsid w:val="003A6DE0"/>
    <w:rsid w:val="003B7098"/>
    <w:rsid w:val="003C1691"/>
    <w:rsid w:val="003C68B4"/>
    <w:rsid w:val="003C6EE1"/>
    <w:rsid w:val="003E5863"/>
    <w:rsid w:val="003F74CE"/>
    <w:rsid w:val="004026A4"/>
    <w:rsid w:val="004279CB"/>
    <w:rsid w:val="004309AA"/>
    <w:rsid w:val="00431084"/>
    <w:rsid w:val="00455281"/>
    <w:rsid w:val="00456BBE"/>
    <w:rsid w:val="00485DF0"/>
    <w:rsid w:val="00490A31"/>
    <w:rsid w:val="004E09BA"/>
    <w:rsid w:val="004E14BA"/>
    <w:rsid w:val="004E4592"/>
    <w:rsid w:val="004F08C5"/>
    <w:rsid w:val="004F469B"/>
    <w:rsid w:val="004F6C78"/>
    <w:rsid w:val="005021B0"/>
    <w:rsid w:val="005112AD"/>
    <w:rsid w:val="00531E7E"/>
    <w:rsid w:val="005418C1"/>
    <w:rsid w:val="00551267"/>
    <w:rsid w:val="0056123A"/>
    <w:rsid w:val="00577AAE"/>
    <w:rsid w:val="00586D04"/>
    <w:rsid w:val="005C08D4"/>
    <w:rsid w:val="005E70B9"/>
    <w:rsid w:val="005E746B"/>
    <w:rsid w:val="0060399D"/>
    <w:rsid w:val="006107A5"/>
    <w:rsid w:val="00625EDE"/>
    <w:rsid w:val="00633534"/>
    <w:rsid w:val="00635C00"/>
    <w:rsid w:val="006468A8"/>
    <w:rsid w:val="00646E99"/>
    <w:rsid w:val="00651DB8"/>
    <w:rsid w:val="00667442"/>
    <w:rsid w:val="00682797"/>
    <w:rsid w:val="00693774"/>
    <w:rsid w:val="006965EC"/>
    <w:rsid w:val="006A6FEE"/>
    <w:rsid w:val="006B72DB"/>
    <w:rsid w:val="006B7452"/>
    <w:rsid w:val="006C4F55"/>
    <w:rsid w:val="006C5604"/>
    <w:rsid w:val="006D0605"/>
    <w:rsid w:val="006D445A"/>
    <w:rsid w:val="006E0DEA"/>
    <w:rsid w:val="006F5D90"/>
    <w:rsid w:val="0070402F"/>
    <w:rsid w:val="0071397B"/>
    <w:rsid w:val="0071523F"/>
    <w:rsid w:val="00721D37"/>
    <w:rsid w:val="0073366B"/>
    <w:rsid w:val="007374D8"/>
    <w:rsid w:val="00737988"/>
    <w:rsid w:val="007723BD"/>
    <w:rsid w:val="007767D9"/>
    <w:rsid w:val="007B0EA1"/>
    <w:rsid w:val="007C190B"/>
    <w:rsid w:val="007F68B7"/>
    <w:rsid w:val="008251E9"/>
    <w:rsid w:val="008302B7"/>
    <w:rsid w:val="00830B13"/>
    <w:rsid w:val="00850A8F"/>
    <w:rsid w:val="008557E2"/>
    <w:rsid w:val="00860927"/>
    <w:rsid w:val="00863545"/>
    <w:rsid w:val="00866660"/>
    <w:rsid w:val="00870000"/>
    <w:rsid w:val="00870F67"/>
    <w:rsid w:val="008725D5"/>
    <w:rsid w:val="0088003B"/>
    <w:rsid w:val="0088227F"/>
    <w:rsid w:val="0089274C"/>
    <w:rsid w:val="0089562F"/>
    <w:rsid w:val="008A0732"/>
    <w:rsid w:val="008A2F06"/>
    <w:rsid w:val="008C6FCE"/>
    <w:rsid w:val="008D266F"/>
    <w:rsid w:val="008E3329"/>
    <w:rsid w:val="008E5445"/>
    <w:rsid w:val="008E5B5A"/>
    <w:rsid w:val="008E7379"/>
    <w:rsid w:val="0090123E"/>
    <w:rsid w:val="009032EA"/>
    <w:rsid w:val="0091292C"/>
    <w:rsid w:val="009414DF"/>
    <w:rsid w:val="00951B95"/>
    <w:rsid w:val="00982EED"/>
    <w:rsid w:val="00986EE0"/>
    <w:rsid w:val="00991982"/>
    <w:rsid w:val="00995078"/>
    <w:rsid w:val="009A5121"/>
    <w:rsid w:val="009C2F9B"/>
    <w:rsid w:val="009C454B"/>
    <w:rsid w:val="009E1465"/>
    <w:rsid w:val="009E20C2"/>
    <w:rsid w:val="009E6E22"/>
    <w:rsid w:val="009F0064"/>
    <w:rsid w:val="009F12C1"/>
    <w:rsid w:val="009F3320"/>
    <w:rsid w:val="009F5537"/>
    <w:rsid w:val="00A0743A"/>
    <w:rsid w:val="00A12E35"/>
    <w:rsid w:val="00A13D07"/>
    <w:rsid w:val="00A370B2"/>
    <w:rsid w:val="00A41087"/>
    <w:rsid w:val="00A4335C"/>
    <w:rsid w:val="00A452B9"/>
    <w:rsid w:val="00A571E8"/>
    <w:rsid w:val="00A62035"/>
    <w:rsid w:val="00A650F8"/>
    <w:rsid w:val="00AA0049"/>
    <w:rsid w:val="00AA27CE"/>
    <w:rsid w:val="00AF340F"/>
    <w:rsid w:val="00B05CCA"/>
    <w:rsid w:val="00B12906"/>
    <w:rsid w:val="00B12B62"/>
    <w:rsid w:val="00B22D10"/>
    <w:rsid w:val="00B26756"/>
    <w:rsid w:val="00B431A7"/>
    <w:rsid w:val="00B4560C"/>
    <w:rsid w:val="00B64CE3"/>
    <w:rsid w:val="00B67DDA"/>
    <w:rsid w:val="00B70E11"/>
    <w:rsid w:val="00B927F4"/>
    <w:rsid w:val="00B9388A"/>
    <w:rsid w:val="00BB3D19"/>
    <w:rsid w:val="00BD5431"/>
    <w:rsid w:val="00BE6906"/>
    <w:rsid w:val="00C2467C"/>
    <w:rsid w:val="00C25EF8"/>
    <w:rsid w:val="00C43C83"/>
    <w:rsid w:val="00C55927"/>
    <w:rsid w:val="00C71F02"/>
    <w:rsid w:val="00C76A3C"/>
    <w:rsid w:val="00CA70F0"/>
    <w:rsid w:val="00CC3789"/>
    <w:rsid w:val="00CD143D"/>
    <w:rsid w:val="00CE2E50"/>
    <w:rsid w:val="00CE3F3B"/>
    <w:rsid w:val="00D05FA4"/>
    <w:rsid w:val="00D23AA1"/>
    <w:rsid w:val="00D36285"/>
    <w:rsid w:val="00D43430"/>
    <w:rsid w:val="00D468F3"/>
    <w:rsid w:val="00D5197E"/>
    <w:rsid w:val="00D5796C"/>
    <w:rsid w:val="00D67B0A"/>
    <w:rsid w:val="00DB468F"/>
    <w:rsid w:val="00DC3E7A"/>
    <w:rsid w:val="00DD04DA"/>
    <w:rsid w:val="00DD0FCF"/>
    <w:rsid w:val="00DD32C8"/>
    <w:rsid w:val="00DE3EFE"/>
    <w:rsid w:val="00DF2693"/>
    <w:rsid w:val="00DF3906"/>
    <w:rsid w:val="00DF4272"/>
    <w:rsid w:val="00DF5321"/>
    <w:rsid w:val="00DF69CE"/>
    <w:rsid w:val="00E128C3"/>
    <w:rsid w:val="00E409BB"/>
    <w:rsid w:val="00E57D5A"/>
    <w:rsid w:val="00E7470D"/>
    <w:rsid w:val="00E862ED"/>
    <w:rsid w:val="00EA0B18"/>
    <w:rsid w:val="00EB7986"/>
    <w:rsid w:val="00EC14A7"/>
    <w:rsid w:val="00EE1475"/>
    <w:rsid w:val="00EE7FF8"/>
    <w:rsid w:val="00EF28D8"/>
    <w:rsid w:val="00F01833"/>
    <w:rsid w:val="00F06FC3"/>
    <w:rsid w:val="00F347D8"/>
    <w:rsid w:val="00F43AE3"/>
    <w:rsid w:val="00F458DD"/>
    <w:rsid w:val="00F56B57"/>
    <w:rsid w:val="00F80B40"/>
    <w:rsid w:val="00F83AE4"/>
    <w:rsid w:val="00F96A90"/>
    <w:rsid w:val="00FA1A74"/>
    <w:rsid w:val="00FA47AA"/>
    <w:rsid w:val="00FB12EA"/>
    <w:rsid w:val="00FC2F30"/>
    <w:rsid w:val="00FC6889"/>
    <w:rsid w:val="00FD43B1"/>
    <w:rsid w:val="00FF6B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D9C066-DEC8-415A-995A-1F81E70DD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0E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0EA1"/>
    <w:pPr>
      <w:tabs>
        <w:tab w:val="center" w:pos="4513"/>
        <w:tab w:val="right" w:pos="9026"/>
      </w:tabs>
    </w:pPr>
  </w:style>
  <w:style w:type="character" w:customStyle="1" w:styleId="HeaderChar">
    <w:name w:val="Header Char"/>
    <w:basedOn w:val="DefaultParagraphFont"/>
    <w:link w:val="Header"/>
    <w:uiPriority w:val="99"/>
    <w:rsid w:val="007B0EA1"/>
  </w:style>
  <w:style w:type="paragraph" w:styleId="Footer">
    <w:name w:val="footer"/>
    <w:basedOn w:val="Normal"/>
    <w:link w:val="FooterChar"/>
    <w:uiPriority w:val="99"/>
    <w:unhideWhenUsed/>
    <w:rsid w:val="007B0EA1"/>
    <w:pPr>
      <w:tabs>
        <w:tab w:val="center" w:pos="4513"/>
        <w:tab w:val="right" w:pos="9026"/>
      </w:tabs>
    </w:pPr>
  </w:style>
  <w:style w:type="character" w:customStyle="1" w:styleId="FooterChar">
    <w:name w:val="Footer Char"/>
    <w:basedOn w:val="DefaultParagraphFont"/>
    <w:link w:val="Footer"/>
    <w:uiPriority w:val="99"/>
    <w:rsid w:val="007B0EA1"/>
  </w:style>
  <w:style w:type="paragraph" w:styleId="FootnoteText">
    <w:name w:val="footnote text"/>
    <w:basedOn w:val="Normal"/>
    <w:link w:val="FootnoteTextChar"/>
    <w:uiPriority w:val="99"/>
    <w:unhideWhenUsed/>
    <w:rsid w:val="00721D37"/>
    <w:rPr>
      <w:sz w:val="20"/>
      <w:szCs w:val="20"/>
    </w:rPr>
  </w:style>
  <w:style w:type="character" w:customStyle="1" w:styleId="FootnoteTextChar">
    <w:name w:val="Footnote Text Char"/>
    <w:basedOn w:val="DefaultParagraphFont"/>
    <w:link w:val="FootnoteText"/>
    <w:uiPriority w:val="99"/>
    <w:rsid w:val="00721D37"/>
    <w:rPr>
      <w:sz w:val="20"/>
      <w:szCs w:val="20"/>
    </w:rPr>
  </w:style>
  <w:style w:type="character" w:styleId="FootnoteReference">
    <w:name w:val="footnote reference"/>
    <w:basedOn w:val="DefaultParagraphFont"/>
    <w:uiPriority w:val="99"/>
    <w:unhideWhenUsed/>
    <w:rsid w:val="00721D37"/>
    <w:rPr>
      <w:vertAlign w:val="superscript"/>
    </w:rPr>
  </w:style>
  <w:style w:type="character" w:styleId="Hyperlink">
    <w:name w:val="Hyperlink"/>
    <w:basedOn w:val="DefaultParagraphFont"/>
    <w:uiPriority w:val="99"/>
    <w:unhideWhenUsed/>
    <w:rsid w:val="00721D37"/>
    <w:rPr>
      <w:color w:val="0563C1" w:themeColor="hyperlink"/>
      <w:u w:val="single"/>
    </w:rPr>
  </w:style>
  <w:style w:type="paragraph" w:styleId="ListParagraph">
    <w:name w:val="List Paragraph"/>
    <w:aliases w:val="List Paragraph Number"/>
    <w:basedOn w:val="Normal"/>
    <w:link w:val="ListParagraphChar"/>
    <w:uiPriority w:val="34"/>
    <w:qFormat/>
    <w:rsid w:val="00EB7986"/>
    <w:pPr>
      <w:ind w:left="720"/>
      <w:contextualSpacing/>
    </w:pPr>
  </w:style>
  <w:style w:type="paragraph" w:styleId="BalloonText">
    <w:name w:val="Balloon Text"/>
    <w:basedOn w:val="Normal"/>
    <w:link w:val="BalloonTextChar"/>
    <w:uiPriority w:val="99"/>
    <w:semiHidden/>
    <w:unhideWhenUsed/>
    <w:rsid w:val="009F33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3320"/>
    <w:rPr>
      <w:rFonts w:ascii="Segoe UI" w:hAnsi="Segoe UI" w:cs="Segoe UI"/>
      <w:sz w:val="18"/>
      <w:szCs w:val="18"/>
    </w:rPr>
  </w:style>
  <w:style w:type="character" w:customStyle="1" w:styleId="ListParagraphChar">
    <w:name w:val="List Paragraph Char"/>
    <w:aliases w:val="List Paragraph Number Char"/>
    <w:basedOn w:val="DefaultParagraphFont"/>
    <w:link w:val="ListParagraph"/>
    <w:uiPriority w:val="34"/>
    <w:rsid w:val="008251E9"/>
  </w:style>
  <w:style w:type="character" w:styleId="CommentReference">
    <w:name w:val="annotation reference"/>
    <w:basedOn w:val="DefaultParagraphFont"/>
    <w:uiPriority w:val="99"/>
    <w:semiHidden/>
    <w:unhideWhenUsed/>
    <w:rsid w:val="00986EE0"/>
    <w:rPr>
      <w:sz w:val="16"/>
      <w:szCs w:val="16"/>
    </w:rPr>
  </w:style>
  <w:style w:type="paragraph" w:styleId="CommentText">
    <w:name w:val="annotation text"/>
    <w:basedOn w:val="Normal"/>
    <w:link w:val="CommentTextChar"/>
    <w:uiPriority w:val="99"/>
    <w:semiHidden/>
    <w:unhideWhenUsed/>
    <w:rsid w:val="00986EE0"/>
    <w:rPr>
      <w:sz w:val="20"/>
      <w:szCs w:val="20"/>
    </w:rPr>
  </w:style>
  <w:style w:type="character" w:customStyle="1" w:styleId="CommentTextChar">
    <w:name w:val="Comment Text Char"/>
    <w:basedOn w:val="DefaultParagraphFont"/>
    <w:link w:val="CommentText"/>
    <w:uiPriority w:val="99"/>
    <w:semiHidden/>
    <w:rsid w:val="00986EE0"/>
    <w:rPr>
      <w:sz w:val="20"/>
      <w:szCs w:val="20"/>
    </w:rPr>
  </w:style>
  <w:style w:type="paragraph" w:styleId="CommentSubject">
    <w:name w:val="annotation subject"/>
    <w:basedOn w:val="CommentText"/>
    <w:next w:val="CommentText"/>
    <w:link w:val="CommentSubjectChar"/>
    <w:uiPriority w:val="99"/>
    <w:semiHidden/>
    <w:unhideWhenUsed/>
    <w:rsid w:val="00986EE0"/>
    <w:rPr>
      <w:b/>
      <w:bCs/>
    </w:rPr>
  </w:style>
  <w:style w:type="character" w:customStyle="1" w:styleId="CommentSubjectChar">
    <w:name w:val="Comment Subject Char"/>
    <w:basedOn w:val="CommentTextChar"/>
    <w:link w:val="CommentSubject"/>
    <w:uiPriority w:val="99"/>
    <w:semiHidden/>
    <w:rsid w:val="00986E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goo.gl/u0oAIp" TargetMode="External"/><Relationship Id="rId2" Type="http://schemas.openxmlformats.org/officeDocument/2006/relationships/hyperlink" Target="https://goo.gl/3t4Rsf" TargetMode="External"/><Relationship Id="rId1" Type="http://schemas.openxmlformats.org/officeDocument/2006/relationships/hyperlink" Target="https://goo.gl/cXkD3a" TargetMode="External"/><Relationship Id="rId4" Type="http://schemas.openxmlformats.org/officeDocument/2006/relationships/hyperlink" Target="https://goo.gl/cXkD3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FB9E8-9A23-42E9-91AA-994B2E4A0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4346</Words>
  <Characters>24774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3</cp:revision>
  <cp:lastPrinted>2016-12-16T03:01:00Z</cp:lastPrinted>
  <dcterms:created xsi:type="dcterms:W3CDTF">2016-12-16T04:49:00Z</dcterms:created>
  <dcterms:modified xsi:type="dcterms:W3CDTF">2016-12-16T04:55:00Z</dcterms:modified>
</cp:coreProperties>
</file>