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3C743" w14:textId="77777777" w:rsidR="00905C00" w:rsidRDefault="00905C00" w:rsidP="00905C00">
      <w:pPr>
        <w:rPr>
          <w:rFonts w:ascii="Helvetica" w:hAnsi="Helvetica"/>
          <w:b/>
          <w:sz w:val="28"/>
          <w:szCs w:val="28"/>
        </w:rPr>
      </w:pPr>
    </w:p>
    <w:p w14:paraId="66505072" w14:textId="77777777" w:rsidR="00905C00" w:rsidRDefault="00905C00" w:rsidP="00905C00">
      <w:pPr>
        <w:rPr>
          <w:rFonts w:ascii="Helvetica" w:hAnsi="Helvetica"/>
          <w:b/>
          <w:sz w:val="28"/>
          <w:szCs w:val="28"/>
        </w:rPr>
      </w:pPr>
    </w:p>
    <w:p w14:paraId="322B0FF7" w14:textId="77777777" w:rsidR="00905C00" w:rsidRDefault="00905C00" w:rsidP="00905C00">
      <w:pPr>
        <w:rPr>
          <w:rFonts w:ascii="Helvetica" w:hAnsi="Helvetica"/>
          <w:b/>
          <w:sz w:val="28"/>
          <w:szCs w:val="28"/>
        </w:rPr>
      </w:pPr>
    </w:p>
    <w:p w14:paraId="367BDD16" w14:textId="698407BC" w:rsidR="00905C00" w:rsidRPr="00916B44" w:rsidRDefault="00000000" w:rsidP="00905C00">
      <w:pPr>
        <w:pStyle w:val="Default"/>
        <w:rPr>
          <w:rFonts w:ascii="Helvetica" w:hAnsi="Helvetica"/>
          <w:b/>
          <w:sz w:val="34"/>
          <w:szCs w:val="44"/>
        </w:rPr>
      </w:pPr>
      <w:sdt>
        <w:sdtPr>
          <w:rPr>
            <w:b/>
            <w:bCs/>
            <w:sz w:val="44"/>
            <w:szCs w:val="44"/>
          </w:rPr>
          <w:id w:val="615710030"/>
          <w:placeholder>
            <w:docPart w:val="DefaultPlaceholder_-1854013440"/>
          </w:placeholder>
        </w:sdtPr>
        <w:sdtContent>
          <w:r w:rsidR="00FD6020">
            <w:rPr>
              <w:b/>
              <w:bCs/>
              <w:sz w:val="44"/>
              <w:szCs w:val="44"/>
            </w:rPr>
            <w:t xml:space="preserve">CYDA’s response to </w:t>
          </w:r>
          <w:r w:rsidR="00934430">
            <w:rPr>
              <w:b/>
              <w:bCs/>
              <w:sz w:val="44"/>
              <w:szCs w:val="44"/>
            </w:rPr>
            <w:t xml:space="preserve">the </w:t>
          </w:r>
          <w:r w:rsidR="00BA100B">
            <w:rPr>
              <w:b/>
              <w:bCs/>
              <w:sz w:val="44"/>
              <w:szCs w:val="44"/>
            </w:rPr>
            <w:t xml:space="preserve">Australian Government’s </w:t>
          </w:r>
          <w:r w:rsidR="00934430">
            <w:rPr>
              <w:b/>
              <w:bCs/>
              <w:sz w:val="44"/>
              <w:szCs w:val="44"/>
            </w:rPr>
            <w:t>Early Years Strategy Discussion Paper</w:t>
          </w:r>
        </w:sdtContent>
      </w:sdt>
    </w:p>
    <w:p w14:paraId="48DD750D" w14:textId="77777777" w:rsidR="00905C00" w:rsidRDefault="00905C00" w:rsidP="00905C00">
      <w:pPr>
        <w:rPr>
          <w:rFonts w:ascii="Helvetica" w:hAnsi="Helvetica"/>
          <w:b/>
          <w:sz w:val="24"/>
          <w:szCs w:val="24"/>
        </w:rPr>
      </w:pPr>
    </w:p>
    <w:p w14:paraId="72E04850" w14:textId="77777777" w:rsidR="00905C00" w:rsidRDefault="00905C00" w:rsidP="00905C00">
      <w:pPr>
        <w:rPr>
          <w:rFonts w:ascii="Helvetica" w:hAnsi="Helvetica"/>
          <w:b/>
          <w:sz w:val="24"/>
          <w:szCs w:val="24"/>
        </w:rPr>
      </w:pPr>
    </w:p>
    <w:p w14:paraId="2143280A" w14:textId="77777777" w:rsidR="00905C00" w:rsidRDefault="00905C00" w:rsidP="00905C00">
      <w:pPr>
        <w:rPr>
          <w:rFonts w:ascii="Helvetica" w:hAnsi="Helvetica"/>
          <w:b/>
          <w:sz w:val="24"/>
          <w:szCs w:val="24"/>
        </w:rPr>
      </w:pPr>
    </w:p>
    <w:sdt>
      <w:sdtPr>
        <w:rPr>
          <w:i/>
          <w:iCs/>
          <w:sz w:val="44"/>
          <w:szCs w:val="44"/>
        </w:rPr>
        <w:id w:val="1078782034"/>
        <w:placeholder>
          <w:docPart w:val="DefaultPlaceholder_-1854013440"/>
        </w:placeholder>
      </w:sdtPr>
      <w:sdtEndPr>
        <w:rPr>
          <w:sz w:val="40"/>
          <w:szCs w:val="40"/>
        </w:rPr>
      </w:sdtEndPr>
      <w:sdtContent>
        <w:p w14:paraId="1B7FFD1E" w14:textId="5F8DC31C" w:rsidR="00825FB0" w:rsidRDefault="001147FD" w:rsidP="001147FD">
          <w:pPr>
            <w:pStyle w:val="Default"/>
            <w:jc w:val="center"/>
            <w:rPr>
              <w:i/>
              <w:iCs/>
              <w:sz w:val="44"/>
              <w:szCs w:val="44"/>
            </w:rPr>
          </w:pPr>
          <w:r>
            <w:rPr>
              <w:i/>
              <w:iCs/>
              <w:sz w:val="44"/>
              <w:szCs w:val="44"/>
            </w:rPr>
            <w:t>“</w:t>
          </w:r>
          <w:r w:rsidR="00BE7D47">
            <w:rPr>
              <w:i/>
              <w:iCs/>
              <w:sz w:val="44"/>
              <w:szCs w:val="44"/>
            </w:rPr>
            <w:t xml:space="preserve">Strategies come and go but my </w:t>
          </w:r>
          <w:r w:rsidR="007421BE">
            <w:rPr>
              <w:i/>
              <w:iCs/>
              <w:sz w:val="44"/>
              <w:szCs w:val="44"/>
            </w:rPr>
            <w:t xml:space="preserve">daughter </w:t>
          </w:r>
          <w:r w:rsidR="00BE7D47">
            <w:rPr>
              <w:i/>
              <w:iCs/>
              <w:sz w:val="44"/>
              <w:szCs w:val="44"/>
            </w:rPr>
            <w:t>only gets one</w:t>
          </w:r>
          <w:r w:rsidR="005C2B1C">
            <w:rPr>
              <w:i/>
              <w:iCs/>
              <w:sz w:val="44"/>
              <w:szCs w:val="44"/>
            </w:rPr>
            <w:t xml:space="preserve"> childhood. </w:t>
          </w:r>
          <w:r w:rsidR="00452640">
            <w:rPr>
              <w:i/>
              <w:iCs/>
              <w:sz w:val="44"/>
              <w:szCs w:val="44"/>
            </w:rPr>
            <w:t xml:space="preserve">Her needs, her strengths and her voice needs to be </w:t>
          </w:r>
          <w:r w:rsidR="001E3F19">
            <w:rPr>
              <w:i/>
              <w:iCs/>
              <w:sz w:val="44"/>
              <w:szCs w:val="44"/>
            </w:rPr>
            <w:t>seen as an investment</w:t>
          </w:r>
          <w:r w:rsidR="007D0F73">
            <w:rPr>
              <w:i/>
              <w:iCs/>
              <w:sz w:val="44"/>
              <w:szCs w:val="44"/>
            </w:rPr>
            <w:t>.</w:t>
          </w:r>
          <w:r>
            <w:rPr>
              <w:i/>
              <w:iCs/>
              <w:sz w:val="44"/>
              <w:szCs w:val="44"/>
            </w:rPr>
            <w:t>”</w:t>
          </w:r>
        </w:p>
        <w:p w14:paraId="68D058A6" w14:textId="77777777" w:rsidR="006B6C7C" w:rsidRDefault="006B6C7C" w:rsidP="006B6C7C">
          <w:pPr>
            <w:pStyle w:val="Default"/>
            <w:rPr>
              <w:sz w:val="32"/>
              <w:szCs w:val="32"/>
            </w:rPr>
          </w:pPr>
        </w:p>
        <w:p w14:paraId="6F8F4F16" w14:textId="7A218638" w:rsidR="001147FD" w:rsidRPr="006B6C7C" w:rsidRDefault="006B6C7C" w:rsidP="006B6C7C">
          <w:pPr>
            <w:pStyle w:val="Default"/>
            <w:numPr>
              <w:ilvl w:val="0"/>
              <w:numId w:val="30"/>
            </w:numPr>
            <w:jc w:val="center"/>
            <w:rPr>
              <w:i/>
              <w:iCs/>
              <w:sz w:val="40"/>
              <w:szCs w:val="40"/>
            </w:rPr>
          </w:pPr>
          <w:r w:rsidRPr="006B6C7C">
            <w:rPr>
              <w:sz w:val="32"/>
              <w:szCs w:val="32"/>
            </w:rPr>
            <w:t>Mother of a child with disability</w:t>
          </w:r>
        </w:p>
      </w:sdtContent>
    </w:sdt>
    <w:p w14:paraId="2863CE97" w14:textId="77777777" w:rsidR="00905C00" w:rsidRDefault="00905C00" w:rsidP="00905C00">
      <w:pPr>
        <w:rPr>
          <w:rFonts w:ascii="Helvetica" w:hAnsi="Helvetica"/>
          <w:b/>
          <w:sz w:val="24"/>
          <w:szCs w:val="24"/>
        </w:rPr>
      </w:pPr>
    </w:p>
    <w:p w14:paraId="17F95139" w14:textId="77777777" w:rsidR="00905C00" w:rsidRDefault="00905C00" w:rsidP="00905C00">
      <w:pPr>
        <w:rPr>
          <w:rFonts w:ascii="Helvetica" w:hAnsi="Helvetica"/>
          <w:b/>
          <w:sz w:val="24"/>
          <w:szCs w:val="24"/>
        </w:rPr>
      </w:pPr>
    </w:p>
    <w:p w14:paraId="52ADAD6E" w14:textId="77777777" w:rsidR="00905C00" w:rsidRDefault="00905C00" w:rsidP="00905C00">
      <w:pPr>
        <w:rPr>
          <w:rFonts w:ascii="Helvetica" w:hAnsi="Helvetica"/>
          <w:b/>
          <w:sz w:val="24"/>
          <w:szCs w:val="24"/>
        </w:rPr>
      </w:pPr>
    </w:p>
    <w:p w14:paraId="2C391603" w14:textId="26630601" w:rsidR="00905C00" w:rsidRDefault="00905C00" w:rsidP="00905C00">
      <w:pPr>
        <w:rPr>
          <w:rFonts w:ascii="Helvetica" w:hAnsi="Helvetica"/>
          <w:b/>
          <w:sz w:val="24"/>
          <w:szCs w:val="24"/>
        </w:rPr>
      </w:pPr>
    </w:p>
    <w:p w14:paraId="24AD7C17" w14:textId="3FEA1F71" w:rsidR="00905C00" w:rsidRDefault="001147FD" w:rsidP="00905C00">
      <w:pPr>
        <w:rPr>
          <w:rFonts w:ascii="Helvetica" w:hAnsi="Helvetica"/>
          <w:b/>
          <w:sz w:val="24"/>
          <w:szCs w:val="24"/>
        </w:rPr>
      </w:pPr>
      <w:r>
        <w:rPr>
          <w:noProof/>
        </w:rPr>
        <w:drawing>
          <wp:anchor distT="0" distB="0" distL="114300" distR="114300" simplePos="0" relativeHeight="251658240" behindDoc="0" locked="0" layoutInCell="1" allowOverlap="1" wp14:anchorId="515EE6C1" wp14:editId="13C50C0B">
            <wp:simplePos x="0" y="0"/>
            <wp:positionH relativeFrom="margin">
              <wp:align>left</wp:align>
            </wp:positionH>
            <wp:positionV relativeFrom="paragraph">
              <wp:posOffset>266535</wp:posOffset>
            </wp:positionV>
            <wp:extent cx="747395" cy="747395"/>
            <wp:effectExtent l="0" t="0" r="0" b="0"/>
            <wp:wrapSquare wrapText="bothSides"/>
            <wp:docPr id="20" name="Picture 20"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rning with solid fill"/>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BE1258" w14:textId="77777777" w:rsidR="00905C00" w:rsidRDefault="00905C00" w:rsidP="00905C00">
      <w:pPr>
        <w:pStyle w:val="NormalWeb"/>
        <w:spacing w:before="0" w:beforeAutospacing="0"/>
        <w:jc w:val="both"/>
        <w:rPr>
          <w:rFonts w:ascii="Arial" w:eastAsiaTheme="minorHAnsi" w:hAnsi="Arial" w:cs="Arial"/>
          <w:b/>
          <w:sz w:val="22"/>
          <w:szCs w:val="22"/>
          <w:lang w:eastAsia="en-US"/>
        </w:rPr>
      </w:pPr>
    </w:p>
    <w:sdt>
      <w:sdtPr>
        <w:rPr>
          <w:rFonts w:ascii="Arial" w:eastAsiaTheme="minorHAnsi" w:hAnsi="Arial" w:cs="Arial"/>
          <w:b/>
          <w:sz w:val="22"/>
          <w:szCs w:val="22"/>
          <w:lang w:eastAsia="en-US"/>
        </w:rPr>
        <w:id w:val="-1229840519"/>
        <w:placeholder>
          <w:docPart w:val="DefaultPlaceholder_-1854013440"/>
        </w:placeholder>
      </w:sdtPr>
      <w:sdtEndPr>
        <w:rPr>
          <w:highlight w:val="yellow"/>
        </w:rPr>
      </w:sdtEndPr>
      <w:sdtContent>
        <w:p w14:paraId="2E7E4B4F" w14:textId="662F94BA" w:rsidR="00905C00" w:rsidRDefault="00905C00" w:rsidP="00905C00">
          <w:pPr>
            <w:pStyle w:val="NormalWeb"/>
            <w:spacing w:before="0" w:beforeAutospacing="0"/>
            <w:jc w:val="both"/>
            <w:rPr>
              <w:rFonts w:ascii="Arial" w:eastAsiaTheme="minorHAnsi" w:hAnsi="Arial" w:cs="Arial"/>
              <w:b/>
              <w:sz w:val="22"/>
              <w:szCs w:val="22"/>
              <w:lang w:eastAsia="en-US"/>
            </w:rPr>
          </w:pPr>
          <w:r w:rsidRPr="00331ED0">
            <w:rPr>
              <w:rFonts w:ascii="Arial" w:eastAsiaTheme="minorHAnsi" w:hAnsi="Arial" w:cs="Arial"/>
              <w:b/>
              <w:sz w:val="22"/>
              <w:szCs w:val="22"/>
              <w:lang w:eastAsia="en-US"/>
            </w:rPr>
            <w:t>Content note</w:t>
          </w:r>
          <w:r w:rsidR="001147FD" w:rsidRPr="00331ED0">
            <w:rPr>
              <w:rFonts w:ascii="Arial" w:eastAsiaTheme="minorHAnsi" w:hAnsi="Arial" w:cs="Arial"/>
              <w:b/>
              <w:sz w:val="22"/>
              <w:szCs w:val="22"/>
              <w:lang w:eastAsia="en-US"/>
            </w:rPr>
            <w:t xml:space="preserve">: Discussion </w:t>
          </w:r>
          <w:r w:rsidRPr="00331ED0">
            <w:rPr>
              <w:rFonts w:ascii="Arial" w:eastAsiaTheme="minorHAnsi" w:hAnsi="Arial" w:cs="Arial"/>
              <w:b/>
              <w:sz w:val="22"/>
              <w:szCs w:val="22"/>
              <w:lang w:eastAsia="en-US"/>
            </w:rPr>
            <w:t>of ableism</w:t>
          </w:r>
        </w:p>
      </w:sdtContent>
    </w:sdt>
    <w:p w14:paraId="250E349A" w14:textId="72904B81" w:rsidR="00905C00" w:rsidRDefault="00905C00" w:rsidP="00905C00">
      <w:pPr>
        <w:rPr>
          <w:rFonts w:ascii="Helvetica" w:hAnsi="Helvetica"/>
          <w:b/>
          <w:sz w:val="24"/>
          <w:szCs w:val="24"/>
        </w:rPr>
      </w:pPr>
      <w:r>
        <w:rPr>
          <w:rFonts w:ascii="Helvetica" w:hAnsi="Helvetica"/>
          <w:b/>
          <w:sz w:val="24"/>
          <w:szCs w:val="24"/>
        </w:rPr>
        <w:br w:type="textWrapping" w:clear="all"/>
      </w:r>
    </w:p>
    <w:p w14:paraId="2CC0F02C" w14:textId="77777777" w:rsidR="00905C00" w:rsidRDefault="00905C00" w:rsidP="00905C00">
      <w:pPr>
        <w:rPr>
          <w:rFonts w:ascii="Helvetica" w:hAnsi="Helvetica"/>
          <w:b/>
          <w:sz w:val="24"/>
          <w:szCs w:val="24"/>
        </w:rPr>
      </w:pPr>
    </w:p>
    <w:p w14:paraId="2D04C4AC" w14:textId="3D4AE284" w:rsidR="00905C00" w:rsidRDefault="00905C00" w:rsidP="00905C00">
      <w:pPr>
        <w:rPr>
          <w:rFonts w:ascii="Helvetica" w:hAnsi="Helvetica"/>
          <w:b/>
          <w:sz w:val="24"/>
          <w:szCs w:val="24"/>
        </w:rPr>
      </w:pPr>
      <w:r w:rsidRPr="00E57D88">
        <w:rPr>
          <w:rFonts w:ascii="Helvetica" w:hAnsi="Helvetica"/>
          <w:b/>
          <w:sz w:val="24"/>
          <w:szCs w:val="24"/>
        </w:rPr>
        <w:t>Children and Young P</w:t>
      </w:r>
      <w:r>
        <w:rPr>
          <w:rFonts w:ascii="Helvetica" w:hAnsi="Helvetica"/>
          <w:b/>
          <w:sz w:val="24"/>
          <w:szCs w:val="24"/>
        </w:rPr>
        <w:t>eople with Disability Australia</w:t>
      </w:r>
    </w:p>
    <w:p w14:paraId="2AF9D453" w14:textId="60505B8C" w:rsidR="00905C00" w:rsidRDefault="00000000" w:rsidP="00905C00">
      <w:pPr>
        <w:rPr>
          <w:rFonts w:ascii="Helvetica" w:hAnsi="Helvetica"/>
          <w:b/>
          <w:sz w:val="24"/>
          <w:szCs w:val="24"/>
        </w:rPr>
        <w:sectPr w:rsidR="00905C00">
          <w:headerReference w:type="default" r:id="rId13"/>
          <w:footerReference w:type="default" r:id="rId14"/>
          <w:pgSz w:w="11906" w:h="16838"/>
          <w:pgMar w:top="1440" w:right="1080" w:bottom="1440" w:left="1080" w:header="708" w:footer="708" w:gutter="0"/>
          <w:cols w:space="708"/>
          <w:docGrid w:linePitch="360"/>
        </w:sectPr>
      </w:pPr>
      <w:sdt>
        <w:sdtPr>
          <w:rPr>
            <w:rFonts w:ascii="Helvetica" w:hAnsi="Helvetica"/>
            <w:b/>
            <w:sz w:val="24"/>
            <w:szCs w:val="24"/>
          </w:rPr>
          <w:id w:val="-694457978"/>
          <w:placeholder>
            <w:docPart w:val="DefaultPlaceholder_-1854013440"/>
          </w:placeholder>
        </w:sdtPr>
        <w:sdtContent>
          <w:r w:rsidR="00934430">
            <w:rPr>
              <w:rFonts w:ascii="Helvetica" w:hAnsi="Helvetica"/>
              <w:b/>
              <w:sz w:val="24"/>
              <w:szCs w:val="24"/>
            </w:rPr>
            <w:t>April 2023</w:t>
          </w:r>
        </w:sdtContent>
      </w:sdt>
      <w:r w:rsidR="00905C00">
        <w:rPr>
          <w:rFonts w:ascii="Helvetica" w:hAnsi="Helvetica"/>
          <w:b/>
          <w:sz w:val="24"/>
          <w:szCs w:val="24"/>
        </w:rPr>
        <w:t xml:space="preserve"> </w:t>
      </w:r>
    </w:p>
    <w:p w14:paraId="338BB0CD" w14:textId="77777777" w:rsidR="00905C00" w:rsidRDefault="00905C00" w:rsidP="00905C00">
      <w:pPr>
        <w:jc w:val="both"/>
        <w:rPr>
          <w:b/>
        </w:rPr>
      </w:pPr>
      <w:r>
        <w:rPr>
          <w:b/>
        </w:rPr>
        <w:lastRenderedPageBreak/>
        <w:t>Authorised by:</w:t>
      </w:r>
    </w:p>
    <w:p w14:paraId="110A7CB2" w14:textId="5250541D" w:rsidR="00905C00" w:rsidRDefault="001147FD" w:rsidP="00905C00">
      <w:pPr>
        <w:jc w:val="both"/>
      </w:pPr>
      <w:r>
        <w:t>Skye Kakoschke-Moore</w:t>
      </w:r>
      <w:r w:rsidR="00905C00">
        <w:t xml:space="preserve">, </w:t>
      </w:r>
      <w:r>
        <w:t>Chief Executive Officer</w:t>
      </w:r>
    </w:p>
    <w:p w14:paraId="5A5E726F" w14:textId="77777777" w:rsidR="00905C00" w:rsidRDefault="00905C00" w:rsidP="00905C00">
      <w:pPr>
        <w:jc w:val="both"/>
        <w:rPr>
          <w:b/>
        </w:rPr>
      </w:pPr>
      <w:r>
        <w:rPr>
          <w:b/>
        </w:rPr>
        <w:t>Contact details:</w:t>
      </w:r>
    </w:p>
    <w:p w14:paraId="7458E7E2" w14:textId="0EEF74BF" w:rsidR="00905C00" w:rsidRDefault="00905C00" w:rsidP="00905C00">
      <w:r>
        <w:t>Children and Young People with Disability Australia</w:t>
      </w:r>
      <w:r>
        <w:br/>
        <w:t xml:space="preserve">E. </w:t>
      </w:r>
      <w:hyperlink r:id="rId15" w:history="1">
        <w:r w:rsidR="009733BE" w:rsidRPr="00F17EA3">
          <w:rPr>
            <w:rStyle w:val="Hyperlink"/>
          </w:rPr>
          <w:t>skye@cyda.org.au</w:t>
        </w:r>
      </w:hyperlink>
      <w:r w:rsidR="009733BE">
        <w:t xml:space="preserve"> </w:t>
      </w:r>
      <w:r>
        <w:br/>
        <w:t>P. 03 9417 1025</w:t>
      </w:r>
      <w:r>
        <w:br/>
        <w:t xml:space="preserve">W. </w:t>
      </w:r>
      <w:hyperlink r:id="rId16" w:history="1">
        <w:r>
          <w:rPr>
            <w:rStyle w:val="Hyperlink"/>
          </w:rPr>
          <w:t>www.cyda.org.au</w:t>
        </w:r>
      </w:hyperlink>
    </w:p>
    <w:p w14:paraId="11C4C7F5" w14:textId="77777777" w:rsidR="00905C00" w:rsidRDefault="00905C00" w:rsidP="00905C00">
      <w:pPr>
        <w:jc w:val="both"/>
        <w:rPr>
          <w:b/>
          <w:bCs/>
        </w:rPr>
      </w:pPr>
    </w:p>
    <w:p w14:paraId="4537C969" w14:textId="77777777" w:rsidR="00905C00" w:rsidRDefault="00905C00" w:rsidP="00905C00">
      <w:pPr>
        <w:jc w:val="both"/>
        <w:rPr>
          <w:b/>
          <w:bCs/>
        </w:rPr>
      </w:pPr>
      <w:r>
        <w:rPr>
          <w:b/>
          <w:bCs/>
        </w:rPr>
        <w:t>Authors:</w:t>
      </w:r>
    </w:p>
    <w:p w14:paraId="08369EF5" w14:textId="55904B3B" w:rsidR="00905C00" w:rsidRPr="007F4320" w:rsidRDefault="00000000" w:rsidP="00905C00">
      <w:pPr>
        <w:jc w:val="both"/>
      </w:pPr>
      <w:sdt>
        <w:sdtPr>
          <w:id w:val="805979264"/>
          <w:placeholder>
            <w:docPart w:val="DefaultPlaceholder_-1854013440"/>
          </w:placeholder>
        </w:sdtPr>
        <w:sdtContent>
          <w:r w:rsidR="00331ED0" w:rsidRPr="007F4320">
            <w:t xml:space="preserve">Sue Tape, </w:t>
          </w:r>
          <w:r w:rsidR="00220DB4" w:rsidRPr="007F4320">
            <w:t>Project Coordinator</w:t>
          </w:r>
          <w:r w:rsidR="000A11B6" w:rsidRPr="007F4320">
            <w:t xml:space="preserve"> – Inclusive Education</w:t>
          </w:r>
        </w:sdtContent>
      </w:sdt>
      <w:r w:rsidR="000A11B6" w:rsidRPr="007F4320">
        <w:t xml:space="preserve"> </w:t>
      </w:r>
    </w:p>
    <w:p w14:paraId="55290654" w14:textId="618D25AF" w:rsidR="001147FD" w:rsidRDefault="00000000" w:rsidP="001147FD">
      <w:pPr>
        <w:jc w:val="both"/>
      </w:pPr>
      <w:sdt>
        <w:sdtPr>
          <w:id w:val="-905453996"/>
          <w:placeholder>
            <w:docPart w:val="A3692C538C5041C8A321B0E81AD6558E"/>
          </w:placeholder>
        </w:sdtPr>
        <w:sdtContent>
          <w:r w:rsidR="00447C29" w:rsidRPr="007F4320">
            <w:t xml:space="preserve">Dula </w:t>
          </w:r>
          <w:r w:rsidR="007C41AB" w:rsidRPr="007F4320">
            <w:t>Hettiarachchi</w:t>
          </w:r>
        </w:sdtContent>
      </w:sdt>
      <w:r w:rsidR="007F4320" w:rsidRPr="007F4320">
        <w:t>, Policy Officer</w:t>
      </w:r>
      <w:r w:rsidR="007C41AB" w:rsidRPr="007F4320">
        <w:t xml:space="preserve"> </w:t>
      </w:r>
    </w:p>
    <w:p w14:paraId="53440939" w14:textId="49D4CC2D" w:rsidR="009A2579" w:rsidRDefault="009A2579" w:rsidP="001147FD">
      <w:pPr>
        <w:jc w:val="both"/>
      </w:pPr>
      <w:r>
        <w:t xml:space="preserve">Dr Liz Hudson, </w:t>
      </w:r>
      <w:r w:rsidR="00CA5102">
        <w:t>Policy and Research Manager</w:t>
      </w:r>
    </w:p>
    <w:p w14:paraId="74FD1EBE" w14:textId="77777777" w:rsidR="00873976" w:rsidRDefault="00873976" w:rsidP="001147FD">
      <w:pPr>
        <w:jc w:val="both"/>
      </w:pPr>
    </w:p>
    <w:p w14:paraId="7BB834EF" w14:textId="77777777" w:rsidR="00905C00" w:rsidRDefault="00905C00" w:rsidP="00905C00">
      <w:pPr>
        <w:rPr>
          <w:b/>
          <w:bCs/>
        </w:rPr>
      </w:pPr>
    </w:p>
    <w:p w14:paraId="04EFB835" w14:textId="77777777" w:rsidR="001B6CE5" w:rsidRDefault="001B6CE5" w:rsidP="00905C00">
      <w:pPr>
        <w:rPr>
          <w:b/>
          <w:bCs/>
        </w:rPr>
      </w:pPr>
    </w:p>
    <w:p w14:paraId="268872AA" w14:textId="77777777" w:rsidR="001B6CE5" w:rsidRDefault="001B6CE5" w:rsidP="00905C00">
      <w:pPr>
        <w:rPr>
          <w:b/>
          <w:bCs/>
        </w:rPr>
      </w:pPr>
    </w:p>
    <w:p w14:paraId="64D3BD44" w14:textId="7B7A868B" w:rsidR="00905C00" w:rsidRPr="00A0764E" w:rsidRDefault="00905C00" w:rsidP="00905C00">
      <w:pPr>
        <w:rPr>
          <w:b/>
          <w:bCs/>
        </w:rPr>
      </w:pPr>
      <w:r w:rsidRPr="00A0764E">
        <w:rPr>
          <w:b/>
          <w:bCs/>
        </w:rPr>
        <w:t>A note on terminology</w:t>
      </w:r>
      <w:r>
        <w:rPr>
          <w:b/>
          <w:bCs/>
        </w:rPr>
        <w:t>:</w:t>
      </w:r>
    </w:p>
    <w:p w14:paraId="04DC72F1" w14:textId="77777777" w:rsidR="00934430" w:rsidRPr="001261B2" w:rsidRDefault="00934430" w:rsidP="00934430">
      <w:pPr>
        <w:jc w:val="both"/>
        <w:rPr>
          <w:i/>
          <w:iCs/>
        </w:rPr>
      </w:pPr>
      <w:r w:rsidRPr="001261B2">
        <w:rPr>
          <w:i/>
          <w:iCs/>
        </w:rPr>
        <w:t>Children and young people with disability</w:t>
      </w:r>
    </w:p>
    <w:p w14:paraId="183233E9" w14:textId="77777777" w:rsidR="00934430" w:rsidRDefault="00934430" w:rsidP="00934430">
      <w:pPr>
        <w:jc w:val="both"/>
      </w:pPr>
      <w:r>
        <w:t xml:space="preserve">Using inclusive language and terminology has been recognised by the disability community for decades. Children and Young People with Disability Australia (CYDA) uses person-first language, e.g., person with disability. However, CYDA recognise many people with disability choose to use identity-first language, e.g., disabled person. </w:t>
      </w:r>
    </w:p>
    <w:p w14:paraId="58FE3980" w14:textId="77777777" w:rsidR="00934430" w:rsidRPr="001261B2" w:rsidRDefault="00934430" w:rsidP="00934430">
      <w:pPr>
        <w:jc w:val="both"/>
        <w:rPr>
          <w:i/>
          <w:iCs/>
        </w:rPr>
      </w:pPr>
      <w:r w:rsidRPr="001261B2">
        <w:rPr>
          <w:i/>
          <w:iCs/>
        </w:rPr>
        <w:t xml:space="preserve">Families and caregivers </w:t>
      </w:r>
    </w:p>
    <w:p w14:paraId="2BF0C4C2" w14:textId="77777777" w:rsidR="00934430" w:rsidRDefault="00934430" w:rsidP="00934430">
      <w:pPr>
        <w:jc w:val="both"/>
      </w:pPr>
      <w:r>
        <w:t xml:space="preserve">CYDA refers to children and young people with disability and their families and caregivers. We use the term ‘families’ as recognition of the different structures and arrangements and ‘caregivers’ to acknowledge not all children live in family environments. For the purposes of this submission, CYDA are detailing the experiences of children and young people with disability who are cared for by their families and caregivers. </w:t>
      </w:r>
    </w:p>
    <w:p w14:paraId="607DEBC4" w14:textId="77777777" w:rsidR="001B6CE5" w:rsidRDefault="001B6CE5" w:rsidP="00905C00">
      <w:pPr>
        <w:jc w:val="both"/>
        <w:rPr>
          <w:b/>
        </w:rPr>
      </w:pPr>
    </w:p>
    <w:p w14:paraId="2347FD80" w14:textId="77777777" w:rsidR="007F4320" w:rsidRDefault="007F4320" w:rsidP="00905C00">
      <w:pPr>
        <w:jc w:val="both"/>
        <w:rPr>
          <w:b/>
        </w:rPr>
      </w:pPr>
    </w:p>
    <w:p w14:paraId="7B3512ED" w14:textId="77777777" w:rsidR="001B6CE5" w:rsidRDefault="001B6CE5" w:rsidP="00905C00">
      <w:pPr>
        <w:jc w:val="both"/>
        <w:rPr>
          <w:b/>
        </w:rPr>
      </w:pPr>
    </w:p>
    <w:p w14:paraId="538939D3" w14:textId="0F318E84" w:rsidR="00905C00" w:rsidRDefault="00905C00" w:rsidP="00905C00">
      <w:pPr>
        <w:jc w:val="both"/>
        <w:rPr>
          <w:b/>
        </w:rPr>
      </w:pPr>
      <w:r>
        <w:rPr>
          <w:b/>
        </w:rPr>
        <w:t>Acknowledgements:</w:t>
      </w:r>
    </w:p>
    <w:p w14:paraId="527C3DAD" w14:textId="77777777" w:rsidR="00905C00" w:rsidRDefault="00905C00" w:rsidP="00905C00">
      <w:pPr>
        <w:jc w:val="both"/>
      </w:pPr>
      <w:r>
        <w:t>Children and Young People with Disability Australia would like to acknowledge the traditional custodians of the lands on which this report has been written, reviewed and produced, whose cultures and customs have nurtured and continue to nurture this land since the Dreamtime. We pay our respects to their Elders past, present and future. This is, was, and always will be Aboriginal land.</w:t>
      </w:r>
    </w:p>
    <w:p w14:paraId="1FABDDC0" w14:textId="77777777" w:rsidR="00905C00" w:rsidRPr="009C26DB" w:rsidRDefault="00905C00" w:rsidP="00905C00">
      <w:pPr>
        <w:sectPr w:rsidR="00905C00" w:rsidRPr="009C26DB">
          <w:headerReference w:type="default" r:id="rId17"/>
          <w:pgSz w:w="11906" w:h="16838"/>
          <w:pgMar w:top="1440" w:right="1080" w:bottom="1440" w:left="1080" w:header="708" w:footer="708" w:gutter="0"/>
          <w:pgNumType w:start="1"/>
          <w:cols w:space="708"/>
          <w:docGrid w:linePitch="360"/>
        </w:sectPr>
      </w:pPr>
    </w:p>
    <w:sdt>
      <w:sdtPr>
        <w:rPr>
          <w:rFonts w:ascii="Arial" w:eastAsiaTheme="minorHAnsi" w:hAnsi="Arial" w:cstheme="minorBidi"/>
          <w:noProof/>
          <w:color w:val="auto"/>
          <w:sz w:val="22"/>
          <w:szCs w:val="22"/>
          <w:lang w:val="en-AU"/>
        </w:rPr>
        <w:id w:val="-729608808"/>
        <w:docPartObj>
          <w:docPartGallery w:val="Table of Contents"/>
          <w:docPartUnique/>
        </w:docPartObj>
      </w:sdtPr>
      <w:sdtEndPr>
        <w:rPr>
          <w:b/>
          <w:bCs/>
        </w:rPr>
      </w:sdtEndPr>
      <w:sdtContent>
        <w:p w14:paraId="1F66C18E" w14:textId="77777777" w:rsidR="00905C00" w:rsidRPr="00B8693D" w:rsidRDefault="00905C00" w:rsidP="00905C00">
          <w:pPr>
            <w:pStyle w:val="TOCHeading"/>
            <w:rPr>
              <w:rFonts w:ascii="Arial" w:hAnsi="Arial" w:cs="Arial"/>
              <w:color w:val="538135" w:themeColor="accent6" w:themeShade="BF"/>
            </w:rPr>
          </w:pPr>
          <w:r w:rsidRPr="00B8693D">
            <w:rPr>
              <w:rFonts w:ascii="Arial" w:hAnsi="Arial" w:cs="Arial"/>
              <w:color w:val="538135" w:themeColor="accent6" w:themeShade="BF"/>
            </w:rPr>
            <w:t>Contents</w:t>
          </w:r>
        </w:p>
        <w:p w14:paraId="16DAC8BC" w14:textId="23C38E49" w:rsidR="00E708AE" w:rsidRDefault="00905C00">
          <w:pPr>
            <w:pStyle w:val="TOC1"/>
            <w:rPr>
              <w:rFonts w:asciiTheme="minorHAnsi" w:eastAsiaTheme="minorEastAsia" w:hAnsiTheme="minorHAnsi"/>
              <w:lang w:eastAsia="en-AU"/>
            </w:rPr>
          </w:pPr>
          <w:r>
            <w:rPr>
              <w:b/>
              <w:bCs/>
            </w:rPr>
            <w:fldChar w:fldCharType="begin"/>
          </w:r>
          <w:r>
            <w:rPr>
              <w:b/>
              <w:bCs/>
            </w:rPr>
            <w:instrText xml:space="preserve"> TOC \o "1-3" \h \z \u </w:instrText>
          </w:r>
          <w:r>
            <w:rPr>
              <w:b/>
              <w:bCs/>
            </w:rPr>
            <w:fldChar w:fldCharType="separate"/>
          </w:r>
          <w:hyperlink w:anchor="_Toc133675137" w:history="1">
            <w:r w:rsidR="00E708AE" w:rsidRPr="00220D51">
              <w:rPr>
                <w:rStyle w:val="Hyperlink"/>
              </w:rPr>
              <w:t>Executive Summary and recommendations</w:t>
            </w:r>
            <w:r w:rsidR="00E708AE">
              <w:rPr>
                <w:webHidden/>
              </w:rPr>
              <w:tab/>
            </w:r>
            <w:r w:rsidR="00E708AE">
              <w:rPr>
                <w:webHidden/>
              </w:rPr>
              <w:fldChar w:fldCharType="begin"/>
            </w:r>
            <w:r w:rsidR="00E708AE">
              <w:rPr>
                <w:webHidden/>
              </w:rPr>
              <w:instrText xml:space="preserve"> PAGEREF _Toc133675137 \h </w:instrText>
            </w:r>
            <w:r w:rsidR="00E708AE">
              <w:rPr>
                <w:webHidden/>
              </w:rPr>
            </w:r>
            <w:r w:rsidR="00E708AE">
              <w:rPr>
                <w:webHidden/>
              </w:rPr>
              <w:fldChar w:fldCharType="separate"/>
            </w:r>
            <w:r w:rsidR="00EA6635">
              <w:rPr>
                <w:webHidden/>
              </w:rPr>
              <w:t>3</w:t>
            </w:r>
            <w:r w:rsidR="00E708AE">
              <w:rPr>
                <w:webHidden/>
              </w:rPr>
              <w:fldChar w:fldCharType="end"/>
            </w:r>
          </w:hyperlink>
        </w:p>
        <w:p w14:paraId="6253A30B" w14:textId="06DBB5BA" w:rsidR="00E708AE" w:rsidRDefault="00E708AE">
          <w:pPr>
            <w:pStyle w:val="TOC1"/>
            <w:rPr>
              <w:rFonts w:asciiTheme="minorHAnsi" w:eastAsiaTheme="minorEastAsia" w:hAnsiTheme="minorHAnsi"/>
              <w:lang w:eastAsia="en-AU"/>
            </w:rPr>
          </w:pPr>
          <w:hyperlink w:anchor="_Toc133675138" w:history="1">
            <w:r w:rsidRPr="00220D51">
              <w:rPr>
                <w:rStyle w:val="Hyperlink"/>
              </w:rPr>
              <w:t>Introduction</w:t>
            </w:r>
            <w:r>
              <w:rPr>
                <w:webHidden/>
              </w:rPr>
              <w:tab/>
            </w:r>
            <w:r>
              <w:rPr>
                <w:webHidden/>
              </w:rPr>
              <w:fldChar w:fldCharType="begin"/>
            </w:r>
            <w:r>
              <w:rPr>
                <w:webHidden/>
              </w:rPr>
              <w:instrText xml:space="preserve"> PAGEREF _Toc133675138 \h </w:instrText>
            </w:r>
            <w:r>
              <w:rPr>
                <w:webHidden/>
              </w:rPr>
            </w:r>
            <w:r>
              <w:rPr>
                <w:webHidden/>
              </w:rPr>
              <w:fldChar w:fldCharType="separate"/>
            </w:r>
            <w:r w:rsidR="00EA6635">
              <w:rPr>
                <w:webHidden/>
              </w:rPr>
              <w:t>5</w:t>
            </w:r>
            <w:r>
              <w:rPr>
                <w:webHidden/>
              </w:rPr>
              <w:fldChar w:fldCharType="end"/>
            </w:r>
          </w:hyperlink>
        </w:p>
        <w:p w14:paraId="3DA2D987" w14:textId="1EA69A38" w:rsidR="00E708AE" w:rsidRDefault="00E708AE">
          <w:pPr>
            <w:pStyle w:val="TOC1"/>
            <w:rPr>
              <w:rFonts w:asciiTheme="minorHAnsi" w:eastAsiaTheme="minorEastAsia" w:hAnsiTheme="minorHAnsi"/>
              <w:lang w:eastAsia="en-AU"/>
            </w:rPr>
          </w:pPr>
          <w:hyperlink w:anchor="_Toc133675139" w:history="1">
            <w:r w:rsidRPr="00220D51">
              <w:rPr>
                <w:rStyle w:val="Hyperlink"/>
              </w:rPr>
              <w:t>Context and evidence for CYDA’s submission</w:t>
            </w:r>
            <w:r>
              <w:rPr>
                <w:webHidden/>
              </w:rPr>
              <w:tab/>
            </w:r>
            <w:r>
              <w:rPr>
                <w:webHidden/>
              </w:rPr>
              <w:fldChar w:fldCharType="begin"/>
            </w:r>
            <w:r>
              <w:rPr>
                <w:webHidden/>
              </w:rPr>
              <w:instrText xml:space="preserve"> PAGEREF _Toc133675139 \h </w:instrText>
            </w:r>
            <w:r>
              <w:rPr>
                <w:webHidden/>
              </w:rPr>
            </w:r>
            <w:r>
              <w:rPr>
                <w:webHidden/>
              </w:rPr>
              <w:fldChar w:fldCharType="separate"/>
            </w:r>
            <w:r w:rsidR="00EA6635">
              <w:rPr>
                <w:webHidden/>
              </w:rPr>
              <w:t>7</w:t>
            </w:r>
            <w:r>
              <w:rPr>
                <w:webHidden/>
              </w:rPr>
              <w:fldChar w:fldCharType="end"/>
            </w:r>
          </w:hyperlink>
        </w:p>
        <w:p w14:paraId="2B7FE58A" w14:textId="0A30A9EC" w:rsidR="00E708AE" w:rsidRDefault="00E708AE">
          <w:pPr>
            <w:pStyle w:val="TOC1"/>
            <w:rPr>
              <w:rFonts w:asciiTheme="minorHAnsi" w:eastAsiaTheme="minorEastAsia" w:hAnsiTheme="minorHAnsi"/>
              <w:lang w:eastAsia="en-AU"/>
            </w:rPr>
          </w:pPr>
          <w:hyperlink w:anchor="_Toc133675140" w:history="1">
            <w:r w:rsidRPr="00220D51">
              <w:rPr>
                <w:rStyle w:val="Hyperlink"/>
              </w:rPr>
              <w:t>Challenges with delivering on the early years strategy and vision</w:t>
            </w:r>
            <w:r>
              <w:rPr>
                <w:webHidden/>
              </w:rPr>
              <w:tab/>
            </w:r>
            <w:r>
              <w:rPr>
                <w:webHidden/>
              </w:rPr>
              <w:fldChar w:fldCharType="begin"/>
            </w:r>
            <w:r>
              <w:rPr>
                <w:webHidden/>
              </w:rPr>
              <w:instrText xml:space="preserve"> PAGEREF _Toc133675140 \h </w:instrText>
            </w:r>
            <w:r>
              <w:rPr>
                <w:webHidden/>
              </w:rPr>
            </w:r>
            <w:r>
              <w:rPr>
                <w:webHidden/>
              </w:rPr>
              <w:fldChar w:fldCharType="separate"/>
            </w:r>
            <w:r w:rsidR="00EA6635">
              <w:rPr>
                <w:webHidden/>
              </w:rPr>
              <w:t>10</w:t>
            </w:r>
            <w:r>
              <w:rPr>
                <w:webHidden/>
              </w:rPr>
              <w:fldChar w:fldCharType="end"/>
            </w:r>
          </w:hyperlink>
        </w:p>
        <w:p w14:paraId="64959C46" w14:textId="20E5947C" w:rsidR="00E708AE" w:rsidRDefault="00E708AE">
          <w:pPr>
            <w:pStyle w:val="TOC1"/>
            <w:rPr>
              <w:rFonts w:asciiTheme="minorHAnsi" w:eastAsiaTheme="minorEastAsia" w:hAnsiTheme="minorHAnsi"/>
              <w:lang w:eastAsia="en-AU"/>
            </w:rPr>
          </w:pPr>
          <w:hyperlink w:anchor="_Toc133675141" w:history="1">
            <w:r w:rsidRPr="00220D51">
              <w:rPr>
                <w:rStyle w:val="Hyperlink"/>
              </w:rPr>
              <w:t>CYDA’s general response to the Early Years Strategy</w:t>
            </w:r>
            <w:r>
              <w:rPr>
                <w:webHidden/>
              </w:rPr>
              <w:tab/>
            </w:r>
            <w:r>
              <w:rPr>
                <w:webHidden/>
              </w:rPr>
              <w:fldChar w:fldCharType="begin"/>
            </w:r>
            <w:r>
              <w:rPr>
                <w:webHidden/>
              </w:rPr>
              <w:instrText xml:space="preserve"> PAGEREF _Toc133675141 \h </w:instrText>
            </w:r>
            <w:r>
              <w:rPr>
                <w:webHidden/>
              </w:rPr>
            </w:r>
            <w:r>
              <w:rPr>
                <w:webHidden/>
              </w:rPr>
              <w:fldChar w:fldCharType="separate"/>
            </w:r>
            <w:r w:rsidR="00EA6635">
              <w:rPr>
                <w:webHidden/>
              </w:rPr>
              <w:t>11</w:t>
            </w:r>
            <w:r>
              <w:rPr>
                <w:webHidden/>
              </w:rPr>
              <w:fldChar w:fldCharType="end"/>
            </w:r>
          </w:hyperlink>
        </w:p>
        <w:p w14:paraId="5A990BA9" w14:textId="5862C5F9" w:rsidR="00E708AE" w:rsidRDefault="00E708AE">
          <w:pPr>
            <w:pStyle w:val="TOC2"/>
            <w:tabs>
              <w:tab w:val="left" w:pos="660"/>
              <w:tab w:val="right" w:leader="dot" w:pos="9016"/>
            </w:tabs>
            <w:rPr>
              <w:rFonts w:asciiTheme="minorHAnsi" w:eastAsiaTheme="minorEastAsia" w:hAnsiTheme="minorHAnsi"/>
              <w:noProof/>
              <w:lang w:eastAsia="en-AU"/>
            </w:rPr>
          </w:pPr>
          <w:hyperlink w:anchor="_Toc133675142" w:history="1">
            <w:r w:rsidRPr="00220D51">
              <w:rPr>
                <w:rStyle w:val="Hyperlink"/>
                <w:noProof/>
              </w:rPr>
              <w:t>1.</w:t>
            </w:r>
            <w:r>
              <w:rPr>
                <w:rFonts w:asciiTheme="minorHAnsi" w:eastAsiaTheme="minorEastAsia" w:hAnsiTheme="minorHAnsi"/>
                <w:noProof/>
                <w:lang w:eastAsia="en-AU"/>
              </w:rPr>
              <w:tab/>
            </w:r>
            <w:r w:rsidRPr="00220D51">
              <w:rPr>
                <w:rStyle w:val="Hyperlink"/>
                <w:noProof/>
              </w:rPr>
              <w:t>Foreground the Strategy with anti-ableism framing</w:t>
            </w:r>
            <w:r>
              <w:rPr>
                <w:noProof/>
                <w:webHidden/>
              </w:rPr>
              <w:tab/>
            </w:r>
            <w:r>
              <w:rPr>
                <w:noProof/>
                <w:webHidden/>
              </w:rPr>
              <w:fldChar w:fldCharType="begin"/>
            </w:r>
            <w:r>
              <w:rPr>
                <w:noProof/>
                <w:webHidden/>
              </w:rPr>
              <w:instrText xml:space="preserve"> PAGEREF _Toc133675142 \h </w:instrText>
            </w:r>
            <w:r>
              <w:rPr>
                <w:noProof/>
                <w:webHidden/>
              </w:rPr>
            </w:r>
            <w:r>
              <w:rPr>
                <w:noProof/>
                <w:webHidden/>
              </w:rPr>
              <w:fldChar w:fldCharType="separate"/>
            </w:r>
            <w:r w:rsidR="00EA6635">
              <w:rPr>
                <w:noProof/>
                <w:webHidden/>
              </w:rPr>
              <w:t>11</w:t>
            </w:r>
            <w:r>
              <w:rPr>
                <w:noProof/>
                <w:webHidden/>
              </w:rPr>
              <w:fldChar w:fldCharType="end"/>
            </w:r>
          </w:hyperlink>
        </w:p>
        <w:p w14:paraId="3C613141" w14:textId="3A85648A" w:rsidR="00E708AE" w:rsidRDefault="00E708AE">
          <w:pPr>
            <w:pStyle w:val="TOC2"/>
            <w:tabs>
              <w:tab w:val="left" w:pos="660"/>
              <w:tab w:val="right" w:leader="dot" w:pos="9016"/>
            </w:tabs>
            <w:rPr>
              <w:rFonts w:asciiTheme="minorHAnsi" w:eastAsiaTheme="minorEastAsia" w:hAnsiTheme="minorHAnsi"/>
              <w:noProof/>
              <w:lang w:eastAsia="en-AU"/>
            </w:rPr>
          </w:pPr>
          <w:hyperlink w:anchor="_Toc133675143" w:history="1">
            <w:r w:rsidRPr="00220D51">
              <w:rPr>
                <w:rStyle w:val="Hyperlink"/>
                <w:noProof/>
              </w:rPr>
              <w:t>2.</w:t>
            </w:r>
            <w:r>
              <w:rPr>
                <w:rFonts w:asciiTheme="minorHAnsi" w:eastAsiaTheme="minorEastAsia" w:hAnsiTheme="minorHAnsi"/>
                <w:noProof/>
                <w:lang w:eastAsia="en-AU"/>
              </w:rPr>
              <w:tab/>
            </w:r>
            <w:r w:rsidRPr="00220D51">
              <w:rPr>
                <w:rStyle w:val="Hyperlink"/>
                <w:noProof/>
              </w:rPr>
              <w:t>Reform through co-design</w:t>
            </w:r>
            <w:r>
              <w:rPr>
                <w:noProof/>
                <w:webHidden/>
              </w:rPr>
              <w:tab/>
            </w:r>
            <w:r>
              <w:rPr>
                <w:noProof/>
                <w:webHidden/>
              </w:rPr>
              <w:fldChar w:fldCharType="begin"/>
            </w:r>
            <w:r>
              <w:rPr>
                <w:noProof/>
                <w:webHidden/>
              </w:rPr>
              <w:instrText xml:space="preserve"> PAGEREF _Toc133675143 \h </w:instrText>
            </w:r>
            <w:r>
              <w:rPr>
                <w:noProof/>
                <w:webHidden/>
              </w:rPr>
            </w:r>
            <w:r>
              <w:rPr>
                <w:noProof/>
                <w:webHidden/>
              </w:rPr>
              <w:fldChar w:fldCharType="separate"/>
            </w:r>
            <w:r w:rsidR="00EA6635">
              <w:rPr>
                <w:noProof/>
                <w:webHidden/>
              </w:rPr>
              <w:t>16</w:t>
            </w:r>
            <w:r>
              <w:rPr>
                <w:noProof/>
                <w:webHidden/>
              </w:rPr>
              <w:fldChar w:fldCharType="end"/>
            </w:r>
          </w:hyperlink>
        </w:p>
        <w:p w14:paraId="77AB62CD" w14:textId="7B24A3AD" w:rsidR="00E708AE" w:rsidRDefault="00E708AE">
          <w:pPr>
            <w:pStyle w:val="TOC2"/>
            <w:tabs>
              <w:tab w:val="left" w:pos="660"/>
              <w:tab w:val="right" w:leader="dot" w:pos="9016"/>
            </w:tabs>
            <w:rPr>
              <w:rFonts w:asciiTheme="minorHAnsi" w:eastAsiaTheme="minorEastAsia" w:hAnsiTheme="minorHAnsi"/>
              <w:noProof/>
              <w:lang w:eastAsia="en-AU"/>
            </w:rPr>
          </w:pPr>
          <w:hyperlink w:anchor="_Toc133675144" w:history="1">
            <w:r w:rsidRPr="00220D51">
              <w:rPr>
                <w:rStyle w:val="Hyperlink"/>
                <w:noProof/>
              </w:rPr>
              <w:t>3.</w:t>
            </w:r>
            <w:r>
              <w:rPr>
                <w:rFonts w:asciiTheme="minorHAnsi" w:eastAsiaTheme="minorEastAsia" w:hAnsiTheme="minorHAnsi"/>
                <w:noProof/>
                <w:lang w:eastAsia="en-AU"/>
              </w:rPr>
              <w:tab/>
            </w:r>
            <w:r w:rsidRPr="00220D51">
              <w:rPr>
                <w:rStyle w:val="Hyperlink"/>
                <w:noProof/>
              </w:rPr>
              <w:t>Prioritising the needs of diverse groups through universal design/thinking</w:t>
            </w:r>
            <w:r>
              <w:rPr>
                <w:noProof/>
                <w:webHidden/>
              </w:rPr>
              <w:tab/>
            </w:r>
            <w:r>
              <w:rPr>
                <w:noProof/>
                <w:webHidden/>
              </w:rPr>
              <w:fldChar w:fldCharType="begin"/>
            </w:r>
            <w:r>
              <w:rPr>
                <w:noProof/>
                <w:webHidden/>
              </w:rPr>
              <w:instrText xml:space="preserve"> PAGEREF _Toc133675144 \h </w:instrText>
            </w:r>
            <w:r>
              <w:rPr>
                <w:noProof/>
                <w:webHidden/>
              </w:rPr>
            </w:r>
            <w:r>
              <w:rPr>
                <w:noProof/>
                <w:webHidden/>
              </w:rPr>
              <w:fldChar w:fldCharType="separate"/>
            </w:r>
            <w:r w:rsidR="00EA6635">
              <w:rPr>
                <w:noProof/>
                <w:webHidden/>
              </w:rPr>
              <w:t>19</w:t>
            </w:r>
            <w:r>
              <w:rPr>
                <w:noProof/>
                <w:webHidden/>
              </w:rPr>
              <w:fldChar w:fldCharType="end"/>
            </w:r>
          </w:hyperlink>
        </w:p>
        <w:p w14:paraId="04FA4AA9" w14:textId="176DA4A1" w:rsidR="00E708AE" w:rsidRDefault="00E708AE">
          <w:pPr>
            <w:pStyle w:val="TOC1"/>
            <w:rPr>
              <w:rFonts w:asciiTheme="minorHAnsi" w:eastAsiaTheme="minorEastAsia" w:hAnsiTheme="minorHAnsi"/>
              <w:lang w:eastAsia="en-AU"/>
            </w:rPr>
          </w:pPr>
          <w:hyperlink w:anchor="_Toc133675145" w:history="1">
            <w:r w:rsidRPr="00220D51">
              <w:rPr>
                <w:rStyle w:val="Hyperlink"/>
              </w:rPr>
              <w:t>CYDA’s response to the discussion questions</w:t>
            </w:r>
            <w:r>
              <w:rPr>
                <w:webHidden/>
              </w:rPr>
              <w:tab/>
            </w:r>
            <w:r>
              <w:rPr>
                <w:webHidden/>
              </w:rPr>
              <w:fldChar w:fldCharType="begin"/>
            </w:r>
            <w:r>
              <w:rPr>
                <w:webHidden/>
              </w:rPr>
              <w:instrText xml:space="preserve"> PAGEREF _Toc133675145 \h </w:instrText>
            </w:r>
            <w:r>
              <w:rPr>
                <w:webHidden/>
              </w:rPr>
            </w:r>
            <w:r>
              <w:rPr>
                <w:webHidden/>
              </w:rPr>
              <w:fldChar w:fldCharType="separate"/>
            </w:r>
            <w:r w:rsidR="00EA6635">
              <w:rPr>
                <w:webHidden/>
              </w:rPr>
              <w:t>22</w:t>
            </w:r>
            <w:r>
              <w:rPr>
                <w:webHidden/>
              </w:rPr>
              <w:fldChar w:fldCharType="end"/>
            </w:r>
          </w:hyperlink>
        </w:p>
        <w:p w14:paraId="110EF65C" w14:textId="23980EB0" w:rsidR="00E708AE" w:rsidRDefault="00E708AE">
          <w:pPr>
            <w:pStyle w:val="TOC2"/>
            <w:tabs>
              <w:tab w:val="left" w:pos="660"/>
              <w:tab w:val="right" w:leader="dot" w:pos="9016"/>
            </w:tabs>
            <w:rPr>
              <w:rFonts w:asciiTheme="minorHAnsi" w:eastAsiaTheme="minorEastAsia" w:hAnsiTheme="minorHAnsi"/>
              <w:noProof/>
              <w:lang w:eastAsia="en-AU"/>
            </w:rPr>
          </w:pPr>
          <w:hyperlink w:anchor="_Toc133675146" w:history="1">
            <w:r w:rsidRPr="00220D51">
              <w:rPr>
                <w:rStyle w:val="Hyperlink"/>
                <w:noProof/>
              </w:rPr>
              <w:t>1.</w:t>
            </w:r>
            <w:r>
              <w:rPr>
                <w:rFonts w:asciiTheme="minorHAnsi" w:eastAsiaTheme="minorEastAsia" w:hAnsiTheme="minorHAnsi"/>
                <w:noProof/>
                <w:lang w:eastAsia="en-AU"/>
              </w:rPr>
              <w:tab/>
            </w:r>
            <w:r w:rsidRPr="00220D51">
              <w:rPr>
                <w:rStyle w:val="Hyperlink"/>
                <w:noProof/>
              </w:rPr>
              <w:t>Vision/Outcomes</w:t>
            </w:r>
            <w:r>
              <w:rPr>
                <w:noProof/>
                <w:webHidden/>
              </w:rPr>
              <w:tab/>
            </w:r>
            <w:r>
              <w:rPr>
                <w:noProof/>
                <w:webHidden/>
              </w:rPr>
              <w:fldChar w:fldCharType="begin"/>
            </w:r>
            <w:r>
              <w:rPr>
                <w:noProof/>
                <w:webHidden/>
              </w:rPr>
              <w:instrText xml:space="preserve"> PAGEREF _Toc133675146 \h </w:instrText>
            </w:r>
            <w:r>
              <w:rPr>
                <w:noProof/>
                <w:webHidden/>
              </w:rPr>
            </w:r>
            <w:r>
              <w:rPr>
                <w:noProof/>
                <w:webHidden/>
              </w:rPr>
              <w:fldChar w:fldCharType="separate"/>
            </w:r>
            <w:r w:rsidR="00EA6635">
              <w:rPr>
                <w:noProof/>
                <w:webHidden/>
              </w:rPr>
              <w:t>22</w:t>
            </w:r>
            <w:r>
              <w:rPr>
                <w:noProof/>
                <w:webHidden/>
              </w:rPr>
              <w:fldChar w:fldCharType="end"/>
            </w:r>
          </w:hyperlink>
        </w:p>
        <w:p w14:paraId="060DED69" w14:textId="6D692733" w:rsidR="00E708AE" w:rsidRDefault="00E708AE">
          <w:pPr>
            <w:pStyle w:val="TOC3"/>
            <w:tabs>
              <w:tab w:val="right" w:leader="dot" w:pos="9016"/>
            </w:tabs>
            <w:rPr>
              <w:rFonts w:asciiTheme="minorHAnsi" w:eastAsiaTheme="minorEastAsia" w:hAnsiTheme="minorHAnsi"/>
              <w:noProof/>
              <w:lang w:eastAsia="en-AU"/>
            </w:rPr>
          </w:pPr>
          <w:hyperlink w:anchor="_Toc133675147" w:history="1">
            <w:r w:rsidRPr="00220D51">
              <w:rPr>
                <w:rStyle w:val="Hyperlink"/>
                <w:noProof/>
              </w:rPr>
              <w:t>Table 1 The five elements of a vision of early childhood for children with disability</w:t>
            </w:r>
            <w:r>
              <w:rPr>
                <w:noProof/>
                <w:webHidden/>
              </w:rPr>
              <w:tab/>
            </w:r>
            <w:r>
              <w:rPr>
                <w:noProof/>
                <w:webHidden/>
              </w:rPr>
              <w:fldChar w:fldCharType="begin"/>
            </w:r>
            <w:r>
              <w:rPr>
                <w:noProof/>
                <w:webHidden/>
              </w:rPr>
              <w:instrText xml:space="preserve"> PAGEREF _Toc133675147 \h </w:instrText>
            </w:r>
            <w:r>
              <w:rPr>
                <w:noProof/>
                <w:webHidden/>
              </w:rPr>
            </w:r>
            <w:r>
              <w:rPr>
                <w:noProof/>
                <w:webHidden/>
              </w:rPr>
              <w:fldChar w:fldCharType="separate"/>
            </w:r>
            <w:r w:rsidR="00EA6635">
              <w:rPr>
                <w:noProof/>
                <w:webHidden/>
              </w:rPr>
              <w:t>22</w:t>
            </w:r>
            <w:r>
              <w:rPr>
                <w:noProof/>
                <w:webHidden/>
              </w:rPr>
              <w:fldChar w:fldCharType="end"/>
            </w:r>
          </w:hyperlink>
        </w:p>
        <w:p w14:paraId="5F597B48" w14:textId="24AE66DB" w:rsidR="00E708AE" w:rsidRDefault="00E708AE">
          <w:pPr>
            <w:pStyle w:val="TOC2"/>
            <w:tabs>
              <w:tab w:val="left" w:pos="660"/>
              <w:tab w:val="right" w:leader="dot" w:pos="9016"/>
            </w:tabs>
            <w:rPr>
              <w:rFonts w:asciiTheme="minorHAnsi" w:eastAsiaTheme="minorEastAsia" w:hAnsiTheme="minorHAnsi"/>
              <w:noProof/>
              <w:lang w:eastAsia="en-AU"/>
            </w:rPr>
          </w:pPr>
          <w:hyperlink w:anchor="_Toc133675148" w:history="1">
            <w:r w:rsidRPr="00220D51">
              <w:rPr>
                <w:rStyle w:val="Hyperlink"/>
                <w:noProof/>
              </w:rPr>
              <w:t>2.</w:t>
            </w:r>
            <w:r>
              <w:rPr>
                <w:rFonts w:asciiTheme="minorHAnsi" w:eastAsiaTheme="minorEastAsia" w:hAnsiTheme="minorHAnsi"/>
                <w:noProof/>
                <w:lang w:eastAsia="en-AU"/>
              </w:rPr>
              <w:tab/>
            </w:r>
            <w:r w:rsidRPr="00220D51">
              <w:rPr>
                <w:rStyle w:val="Hyperlink"/>
                <w:noProof/>
              </w:rPr>
              <w:t>Policy priorities</w:t>
            </w:r>
            <w:r>
              <w:rPr>
                <w:noProof/>
                <w:webHidden/>
              </w:rPr>
              <w:tab/>
            </w:r>
            <w:r>
              <w:rPr>
                <w:noProof/>
                <w:webHidden/>
              </w:rPr>
              <w:fldChar w:fldCharType="begin"/>
            </w:r>
            <w:r>
              <w:rPr>
                <w:noProof/>
                <w:webHidden/>
              </w:rPr>
              <w:instrText xml:space="preserve"> PAGEREF _Toc133675148 \h </w:instrText>
            </w:r>
            <w:r>
              <w:rPr>
                <w:noProof/>
                <w:webHidden/>
              </w:rPr>
            </w:r>
            <w:r>
              <w:rPr>
                <w:noProof/>
                <w:webHidden/>
              </w:rPr>
              <w:fldChar w:fldCharType="separate"/>
            </w:r>
            <w:r w:rsidR="00EA6635">
              <w:rPr>
                <w:noProof/>
                <w:webHidden/>
              </w:rPr>
              <w:t>25</w:t>
            </w:r>
            <w:r>
              <w:rPr>
                <w:noProof/>
                <w:webHidden/>
              </w:rPr>
              <w:fldChar w:fldCharType="end"/>
            </w:r>
          </w:hyperlink>
        </w:p>
        <w:p w14:paraId="06DB6475" w14:textId="69995800" w:rsidR="00E708AE" w:rsidRDefault="00E708AE">
          <w:pPr>
            <w:pStyle w:val="TOC2"/>
            <w:tabs>
              <w:tab w:val="left" w:pos="660"/>
              <w:tab w:val="right" w:leader="dot" w:pos="9016"/>
            </w:tabs>
            <w:rPr>
              <w:rFonts w:asciiTheme="minorHAnsi" w:eastAsiaTheme="minorEastAsia" w:hAnsiTheme="minorHAnsi"/>
              <w:noProof/>
              <w:lang w:eastAsia="en-AU"/>
            </w:rPr>
          </w:pPr>
          <w:hyperlink w:anchor="_Toc133675149" w:history="1">
            <w:r w:rsidRPr="00220D51">
              <w:rPr>
                <w:rStyle w:val="Hyperlink"/>
                <w:noProof/>
              </w:rPr>
              <w:t>3.</w:t>
            </w:r>
            <w:r>
              <w:rPr>
                <w:rFonts w:asciiTheme="minorHAnsi" w:eastAsiaTheme="minorEastAsia" w:hAnsiTheme="minorHAnsi"/>
                <w:noProof/>
                <w:lang w:eastAsia="en-AU"/>
              </w:rPr>
              <w:tab/>
            </w:r>
            <w:r w:rsidRPr="00220D51">
              <w:rPr>
                <w:rStyle w:val="Hyperlink"/>
                <w:noProof/>
              </w:rPr>
              <w:t>Principles</w:t>
            </w:r>
            <w:r>
              <w:rPr>
                <w:noProof/>
                <w:webHidden/>
              </w:rPr>
              <w:tab/>
            </w:r>
            <w:r>
              <w:rPr>
                <w:noProof/>
                <w:webHidden/>
              </w:rPr>
              <w:fldChar w:fldCharType="begin"/>
            </w:r>
            <w:r>
              <w:rPr>
                <w:noProof/>
                <w:webHidden/>
              </w:rPr>
              <w:instrText xml:space="preserve"> PAGEREF _Toc133675149 \h </w:instrText>
            </w:r>
            <w:r>
              <w:rPr>
                <w:noProof/>
                <w:webHidden/>
              </w:rPr>
            </w:r>
            <w:r>
              <w:rPr>
                <w:noProof/>
                <w:webHidden/>
              </w:rPr>
              <w:fldChar w:fldCharType="separate"/>
            </w:r>
            <w:r w:rsidR="00EA6635">
              <w:rPr>
                <w:noProof/>
                <w:webHidden/>
              </w:rPr>
              <w:t>27</w:t>
            </w:r>
            <w:r>
              <w:rPr>
                <w:noProof/>
                <w:webHidden/>
              </w:rPr>
              <w:fldChar w:fldCharType="end"/>
            </w:r>
          </w:hyperlink>
        </w:p>
        <w:p w14:paraId="29A9942D" w14:textId="23627D9E" w:rsidR="00E708AE" w:rsidRDefault="00E708AE">
          <w:pPr>
            <w:pStyle w:val="TOC2"/>
            <w:tabs>
              <w:tab w:val="left" w:pos="660"/>
              <w:tab w:val="right" w:leader="dot" w:pos="9016"/>
            </w:tabs>
            <w:rPr>
              <w:rFonts w:asciiTheme="minorHAnsi" w:eastAsiaTheme="minorEastAsia" w:hAnsiTheme="minorHAnsi"/>
              <w:noProof/>
              <w:lang w:eastAsia="en-AU"/>
            </w:rPr>
          </w:pPr>
          <w:hyperlink w:anchor="_Toc133675150" w:history="1">
            <w:r w:rsidRPr="00220D51">
              <w:rPr>
                <w:rStyle w:val="Hyperlink"/>
                <w:noProof/>
              </w:rPr>
              <w:t>4.</w:t>
            </w:r>
            <w:r>
              <w:rPr>
                <w:rFonts w:asciiTheme="minorHAnsi" w:eastAsiaTheme="minorEastAsia" w:hAnsiTheme="minorHAnsi"/>
                <w:noProof/>
                <w:lang w:eastAsia="en-AU"/>
              </w:rPr>
              <w:tab/>
            </w:r>
            <w:r w:rsidRPr="00220D51">
              <w:rPr>
                <w:rStyle w:val="Hyperlink"/>
                <w:noProof/>
              </w:rPr>
              <w:t>Evidence-based approach</w:t>
            </w:r>
            <w:r>
              <w:rPr>
                <w:noProof/>
                <w:webHidden/>
              </w:rPr>
              <w:tab/>
            </w:r>
            <w:r>
              <w:rPr>
                <w:noProof/>
                <w:webHidden/>
              </w:rPr>
              <w:fldChar w:fldCharType="begin"/>
            </w:r>
            <w:r>
              <w:rPr>
                <w:noProof/>
                <w:webHidden/>
              </w:rPr>
              <w:instrText xml:space="preserve"> PAGEREF _Toc133675150 \h </w:instrText>
            </w:r>
            <w:r>
              <w:rPr>
                <w:noProof/>
                <w:webHidden/>
              </w:rPr>
            </w:r>
            <w:r>
              <w:rPr>
                <w:noProof/>
                <w:webHidden/>
              </w:rPr>
              <w:fldChar w:fldCharType="separate"/>
            </w:r>
            <w:r w:rsidR="00EA6635">
              <w:rPr>
                <w:noProof/>
                <w:webHidden/>
              </w:rPr>
              <w:t>28</w:t>
            </w:r>
            <w:r>
              <w:rPr>
                <w:noProof/>
                <w:webHidden/>
              </w:rPr>
              <w:fldChar w:fldCharType="end"/>
            </w:r>
          </w:hyperlink>
        </w:p>
        <w:p w14:paraId="69A65A9C" w14:textId="222DC66D" w:rsidR="00E708AE" w:rsidRDefault="00E708AE">
          <w:pPr>
            <w:pStyle w:val="TOC1"/>
            <w:rPr>
              <w:rFonts w:asciiTheme="minorHAnsi" w:eastAsiaTheme="minorEastAsia" w:hAnsiTheme="minorHAnsi"/>
              <w:lang w:eastAsia="en-AU"/>
            </w:rPr>
          </w:pPr>
          <w:hyperlink w:anchor="_Toc133675151" w:history="1">
            <w:r w:rsidRPr="00220D51">
              <w:rPr>
                <w:rStyle w:val="Hyperlink"/>
              </w:rPr>
              <w:t>Appendices</w:t>
            </w:r>
            <w:r>
              <w:rPr>
                <w:webHidden/>
              </w:rPr>
              <w:tab/>
            </w:r>
            <w:r>
              <w:rPr>
                <w:webHidden/>
              </w:rPr>
              <w:fldChar w:fldCharType="begin"/>
            </w:r>
            <w:r>
              <w:rPr>
                <w:webHidden/>
              </w:rPr>
              <w:instrText xml:space="preserve"> PAGEREF _Toc133675151 \h </w:instrText>
            </w:r>
            <w:r>
              <w:rPr>
                <w:webHidden/>
              </w:rPr>
            </w:r>
            <w:r>
              <w:rPr>
                <w:webHidden/>
              </w:rPr>
              <w:fldChar w:fldCharType="separate"/>
            </w:r>
            <w:r w:rsidR="00EA6635">
              <w:rPr>
                <w:webHidden/>
              </w:rPr>
              <w:t>32</w:t>
            </w:r>
            <w:r>
              <w:rPr>
                <w:webHidden/>
              </w:rPr>
              <w:fldChar w:fldCharType="end"/>
            </w:r>
          </w:hyperlink>
        </w:p>
        <w:p w14:paraId="2DEF11D4" w14:textId="1F66A1B2" w:rsidR="00E708AE" w:rsidRDefault="00E708AE">
          <w:pPr>
            <w:pStyle w:val="TOC2"/>
            <w:tabs>
              <w:tab w:val="right" w:leader="dot" w:pos="9016"/>
            </w:tabs>
            <w:rPr>
              <w:rFonts w:asciiTheme="minorHAnsi" w:eastAsiaTheme="minorEastAsia" w:hAnsiTheme="minorHAnsi"/>
              <w:noProof/>
              <w:lang w:eastAsia="en-AU"/>
            </w:rPr>
          </w:pPr>
          <w:hyperlink w:anchor="_Toc133675152" w:history="1">
            <w:r w:rsidRPr="00220D51">
              <w:rPr>
                <w:rStyle w:val="Hyperlink"/>
                <w:noProof/>
              </w:rPr>
              <w:t>Appendix 1– Examples of gathering children and young people’s voices</w:t>
            </w:r>
            <w:r>
              <w:rPr>
                <w:noProof/>
                <w:webHidden/>
              </w:rPr>
              <w:tab/>
            </w:r>
            <w:r>
              <w:rPr>
                <w:noProof/>
                <w:webHidden/>
              </w:rPr>
              <w:fldChar w:fldCharType="begin"/>
            </w:r>
            <w:r>
              <w:rPr>
                <w:noProof/>
                <w:webHidden/>
              </w:rPr>
              <w:instrText xml:space="preserve"> PAGEREF _Toc133675152 \h </w:instrText>
            </w:r>
            <w:r>
              <w:rPr>
                <w:noProof/>
                <w:webHidden/>
              </w:rPr>
            </w:r>
            <w:r>
              <w:rPr>
                <w:noProof/>
                <w:webHidden/>
              </w:rPr>
              <w:fldChar w:fldCharType="separate"/>
            </w:r>
            <w:r w:rsidR="00EA6635">
              <w:rPr>
                <w:noProof/>
                <w:webHidden/>
              </w:rPr>
              <w:t>32</w:t>
            </w:r>
            <w:r>
              <w:rPr>
                <w:noProof/>
                <w:webHidden/>
              </w:rPr>
              <w:fldChar w:fldCharType="end"/>
            </w:r>
          </w:hyperlink>
        </w:p>
        <w:p w14:paraId="478BAEDB" w14:textId="60784D0D" w:rsidR="00E708AE" w:rsidRDefault="00E708AE">
          <w:pPr>
            <w:pStyle w:val="TOC2"/>
            <w:tabs>
              <w:tab w:val="right" w:leader="dot" w:pos="9016"/>
            </w:tabs>
            <w:rPr>
              <w:rFonts w:asciiTheme="minorHAnsi" w:eastAsiaTheme="minorEastAsia" w:hAnsiTheme="minorHAnsi"/>
              <w:noProof/>
              <w:lang w:eastAsia="en-AU"/>
            </w:rPr>
          </w:pPr>
          <w:hyperlink w:anchor="_Toc133675153" w:history="1">
            <w:r w:rsidRPr="00220D51">
              <w:rPr>
                <w:rStyle w:val="Hyperlink"/>
                <w:noProof/>
              </w:rPr>
              <w:t>Appendix 2 - CYDA’s work on early childhood</w:t>
            </w:r>
            <w:r>
              <w:rPr>
                <w:noProof/>
                <w:webHidden/>
              </w:rPr>
              <w:tab/>
            </w:r>
            <w:r>
              <w:rPr>
                <w:noProof/>
                <w:webHidden/>
              </w:rPr>
              <w:fldChar w:fldCharType="begin"/>
            </w:r>
            <w:r>
              <w:rPr>
                <w:noProof/>
                <w:webHidden/>
              </w:rPr>
              <w:instrText xml:space="preserve"> PAGEREF _Toc133675153 \h </w:instrText>
            </w:r>
            <w:r>
              <w:rPr>
                <w:noProof/>
                <w:webHidden/>
              </w:rPr>
            </w:r>
            <w:r>
              <w:rPr>
                <w:noProof/>
                <w:webHidden/>
              </w:rPr>
              <w:fldChar w:fldCharType="separate"/>
            </w:r>
            <w:r w:rsidR="00EA6635">
              <w:rPr>
                <w:noProof/>
                <w:webHidden/>
              </w:rPr>
              <w:t>34</w:t>
            </w:r>
            <w:r>
              <w:rPr>
                <w:noProof/>
                <w:webHidden/>
              </w:rPr>
              <w:fldChar w:fldCharType="end"/>
            </w:r>
          </w:hyperlink>
        </w:p>
        <w:p w14:paraId="28941E42" w14:textId="54BFF447" w:rsidR="00905C00" w:rsidRPr="00E915CD" w:rsidRDefault="00905C00" w:rsidP="00905C00">
          <w:pPr>
            <w:pStyle w:val="TOC1"/>
            <w:rPr>
              <w:b/>
              <w:bCs/>
            </w:rPr>
          </w:pPr>
          <w:r>
            <w:rPr>
              <w:b/>
              <w:bCs/>
            </w:rPr>
            <w:fldChar w:fldCharType="end"/>
          </w:r>
        </w:p>
      </w:sdtContent>
    </w:sdt>
    <w:p w14:paraId="55599521" w14:textId="77777777" w:rsidR="00905C00" w:rsidRDefault="00905C00" w:rsidP="00905C00"/>
    <w:p w14:paraId="68BAF3F1" w14:textId="77777777" w:rsidR="00905C00" w:rsidRDefault="00905C00" w:rsidP="00905C00">
      <w:pPr>
        <w:spacing w:before="0" w:line="259" w:lineRule="auto"/>
      </w:pPr>
      <w:r>
        <w:br w:type="page"/>
      </w:r>
    </w:p>
    <w:p w14:paraId="672D6666" w14:textId="179BE7E1" w:rsidR="00905C00" w:rsidRDefault="00484F92" w:rsidP="00905C00">
      <w:pPr>
        <w:pStyle w:val="Heading1"/>
      </w:pPr>
      <w:bookmarkStart w:id="0" w:name="_Toc133675137"/>
      <w:r>
        <w:lastRenderedPageBreak/>
        <w:t xml:space="preserve">Executive </w:t>
      </w:r>
      <w:r w:rsidR="006F7E7D">
        <w:t xml:space="preserve">Summary </w:t>
      </w:r>
      <w:r w:rsidR="00DD397F">
        <w:t>and</w:t>
      </w:r>
      <w:r w:rsidR="006F7E7D">
        <w:t xml:space="preserve"> </w:t>
      </w:r>
      <w:r w:rsidR="00905C00">
        <w:t>recommendations</w:t>
      </w:r>
      <w:bookmarkEnd w:id="0"/>
      <w:r w:rsidR="00905C00">
        <w:t xml:space="preserve"> </w:t>
      </w:r>
    </w:p>
    <w:p w14:paraId="4A3BAB5A" w14:textId="7C949773" w:rsidR="006D6078" w:rsidRDefault="006D6078" w:rsidP="00BB7C09">
      <w:pPr>
        <w:spacing w:line="240" w:lineRule="auto"/>
      </w:pPr>
      <w:r>
        <w:t xml:space="preserve">As a representative organisation for children and young people with disability across Australia, CYDA </w:t>
      </w:r>
      <w:r w:rsidR="007D2E86">
        <w:t xml:space="preserve">supports the </w:t>
      </w:r>
      <w:r w:rsidR="00E1004E">
        <w:t xml:space="preserve">Early Years Strategy </w:t>
      </w:r>
      <w:r w:rsidR="00E7380D">
        <w:t xml:space="preserve">(The Strategy) </w:t>
      </w:r>
      <w:r w:rsidR="00E1004E">
        <w:t>as a</w:t>
      </w:r>
      <w:r>
        <w:t xml:space="preserve"> critical component of delivering </w:t>
      </w:r>
      <w:r w:rsidR="00E1004E">
        <w:t xml:space="preserve">an enduring </w:t>
      </w:r>
      <w:r>
        <w:t xml:space="preserve">vision </w:t>
      </w:r>
      <w:r w:rsidR="00B67B36">
        <w:t>o</w:t>
      </w:r>
      <w:r w:rsidR="008C3F01">
        <w:t>f</w:t>
      </w:r>
      <w:r w:rsidR="00B67B36">
        <w:t xml:space="preserve"> what </w:t>
      </w:r>
      <w:r w:rsidR="00DD4140">
        <w:t xml:space="preserve">Australia </w:t>
      </w:r>
      <w:r w:rsidR="00756B8A" w:rsidRPr="00DA0BDE">
        <w:t>wants to achieve for children and families in the early years</w:t>
      </w:r>
      <w:r w:rsidR="00386F6D">
        <w:t xml:space="preserve">.  The envisioned Strategy </w:t>
      </w:r>
      <w:r w:rsidR="0094384E">
        <w:t>also supports</w:t>
      </w:r>
      <w:r w:rsidR="00756B8A">
        <w:t xml:space="preserve"> </w:t>
      </w:r>
      <w:r>
        <w:t xml:space="preserve">fulfilling our own purpose to ensure governments, communities and families are empowering children and young people with disability to fully exercise their rights and aspirations. </w:t>
      </w:r>
    </w:p>
    <w:p w14:paraId="1CB1993B" w14:textId="3C9B2CA7" w:rsidR="00905C00" w:rsidRDefault="006D6078" w:rsidP="006D6078">
      <w:r>
        <w:t>In the context of evidence demonstrating the additional ways that children and young people with disability are oppressed and marginalised due to their age and legal status, and drawing on data gathered from young people with disability, CYDA recommends the following</w:t>
      </w:r>
      <w:r w:rsidR="00F824FF">
        <w:t>:</w:t>
      </w:r>
    </w:p>
    <w:p w14:paraId="501CED82" w14:textId="0E4D3E94" w:rsidR="00BB7C09" w:rsidRPr="00AA2DB4" w:rsidRDefault="00AA2DB4" w:rsidP="006D6078">
      <w:pPr>
        <w:rPr>
          <w:b/>
          <w:bCs/>
        </w:rPr>
      </w:pPr>
      <w:r w:rsidRPr="00AA2DB4">
        <w:rPr>
          <w:b/>
          <w:bCs/>
        </w:rPr>
        <w:t xml:space="preserve">Recommendations: </w:t>
      </w:r>
      <w:r w:rsidR="00C14217">
        <w:rPr>
          <w:b/>
          <w:bCs/>
        </w:rPr>
        <w:t>G</w:t>
      </w:r>
      <w:r w:rsidR="00092C5A">
        <w:rPr>
          <w:b/>
          <w:bCs/>
        </w:rPr>
        <w:t xml:space="preserve">eneral </w:t>
      </w:r>
    </w:p>
    <w:p w14:paraId="5E67C2CA" w14:textId="25E984AE" w:rsidR="00031A96" w:rsidRDefault="000E05D0" w:rsidP="003A25F1">
      <w:pPr>
        <w:shd w:val="clear" w:color="auto" w:fill="C5E0B3" w:themeFill="accent6" w:themeFillTint="66"/>
        <w:jc w:val="both"/>
        <w:rPr>
          <w:rFonts w:ascii="Helvetica" w:hAnsi="Helvetica" w:cs="Helvetica"/>
          <w:b/>
          <w:bCs/>
          <w:color w:val="000000" w:themeColor="text1"/>
        </w:rPr>
      </w:pPr>
      <w:r w:rsidRPr="003A25F1">
        <w:rPr>
          <w:rFonts w:ascii="Helvetica" w:hAnsi="Helvetica" w:cs="Helvetica"/>
          <w:b/>
          <w:bCs/>
          <w:color w:val="000000" w:themeColor="text1"/>
        </w:rPr>
        <w:t>Recommendation 1</w:t>
      </w:r>
      <w:r w:rsidR="0097480E" w:rsidRPr="003A25F1">
        <w:rPr>
          <w:rFonts w:ascii="Helvetica" w:hAnsi="Helvetica" w:cs="Helvetica"/>
          <w:b/>
          <w:bCs/>
          <w:color w:val="000000" w:themeColor="text1"/>
        </w:rPr>
        <w:t>:</w:t>
      </w:r>
      <w:r w:rsidR="001B69D0" w:rsidRPr="003A25F1">
        <w:rPr>
          <w:rFonts w:ascii="Helvetica" w:hAnsi="Helvetica" w:cs="Helvetica"/>
          <w:b/>
          <w:bCs/>
          <w:color w:val="000000" w:themeColor="text1"/>
        </w:rPr>
        <w:t xml:space="preserve"> </w:t>
      </w:r>
      <w:r w:rsidR="00D543B9" w:rsidRPr="003A25F1">
        <w:rPr>
          <w:rFonts w:ascii="Helvetica" w:hAnsi="Helvetica" w:cs="Helvetica"/>
          <w:b/>
          <w:bCs/>
          <w:color w:val="000000" w:themeColor="text1"/>
        </w:rPr>
        <w:t>Foreground the Strategy with anti-ableism framing</w:t>
      </w:r>
    </w:p>
    <w:p w14:paraId="11906062" w14:textId="77777777" w:rsidR="0028799C" w:rsidRDefault="0028799C" w:rsidP="0028799C">
      <w:pPr>
        <w:shd w:val="clear" w:color="auto" w:fill="C5E0B3" w:themeFill="accent6" w:themeFillTint="66"/>
        <w:jc w:val="both"/>
      </w:pPr>
      <w:r>
        <w:t>Before introducing The Strategy, we recommend that the Australian Government should:</w:t>
      </w:r>
    </w:p>
    <w:p w14:paraId="6ACE44CC" w14:textId="6CFF500B" w:rsidR="0028799C" w:rsidRDefault="0028799C" w:rsidP="009B7399">
      <w:pPr>
        <w:shd w:val="clear" w:color="auto" w:fill="C5E0B3" w:themeFill="accent6" w:themeFillTint="66"/>
        <w:ind w:left="720" w:hanging="720"/>
        <w:jc w:val="both"/>
      </w:pPr>
      <w:r>
        <w:t>•</w:t>
      </w:r>
      <w:r>
        <w:tab/>
        <w:t>Undertake a co-designed, multi-stakeholder process to define a series of anti-ableist principles for use across the Strategy</w:t>
      </w:r>
      <w:r w:rsidR="00D3065E">
        <w:t>.</w:t>
      </w:r>
    </w:p>
    <w:p w14:paraId="62145099" w14:textId="063244F8" w:rsidR="0028799C" w:rsidRPr="003A25F1" w:rsidRDefault="0028799C" w:rsidP="009B7399">
      <w:pPr>
        <w:shd w:val="clear" w:color="auto" w:fill="C5E0B3" w:themeFill="accent6" w:themeFillTint="66"/>
        <w:ind w:left="720" w:hanging="720"/>
        <w:jc w:val="both"/>
      </w:pPr>
      <w:r>
        <w:t>•</w:t>
      </w:r>
      <w:r>
        <w:tab/>
        <w:t>uses an external organisation (or coalition of organisations) to undertake a review of each principle to ensure their adherence to anti-ableist principles.</w:t>
      </w:r>
    </w:p>
    <w:p w14:paraId="130CFC5E" w14:textId="06AEDCE6" w:rsidR="00784EC9" w:rsidRPr="003A25F1" w:rsidRDefault="00784EC9" w:rsidP="00BE5B53">
      <w:pPr>
        <w:shd w:val="clear" w:color="auto" w:fill="C5E0B3" w:themeFill="accent6" w:themeFillTint="66"/>
        <w:jc w:val="both"/>
        <w:rPr>
          <w:b/>
          <w:bCs/>
        </w:rPr>
      </w:pPr>
      <w:r w:rsidRPr="003A25F1">
        <w:rPr>
          <w:b/>
          <w:bCs/>
        </w:rPr>
        <w:t>Recommendation 2:</w:t>
      </w:r>
      <w:r w:rsidR="0097480E" w:rsidRPr="003A25F1">
        <w:rPr>
          <w:b/>
          <w:bCs/>
        </w:rPr>
        <w:t xml:space="preserve"> </w:t>
      </w:r>
      <w:r w:rsidR="0028799C" w:rsidRPr="0028799C">
        <w:rPr>
          <w:rFonts w:ascii="Helvetica" w:hAnsi="Helvetica" w:cs="Helvetica"/>
          <w:b/>
          <w:bCs/>
          <w:color w:val="000000" w:themeColor="text1"/>
        </w:rPr>
        <w:t>Reform through co-design</w:t>
      </w:r>
      <w:r w:rsidRPr="003A25F1">
        <w:rPr>
          <w:b/>
          <w:bCs/>
        </w:rPr>
        <w:t>.</w:t>
      </w:r>
    </w:p>
    <w:p w14:paraId="10C5B6EA" w14:textId="3FE6E2A2" w:rsidR="004A103B" w:rsidRDefault="0028799C" w:rsidP="004A103B">
      <w:pPr>
        <w:shd w:val="clear" w:color="auto" w:fill="C5E0B3" w:themeFill="accent6" w:themeFillTint="66"/>
        <w:ind w:left="720" w:hanging="720"/>
        <w:jc w:val="both"/>
      </w:pPr>
      <w:r w:rsidRPr="0028799C">
        <w:t>•</w:t>
      </w:r>
      <w:r w:rsidRPr="0028799C">
        <w:tab/>
      </w:r>
      <w:r w:rsidR="00FA6007">
        <w:t>U</w:t>
      </w:r>
      <w:r w:rsidR="004A103B">
        <w:t>s</w:t>
      </w:r>
      <w:r w:rsidR="00FA6007">
        <w:t>e</w:t>
      </w:r>
      <w:r w:rsidR="004A103B">
        <w:t xml:space="preserve"> genuine co-design approaches to develop and test all elements of The Strategy’s design, including allowing input from young people with disability into the indicators and measurement tools, to highlight and prevent problematic framing and approaches.</w:t>
      </w:r>
    </w:p>
    <w:p w14:paraId="6C4BF165" w14:textId="0C06DB38" w:rsidR="009B7399" w:rsidRDefault="004A103B" w:rsidP="004A103B">
      <w:pPr>
        <w:shd w:val="clear" w:color="auto" w:fill="C5E0B3" w:themeFill="accent6" w:themeFillTint="66"/>
        <w:ind w:left="720" w:hanging="720"/>
        <w:jc w:val="both"/>
      </w:pPr>
      <w:r>
        <w:t>•</w:t>
      </w:r>
      <w:r>
        <w:tab/>
        <w:t>Establish a co-design working group to ensure the remainder of The Strategy implementation is carried out in partnership with young people with disability</w:t>
      </w:r>
    </w:p>
    <w:p w14:paraId="3FD67045" w14:textId="185988DF" w:rsidR="00735814" w:rsidRPr="003A25F1" w:rsidRDefault="00784EC9" w:rsidP="00D650D7">
      <w:pPr>
        <w:shd w:val="clear" w:color="auto" w:fill="C5E0B3" w:themeFill="accent6" w:themeFillTint="66"/>
        <w:ind w:left="2160" w:hanging="2160"/>
        <w:jc w:val="both"/>
      </w:pPr>
      <w:r w:rsidRPr="003A25F1">
        <w:rPr>
          <w:b/>
          <w:bCs/>
        </w:rPr>
        <w:t>Recommendation 3:</w:t>
      </w:r>
      <w:r w:rsidR="00735814" w:rsidRPr="003A25F1">
        <w:rPr>
          <w:b/>
          <w:bCs/>
        </w:rPr>
        <w:t xml:space="preserve"> </w:t>
      </w:r>
      <w:r w:rsidR="009B7399" w:rsidRPr="009B7399">
        <w:rPr>
          <w:b/>
          <w:bCs/>
        </w:rPr>
        <w:t xml:space="preserve">Prioritising </w:t>
      </w:r>
      <w:r w:rsidR="00D650D7">
        <w:rPr>
          <w:b/>
          <w:bCs/>
        </w:rPr>
        <w:t xml:space="preserve">the needs of </w:t>
      </w:r>
      <w:r w:rsidR="00C4503E">
        <w:rPr>
          <w:b/>
          <w:bCs/>
        </w:rPr>
        <w:t>diverse</w:t>
      </w:r>
      <w:r w:rsidR="009B7399" w:rsidRPr="009B7399">
        <w:rPr>
          <w:b/>
          <w:bCs/>
        </w:rPr>
        <w:t xml:space="preserve"> groups through universal design/thinking</w:t>
      </w:r>
      <w:r w:rsidR="00735814" w:rsidRPr="003A25F1">
        <w:tab/>
      </w:r>
    </w:p>
    <w:p w14:paraId="7C1E28D4" w14:textId="415CDD46" w:rsidR="00784EC9" w:rsidRPr="003A25F1" w:rsidRDefault="00981D27" w:rsidP="00981D27">
      <w:pPr>
        <w:shd w:val="clear" w:color="auto" w:fill="C5E0B3" w:themeFill="accent6" w:themeFillTint="66"/>
        <w:ind w:left="720" w:hanging="720"/>
        <w:jc w:val="both"/>
      </w:pPr>
      <w:r w:rsidRPr="00981D27">
        <w:t>•</w:t>
      </w:r>
      <w:r w:rsidRPr="00981D27">
        <w:tab/>
      </w:r>
      <w:r w:rsidR="00B4693A" w:rsidRPr="00B4693A">
        <w:t>We urge the Australian government to incorporate a universal design approach to the design, delivery, monitoring and evaluation of the strategy framework, to make The Strategy accessible for all</w:t>
      </w:r>
      <w:r w:rsidR="00FA51D7">
        <w:t xml:space="preserve">, including </w:t>
      </w:r>
      <w:r w:rsidR="00B4693A" w:rsidRPr="00B4693A">
        <w:t>children and young people with disability.</w:t>
      </w:r>
    </w:p>
    <w:p w14:paraId="553DB8F7" w14:textId="77777777" w:rsidR="00BC7EB2" w:rsidRPr="00BC7EB2" w:rsidRDefault="00BC7EB2" w:rsidP="00BE5B53">
      <w:pPr>
        <w:shd w:val="clear" w:color="auto" w:fill="C5E0B3" w:themeFill="accent6" w:themeFillTint="66"/>
        <w:jc w:val="both"/>
        <w:rPr>
          <w:b/>
          <w:bCs/>
        </w:rPr>
      </w:pPr>
    </w:p>
    <w:p w14:paraId="616D66F8" w14:textId="77777777" w:rsidR="00E92A9B" w:rsidRDefault="00E92A9B">
      <w:pPr>
        <w:spacing w:before="0" w:line="259" w:lineRule="auto"/>
        <w:rPr>
          <w:b/>
          <w:bCs/>
        </w:rPr>
      </w:pPr>
      <w:r>
        <w:rPr>
          <w:b/>
          <w:bCs/>
        </w:rPr>
        <w:br w:type="page"/>
      </w:r>
    </w:p>
    <w:p w14:paraId="47814E34" w14:textId="6A0BC026" w:rsidR="00AA2DB4" w:rsidRPr="00D543B9" w:rsidRDefault="00AA2DB4" w:rsidP="00905C00">
      <w:pPr>
        <w:spacing w:before="0" w:line="259" w:lineRule="auto"/>
        <w:rPr>
          <w:b/>
          <w:bCs/>
        </w:rPr>
      </w:pPr>
      <w:r w:rsidRPr="00D543B9">
        <w:rPr>
          <w:b/>
          <w:bCs/>
        </w:rPr>
        <w:lastRenderedPageBreak/>
        <w:t xml:space="preserve">Recommendations </w:t>
      </w:r>
      <w:r w:rsidR="004111A4" w:rsidRPr="00D543B9">
        <w:rPr>
          <w:b/>
          <w:bCs/>
        </w:rPr>
        <w:t xml:space="preserve">specific to the discussion </w:t>
      </w:r>
      <w:r w:rsidR="00E43821">
        <w:rPr>
          <w:b/>
          <w:bCs/>
        </w:rPr>
        <w:t xml:space="preserve">paper </w:t>
      </w:r>
      <w:r w:rsidR="004111A4" w:rsidRPr="00D543B9">
        <w:rPr>
          <w:b/>
          <w:bCs/>
        </w:rPr>
        <w:t>topics</w:t>
      </w:r>
      <w:r w:rsidRPr="00D543B9">
        <w:rPr>
          <w:b/>
          <w:bCs/>
        </w:rPr>
        <w:t xml:space="preserve"> </w:t>
      </w:r>
    </w:p>
    <w:p w14:paraId="293F487A" w14:textId="3F714485" w:rsidR="00D63630" w:rsidRPr="00D63630" w:rsidRDefault="00D63630" w:rsidP="00D63630">
      <w:pPr>
        <w:shd w:val="clear" w:color="auto" w:fill="C5E0B3" w:themeFill="accent6" w:themeFillTint="66"/>
        <w:jc w:val="both"/>
        <w:rPr>
          <w:rFonts w:ascii="Helvetica" w:hAnsi="Helvetica" w:cs="Helvetica"/>
          <w:b/>
          <w:bCs/>
          <w:color w:val="000000" w:themeColor="text1"/>
        </w:rPr>
      </w:pPr>
      <w:r w:rsidRPr="00D63630">
        <w:rPr>
          <w:rFonts w:ascii="Helvetica" w:hAnsi="Helvetica" w:cs="Helvetica"/>
          <w:b/>
          <w:bCs/>
          <w:color w:val="000000" w:themeColor="text1"/>
        </w:rPr>
        <w:t xml:space="preserve">Recommendation </w:t>
      </w:r>
      <w:r w:rsidR="00EC4891">
        <w:rPr>
          <w:rFonts w:ascii="Helvetica" w:hAnsi="Helvetica" w:cs="Helvetica"/>
          <w:b/>
          <w:bCs/>
          <w:color w:val="000000" w:themeColor="text1"/>
        </w:rPr>
        <w:t>4</w:t>
      </w:r>
      <w:r w:rsidRPr="00D63630">
        <w:rPr>
          <w:rFonts w:ascii="Helvetica" w:hAnsi="Helvetica" w:cs="Helvetica"/>
          <w:b/>
          <w:bCs/>
          <w:color w:val="000000" w:themeColor="text1"/>
        </w:rPr>
        <w:t>: Realise an aspirational vision of early childhood for children with disability</w:t>
      </w:r>
    </w:p>
    <w:p w14:paraId="70C8D9BC" w14:textId="5E65F368" w:rsidR="00AA2DB4" w:rsidRDefault="00D63630" w:rsidP="00D63630">
      <w:pPr>
        <w:shd w:val="clear" w:color="auto" w:fill="C5E0B3" w:themeFill="accent6" w:themeFillTint="66"/>
        <w:ind w:left="720" w:hanging="720"/>
        <w:jc w:val="both"/>
        <w:rPr>
          <w:rFonts w:ascii="Helvetica" w:hAnsi="Helvetica" w:cs="Helvetica"/>
          <w:color w:val="000000" w:themeColor="text1"/>
        </w:rPr>
      </w:pPr>
      <w:r w:rsidRPr="00D63630">
        <w:rPr>
          <w:rFonts w:ascii="Helvetica" w:hAnsi="Helvetica" w:cs="Helvetica"/>
          <w:b/>
          <w:bCs/>
          <w:color w:val="000000" w:themeColor="text1"/>
        </w:rPr>
        <w:t>•</w:t>
      </w:r>
      <w:r w:rsidRPr="00D63630">
        <w:rPr>
          <w:rFonts w:ascii="Helvetica" w:hAnsi="Helvetica" w:cs="Helvetica"/>
          <w:b/>
          <w:bCs/>
          <w:color w:val="000000" w:themeColor="text1"/>
        </w:rPr>
        <w:tab/>
      </w:r>
      <w:r w:rsidRPr="00D63630">
        <w:rPr>
          <w:rFonts w:ascii="Helvetica" w:hAnsi="Helvetica" w:cs="Helvetica"/>
          <w:color w:val="000000" w:themeColor="text1"/>
        </w:rPr>
        <w:t xml:space="preserve">Incorporate the </w:t>
      </w:r>
      <w:r w:rsidR="00BE1B6A">
        <w:rPr>
          <w:rFonts w:ascii="Helvetica" w:hAnsi="Helvetica" w:cs="Helvetica"/>
          <w:color w:val="000000" w:themeColor="text1"/>
        </w:rPr>
        <w:t>five</w:t>
      </w:r>
      <w:r w:rsidRPr="00D63630">
        <w:rPr>
          <w:rFonts w:ascii="Helvetica" w:hAnsi="Helvetica" w:cs="Helvetica"/>
          <w:color w:val="000000" w:themeColor="text1"/>
        </w:rPr>
        <w:t xml:space="preserve"> key elements of CYDA’s vision of early childhood for children with disability; Activate child voice, support the workforce, calibrate funding, enhance and support adjustments, collaborate. (See Table 1)</w:t>
      </w:r>
    </w:p>
    <w:p w14:paraId="6D58D166" w14:textId="0B24E2B2" w:rsidR="00E92A9B" w:rsidRDefault="00DD462D" w:rsidP="0014521A">
      <w:pPr>
        <w:shd w:val="clear" w:color="auto" w:fill="C5E0B3" w:themeFill="accent6" w:themeFillTint="66"/>
        <w:jc w:val="both"/>
        <w:rPr>
          <w:rFonts w:eastAsia="Calibri" w:cs="Arial"/>
          <w:lang w:val="en-US"/>
        </w:rPr>
      </w:pPr>
      <w:r w:rsidRPr="003B00CF">
        <w:rPr>
          <w:rFonts w:ascii="Helvetica" w:hAnsi="Helvetica" w:cs="Helvetica"/>
          <w:b/>
          <w:bCs/>
          <w:color w:val="000000" w:themeColor="text1"/>
        </w:rPr>
        <w:t>Recommendation</w:t>
      </w:r>
      <w:r w:rsidR="003B00CF" w:rsidRPr="003B00CF">
        <w:rPr>
          <w:rFonts w:ascii="Helvetica" w:hAnsi="Helvetica" w:cs="Helvetica"/>
          <w:b/>
          <w:bCs/>
          <w:color w:val="000000" w:themeColor="text1"/>
        </w:rPr>
        <w:t xml:space="preserve"> </w:t>
      </w:r>
      <w:r w:rsidR="00EC4891">
        <w:rPr>
          <w:rFonts w:ascii="Helvetica" w:hAnsi="Helvetica" w:cs="Helvetica"/>
          <w:b/>
          <w:bCs/>
          <w:color w:val="000000" w:themeColor="text1"/>
        </w:rPr>
        <w:t>5</w:t>
      </w:r>
      <w:r w:rsidRPr="003B00CF">
        <w:rPr>
          <w:rFonts w:ascii="Helvetica" w:hAnsi="Helvetica" w:cs="Helvetica"/>
          <w:b/>
          <w:bCs/>
          <w:color w:val="000000" w:themeColor="text1"/>
        </w:rPr>
        <w:t>: Prioritise polices that give children with disability the best start in life</w:t>
      </w:r>
      <w:r w:rsidR="001D6B48">
        <w:rPr>
          <w:rFonts w:ascii="Helvetica" w:hAnsi="Helvetica" w:cs="Helvetica"/>
          <w:b/>
          <w:bCs/>
          <w:color w:val="000000" w:themeColor="text1"/>
        </w:rPr>
        <w:br/>
      </w:r>
      <w:r w:rsidR="00570F80" w:rsidRPr="00755BD0">
        <w:rPr>
          <w:rFonts w:eastAsia="Calibri" w:cs="Arial"/>
          <w:lang w:val="en-US"/>
        </w:rPr>
        <w:t xml:space="preserve">CYDA urges the Australian Government to align the policy priorities of </w:t>
      </w:r>
      <w:r w:rsidR="0043450F">
        <w:rPr>
          <w:rFonts w:eastAsia="Calibri" w:cs="Arial"/>
          <w:lang w:val="en-US"/>
        </w:rPr>
        <w:t xml:space="preserve">The Strategy </w:t>
      </w:r>
      <w:r w:rsidR="00570F80" w:rsidRPr="00755BD0">
        <w:rPr>
          <w:rFonts w:eastAsia="Calibri" w:cs="Arial"/>
          <w:lang w:val="en-US"/>
        </w:rPr>
        <w:t xml:space="preserve">closely to the </w:t>
      </w:r>
      <w:hyperlink r:id="rId18" w:history="1">
        <w:r w:rsidR="00570F80" w:rsidRPr="00755BD0">
          <w:rPr>
            <w:rFonts w:eastAsia="Calibri" w:cs="Arial"/>
            <w:i/>
            <w:iCs/>
            <w:color w:val="0563C1"/>
            <w:u w:val="single"/>
            <w:lang w:val="en-US"/>
          </w:rPr>
          <w:t>Early Childhood Targeted Action Plan</w:t>
        </w:r>
      </w:hyperlink>
      <w:r w:rsidR="00570F80" w:rsidRPr="00755BD0">
        <w:rPr>
          <w:rFonts w:eastAsia="Calibri" w:cs="Arial"/>
          <w:lang w:val="en-US"/>
        </w:rPr>
        <w:t xml:space="preserve"> as outlined in </w:t>
      </w:r>
      <w:hyperlink r:id="rId19" w:history="1">
        <w:r w:rsidR="00570F80" w:rsidRPr="00755BD0">
          <w:rPr>
            <w:rFonts w:eastAsia="Calibri" w:cs="Arial"/>
            <w:i/>
            <w:iCs/>
            <w:color w:val="0563C1"/>
            <w:u w:val="single"/>
            <w:lang w:val="en-US"/>
          </w:rPr>
          <w:t>Australia’s Disability Strategy 2021-2031</w:t>
        </w:r>
      </w:hyperlink>
      <w:r w:rsidR="00570F80" w:rsidRPr="00755BD0">
        <w:rPr>
          <w:rFonts w:eastAsia="Calibri" w:cs="Arial"/>
          <w:i/>
          <w:iCs/>
          <w:color w:val="0563C1"/>
          <w:u w:val="single"/>
          <w:lang w:val="en-US"/>
        </w:rPr>
        <w:t>.</w:t>
      </w:r>
      <w:r w:rsidR="00570F80" w:rsidRPr="00755BD0">
        <w:rPr>
          <w:rFonts w:eastAsia="Calibri" w:cs="Arial"/>
          <w:color w:val="0563C1"/>
          <w:lang w:val="en-US"/>
        </w:rPr>
        <w:t xml:space="preserve"> </w:t>
      </w:r>
    </w:p>
    <w:p w14:paraId="2E96D871" w14:textId="1123CAA2" w:rsidR="00154F02" w:rsidRPr="008D390D" w:rsidRDefault="00E92A9B" w:rsidP="00A96CF4">
      <w:pPr>
        <w:shd w:val="clear" w:color="auto" w:fill="C5E0B3" w:themeFill="accent6" w:themeFillTint="66"/>
        <w:jc w:val="both"/>
        <w:rPr>
          <w:rFonts w:cs="Arial"/>
        </w:rPr>
      </w:pPr>
      <w:r w:rsidRPr="00C97044">
        <w:rPr>
          <w:rFonts w:cs="Arial"/>
          <w:color w:val="000000"/>
          <w:shd w:val="clear" w:color="auto" w:fill="C5E0B3" w:themeFill="accent6" w:themeFillTint="66"/>
        </w:rPr>
        <w:t xml:space="preserve">CYDA calls on the Australian Government to give children their best start in life. Specifically, CYDA joins calls </w:t>
      </w:r>
      <w:r w:rsidRPr="00C97044">
        <w:rPr>
          <w:rFonts w:cs="Arial"/>
          <w:shd w:val="clear" w:color="auto" w:fill="C5E0B3" w:themeFill="accent6" w:themeFillTint="66"/>
        </w:rPr>
        <w:t>by</w:t>
      </w:r>
      <w:r w:rsidRPr="00C97044">
        <w:rPr>
          <w:rFonts w:cs="Arial"/>
        </w:rPr>
        <w:t xml:space="preserve"> </w:t>
      </w:r>
      <w:hyperlink r:id="rId20" w:history="1">
        <w:r w:rsidRPr="00C97044">
          <w:rPr>
            <w:rStyle w:val="Hyperlink"/>
            <w:rFonts w:cs="Arial"/>
          </w:rPr>
          <w:t>The Parenthood</w:t>
        </w:r>
      </w:hyperlink>
      <w:r w:rsidRPr="00C97044">
        <w:rPr>
          <w:rFonts w:cs="Arial"/>
        </w:rPr>
        <w:t xml:space="preserve">, </w:t>
      </w:r>
      <w:hyperlink r:id="rId21" w:history="1">
        <w:r w:rsidRPr="00C97044">
          <w:rPr>
            <w:rStyle w:val="Hyperlink"/>
            <w:rFonts w:cs="Arial"/>
          </w:rPr>
          <w:t>Thrive by Five</w:t>
        </w:r>
      </w:hyperlink>
      <w:r w:rsidRPr="00C97044">
        <w:rPr>
          <w:rFonts w:cs="Arial"/>
        </w:rPr>
        <w:t xml:space="preserve">, </w:t>
      </w:r>
      <w:hyperlink r:id="rId22" w:history="1">
        <w:r w:rsidRPr="00C97044">
          <w:rPr>
            <w:rStyle w:val="Hyperlink"/>
            <w:rFonts w:cs="Arial"/>
          </w:rPr>
          <w:t>Every Child</w:t>
        </w:r>
      </w:hyperlink>
      <w:r w:rsidRPr="00C97044">
        <w:rPr>
          <w:rFonts w:cs="Arial"/>
        </w:rPr>
        <w:t xml:space="preserve"> and the </w:t>
      </w:r>
      <w:hyperlink r:id="rId23" w:history="1">
        <w:r w:rsidRPr="00C97044">
          <w:rPr>
            <w:rStyle w:val="Hyperlink"/>
            <w:rFonts w:cs="Arial"/>
          </w:rPr>
          <w:t>Centre for Policy Development</w:t>
        </w:r>
      </w:hyperlink>
      <w:r w:rsidRPr="00C97044">
        <w:rPr>
          <w:rFonts w:cs="Arial"/>
        </w:rPr>
        <w:t xml:space="preserve"> for the Australian Government </w:t>
      </w:r>
      <w:r>
        <w:rPr>
          <w:rFonts w:cs="Arial"/>
        </w:rPr>
        <w:t xml:space="preserve">and </w:t>
      </w:r>
      <w:r w:rsidR="00C83E00">
        <w:rPr>
          <w:rFonts w:cs="Arial"/>
        </w:rPr>
        <w:t>T</w:t>
      </w:r>
      <w:r>
        <w:rPr>
          <w:rFonts w:cs="Arial"/>
        </w:rPr>
        <w:t xml:space="preserve">he </w:t>
      </w:r>
      <w:r w:rsidR="00C83E00">
        <w:rPr>
          <w:rFonts w:cs="Arial"/>
        </w:rPr>
        <w:t>S</w:t>
      </w:r>
      <w:r>
        <w:rPr>
          <w:rFonts w:cs="Arial"/>
        </w:rPr>
        <w:t xml:space="preserve">trategy </w:t>
      </w:r>
      <w:r w:rsidRPr="00C97044">
        <w:rPr>
          <w:rFonts w:cs="Arial"/>
        </w:rPr>
        <w:t>to ensure:</w:t>
      </w:r>
      <w:r w:rsidR="00223FAF">
        <w:rPr>
          <w:rFonts w:cs="Arial"/>
        </w:rPr>
        <w:t xml:space="preserve"> </w:t>
      </w:r>
      <w:r w:rsidR="00BF4334">
        <w:rPr>
          <w:rFonts w:cs="Arial"/>
        </w:rPr>
        <w:t xml:space="preserve">a) </w:t>
      </w:r>
      <w:r w:rsidR="00154F02" w:rsidRPr="004A1060">
        <w:rPr>
          <w:rFonts w:cs="Arial"/>
        </w:rPr>
        <w:t>Universal access to education and care – affordable, high quality, inclusive</w:t>
      </w:r>
      <w:r w:rsidR="009554AE">
        <w:rPr>
          <w:rFonts w:cs="Arial"/>
        </w:rPr>
        <w:t xml:space="preserve">, </w:t>
      </w:r>
      <w:r w:rsidR="00154F02" w:rsidRPr="004A1060">
        <w:rPr>
          <w:rFonts w:cs="Arial"/>
        </w:rPr>
        <w:t>easy to access</w:t>
      </w:r>
      <w:r w:rsidR="003D3631">
        <w:rPr>
          <w:rFonts w:cs="Arial"/>
        </w:rPr>
        <w:t xml:space="preserve">, </w:t>
      </w:r>
      <w:r w:rsidR="00BD692C">
        <w:rPr>
          <w:rFonts w:cs="Arial"/>
        </w:rPr>
        <w:t xml:space="preserve">b) </w:t>
      </w:r>
      <w:r w:rsidR="003D3631">
        <w:rPr>
          <w:rFonts w:cs="Arial"/>
        </w:rPr>
        <w:t>s</w:t>
      </w:r>
      <w:r w:rsidR="00154F02" w:rsidRPr="004A1060">
        <w:rPr>
          <w:rFonts w:cs="Arial"/>
        </w:rPr>
        <w:t>implification of the currently confusing</w:t>
      </w:r>
      <w:r w:rsidR="00BF4334">
        <w:rPr>
          <w:rFonts w:cs="Arial"/>
        </w:rPr>
        <w:t xml:space="preserve">, </w:t>
      </w:r>
      <w:r w:rsidR="00154F02" w:rsidRPr="004A1060">
        <w:rPr>
          <w:rFonts w:cs="Arial"/>
        </w:rPr>
        <w:t>expensive array of services and schemes</w:t>
      </w:r>
      <w:r w:rsidR="003D3631">
        <w:rPr>
          <w:rFonts w:cs="Arial"/>
        </w:rPr>
        <w:t xml:space="preserve">, </w:t>
      </w:r>
      <w:r w:rsidR="00BD692C">
        <w:rPr>
          <w:rFonts w:cs="Arial"/>
        </w:rPr>
        <w:t xml:space="preserve">and; c) </w:t>
      </w:r>
      <w:r w:rsidR="003D3631">
        <w:rPr>
          <w:rFonts w:cs="Arial"/>
        </w:rPr>
        <w:t>d</w:t>
      </w:r>
      <w:r w:rsidR="00154F02" w:rsidRPr="004A1060">
        <w:rPr>
          <w:rFonts w:cs="Arial"/>
        </w:rPr>
        <w:t>ata are collected and shared at all levels of government to improve evidence of the range and quality of early childhood services.</w:t>
      </w:r>
    </w:p>
    <w:p w14:paraId="386A0F5B" w14:textId="77777777" w:rsidR="000817F4" w:rsidRPr="000817F4" w:rsidRDefault="000817F4" w:rsidP="000817F4">
      <w:pPr>
        <w:shd w:val="clear" w:color="auto" w:fill="C5E0B3" w:themeFill="accent6" w:themeFillTint="66"/>
        <w:ind w:left="720" w:hanging="720"/>
        <w:jc w:val="both"/>
        <w:rPr>
          <w:b/>
          <w:bCs/>
        </w:rPr>
      </w:pPr>
      <w:r w:rsidRPr="000817F4">
        <w:rPr>
          <w:b/>
          <w:bCs/>
        </w:rPr>
        <w:t>Recommendation 6: The Strategy should reflect human rights principles</w:t>
      </w:r>
    </w:p>
    <w:p w14:paraId="2AC8CBF7" w14:textId="7A2D08A2" w:rsidR="00D63630" w:rsidRDefault="000817F4" w:rsidP="000817F4">
      <w:pPr>
        <w:shd w:val="clear" w:color="auto" w:fill="C5E0B3" w:themeFill="accent6" w:themeFillTint="66"/>
        <w:ind w:left="720" w:hanging="720"/>
        <w:jc w:val="both"/>
      </w:pPr>
      <w:r>
        <w:t>•</w:t>
      </w:r>
      <w:r>
        <w:tab/>
        <w:t>Ensure The Strategy reflects human rights principles by including the following five principles: Child-centred, Anti</w:t>
      </w:r>
      <w:r w:rsidR="00B74ED4">
        <w:t>-</w:t>
      </w:r>
      <w:r>
        <w:t>Ableis</w:t>
      </w:r>
      <w:r w:rsidR="00686B65">
        <w:t>t</w:t>
      </w:r>
      <w:r>
        <w:t>, Co-design</w:t>
      </w:r>
      <w:r w:rsidR="00A37B6F">
        <w:t>ed</w:t>
      </w:r>
      <w:r>
        <w:t>, Universal design, Non-discrimination</w:t>
      </w:r>
    </w:p>
    <w:p w14:paraId="1D320788" w14:textId="77777777" w:rsidR="00AC0219" w:rsidRDefault="00AC0219" w:rsidP="00AC0219">
      <w:pPr>
        <w:shd w:val="clear" w:color="auto" w:fill="C5E0B3" w:themeFill="accent6" w:themeFillTint="66"/>
        <w:ind w:left="720" w:hanging="720"/>
        <w:jc w:val="both"/>
      </w:pPr>
      <w:r w:rsidRPr="00AC0219">
        <w:rPr>
          <w:b/>
          <w:bCs/>
        </w:rPr>
        <w:t>Recommendation 7</w:t>
      </w:r>
      <w:r>
        <w:t xml:space="preserve">: </w:t>
      </w:r>
      <w:r w:rsidRPr="00827077">
        <w:rPr>
          <w:b/>
          <w:bCs/>
        </w:rPr>
        <w:t>The Strategy should address data and evidence gaps</w:t>
      </w:r>
    </w:p>
    <w:p w14:paraId="3B021692" w14:textId="7497ABF4" w:rsidR="00AC0219" w:rsidRPr="00D63630" w:rsidRDefault="00AC0219" w:rsidP="001A3D5E">
      <w:pPr>
        <w:shd w:val="clear" w:color="auto" w:fill="C5E0B3" w:themeFill="accent6" w:themeFillTint="66"/>
        <w:ind w:left="720" w:hanging="720"/>
        <w:jc w:val="both"/>
      </w:pPr>
      <w:r>
        <w:t>•</w:t>
      </w:r>
      <w:r>
        <w:tab/>
        <w:t>Collect evidence directly from children with disability to inform the development of The Strategy.</w:t>
      </w:r>
      <w:r w:rsidR="001A3D5E">
        <w:t xml:space="preserve"> </w:t>
      </w:r>
      <w:r>
        <w:t>Track the pathways and outcomes of children through different systems by ensuring better data linkage and the joining of data sets</w:t>
      </w:r>
      <w:r w:rsidR="000208EC">
        <w:t>.</w:t>
      </w:r>
    </w:p>
    <w:p w14:paraId="64501B43" w14:textId="46A1E932" w:rsidR="00905C00" w:rsidRDefault="00905C00" w:rsidP="00905C00">
      <w:pPr>
        <w:spacing w:before="0" w:line="259" w:lineRule="auto"/>
      </w:pPr>
      <w:r>
        <w:br w:type="page"/>
      </w:r>
    </w:p>
    <w:p w14:paraId="7032C755" w14:textId="77777777" w:rsidR="00905C00" w:rsidRDefault="00905C00" w:rsidP="00905C00">
      <w:pPr>
        <w:pStyle w:val="Heading1"/>
      </w:pPr>
      <w:bookmarkStart w:id="1" w:name="_Toc133675138"/>
      <w:r>
        <w:lastRenderedPageBreak/>
        <w:t>Introduction</w:t>
      </w:r>
      <w:bookmarkEnd w:id="1"/>
    </w:p>
    <w:p w14:paraId="6715FA98" w14:textId="0798A115" w:rsidR="00905C00" w:rsidRPr="00DC65F5" w:rsidRDefault="00905C00" w:rsidP="00905C00">
      <w:pPr>
        <w:rPr>
          <w:rFonts w:cs="Arial"/>
          <w:color w:val="000000" w:themeColor="text1"/>
        </w:rPr>
      </w:pPr>
      <w:r w:rsidRPr="00DC65F5">
        <w:rPr>
          <w:rFonts w:cs="Arial"/>
          <w:color w:val="000000" w:themeColor="text1"/>
        </w:rPr>
        <w:t>Children and Young People with Disability Australia (CYDA) is the national representative organisation for children and young people with disability aged 0 to 25 years. CYDA has an extensive national membership of more than 5,000 young people with disability, families and caregivers of children with disability, and advocacy and community organisations.</w:t>
      </w:r>
    </w:p>
    <w:p w14:paraId="513B76A7" w14:textId="77777777" w:rsidR="00905C00" w:rsidRPr="00DC65F5" w:rsidRDefault="00905C00" w:rsidP="00905C00">
      <w:pPr>
        <w:rPr>
          <w:rFonts w:cs="Arial"/>
          <w:color w:val="000000" w:themeColor="text1"/>
        </w:rPr>
      </w:pPr>
      <w:r w:rsidRPr="00DC65F5">
        <w:rPr>
          <w:rFonts w:cs="Arial"/>
          <w:color w:val="000000" w:themeColor="text1"/>
        </w:rPr>
        <w:t>Our vision is that children and young people with disability are valued and living empowered lives with equality of opportunity; and our purpose is to ensure governments, communities, and families, are empowering children and young people with disability to fully exercise their rights and aspirations. We do this by:</w:t>
      </w:r>
    </w:p>
    <w:p w14:paraId="7143D1E9" w14:textId="77777777" w:rsidR="00905C00" w:rsidRPr="00DC65F5" w:rsidRDefault="00905C00" w:rsidP="00905C00">
      <w:pPr>
        <w:pStyle w:val="ListParagraph"/>
        <w:numPr>
          <w:ilvl w:val="0"/>
          <w:numId w:val="1"/>
        </w:numPr>
        <w:ind w:left="714" w:hanging="357"/>
        <w:contextualSpacing w:val="0"/>
        <w:rPr>
          <w:rFonts w:cs="Arial"/>
          <w:color w:val="000000" w:themeColor="text1"/>
        </w:rPr>
      </w:pPr>
      <w:r w:rsidRPr="00DC65F5">
        <w:rPr>
          <w:rFonts w:cs="Arial"/>
          <w:color w:val="000000" w:themeColor="text1"/>
        </w:rPr>
        <w:t>Driving inclusion</w:t>
      </w:r>
    </w:p>
    <w:p w14:paraId="51D8D167" w14:textId="77777777" w:rsidR="00905C00" w:rsidRPr="00DC65F5" w:rsidRDefault="00905C00" w:rsidP="00905C00">
      <w:pPr>
        <w:pStyle w:val="ListParagraph"/>
        <w:numPr>
          <w:ilvl w:val="0"/>
          <w:numId w:val="1"/>
        </w:numPr>
        <w:ind w:left="714" w:hanging="357"/>
        <w:contextualSpacing w:val="0"/>
        <w:rPr>
          <w:rFonts w:cs="Arial"/>
          <w:color w:val="000000" w:themeColor="text1"/>
        </w:rPr>
      </w:pPr>
      <w:r w:rsidRPr="00DC65F5">
        <w:rPr>
          <w:rFonts w:cs="Arial"/>
          <w:color w:val="000000" w:themeColor="text1"/>
        </w:rPr>
        <w:t>Creating equitable life pathways and opportunities</w:t>
      </w:r>
    </w:p>
    <w:p w14:paraId="05E63CB4" w14:textId="77777777" w:rsidR="00905C00" w:rsidRPr="00DC65F5" w:rsidRDefault="00905C00" w:rsidP="00905C00">
      <w:pPr>
        <w:pStyle w:val="ListParagraph"/>
        <w:numPr>
          <w:ilvl w:val="0"/>
          <w:numId w:val="1"/>
        </w:numPr>
        <w:ind w:left="714" w:hanging="357"/>
        <w:contextualSpacing w:val="0"/>
        <w:rPr>
          <w:rFonts w:cs="Arial"/>
          <w:color w:val="000000" w:themeColor="text1"/>
        </w:rPr>
      </w:pPr>
      <w:r w:rsidRPr="00DC65F5">
        <w:rPr>
          <w:rFonts w:cs="Arial"/>
          <w:color w:val="000000" w:themeColor="text1"/>
        </w:rPr>
        <w:t>Leading change in community attitudes and aspirations</w:t>
      </w:r>
    </w:p>
    <w:p w14:paraId="6CB38886" w14:textId="77777777" w:rsidR="00905C00" w:rsidRPr="00DC65F5" w:rsidRDefault="00905C00" w:rsidP="00905C00">
      <w:pPr>
        <w:pStyle w:val="ListParagraph"/>
        <w:numPr>
          <w:ilvl w:val="0"/>
          <w:numId w:val="1"/>
        </w:numPr>
        <w:ind w:left="714" w:hanging="357"/>
        <w:contextualSpacing w:val="0"/>
        <w:rPr>
          <w:rFonts w:cs="Arial"/>
          <w:color w:val="000000" w:themeColor="text1"/>
        </w:rPr>
      </w:pPr>
      <w:r w:rsidRPr="00DC65F5">
        <w:rPr>
          <w:rFonts w:cs="Arial"/>
          <w:color w:val="000000" w:themeColor="text1"/>
        </w:rPr>
        <w:t>Supporting young people to take control</w:t>
      </w:r>
    </w:p>
    <w:p w14:paraId="3E89734B" w14:textId="77777777" w:rsidR="00905C00" w:rsidRPr="00DC65F5" w:rsidRDefault="00905C00" w:rsidP="00905C00">
      <w:pPr>
        <w:pStyle w:val="ListParagraph"/>
        <w:numPr>
          <w:ilvl w:val="0"/>
          <w:numId w:val="1"/>
        </w:numPr>
        <w:ind w:left="714" w:hanging="357"/>
        <w:contextualSpacing w:val="0"/>
        <w:rPr>
          <w:rFonts w:cs="Arial"/>
          <w:color w:val="000000" w:themeColor="text1"/>
        </w:rPr>
      </w:pPr>
      <w:r w:rsidRPr="00DC65F5">
        <w:rPr>
          <w:rFonts w:cs="Arial"/>
          <w:color w:val="000000" w:themeColor="text1"/>
        </w:rPr>
        <w:t>Calling out discrimination, abuse, and neglect.</w:t>
      </w:r>
    </w:p>
    <w:p w14:paraId="3A18CC67" w14:textId="1D338EF0" w:rsidR="00905C00" w:rsidRDefault="00905C00" w:rsidP="00905C00">
      <w:pPr>
        <w:spacing w:before="0" w:line="259" w:lineRule="auto"/>
        <w:rPr>
          <w:rFonts w:cs="Arial"/>
          <w:color w:val="000000" w:themeColor="text1"/>
        </w:rPr>
      </w:pPr>
      <w:r w:rsidRPr="00DC65F5">
        <w:rPr>
          <w:rFonts w:cs="Arial"/>
          <w:color w:val="000000" w:themeColor="text1"/>
        </w:rPr>
        <w:t>CYDA welcomes the opportunity to</w:t>
      </w:r>
      <w:r>
        <w:rPr>
          <w:rFonts w:cs="Arial"/>
          <w:color w:val="000000" w:themeColor="text1"/>
        </w:rPr>
        <w:t xml:space="preserve"> </w:t>
      </w:r>
      <w:r w:rsidR="00407743">
        <w:rPr>
          <w:rFonts w:cs="Arial"/>
          <w:color w:val="000000" w:themeColor="text1"/>
        </w:rPr>
        <w:t xml:space="preserve">respond to the </w:t>
      </w:r>
      <w:r w:rsidR="003157F3">
        <w:rPr>
          <w:rFonts w:cs="Arial"/>
          <w:color w:val="000000" w:themeColor="text1"/>
        </w:rPr>
        <w:t xml:space="preserve">Department of Social Services </w:t>
      </w:r>
      <w:r w:rsidR="003157F3" w:rsidRPr="003157F3">
        <w:rPr>
          <w:rFonts w:cs="Arial"/>
          <w:color w:val="000000" w:themeColor="text1"/>
        </w:rPr>
        <w:t>Early Years Strategy Discussion Paper</w:t>
      </w:r>
      <w:r w:rsidR="00407743">
        <w:rPr>
          <w:rFonts w:cs="Arial"/>
          <w:color w:val="000000" w:themeColor="text1"/>
        </w:rPr>
        <w:t>.</w:t>
      </w:r>
    </w:p>
    <w:p w14:paraId="6466622F" w14:textId="2BA59EB2" w:rsidR="00905C00" w:rsidRDefault="00905C00" w:rsidP="00905C00">
      <w:pPr>
        <w:spacing w:before="0" w:line="259" w:lineRule="auto"/>
        <w:rPr>
          <w:rFonts w:cs="Arial"/>
          <w:color w:val="000000" w:themeColor="text1"/>
        </w:rPr>
      </w:pPr>
      <w:r>
        <w:rPr>
          <w:rFonts w:cs="Arial"/>
          <w:color w:val="000000" w:themeColor="text1"/>
        </w:rPr>
        <w:t>This submission</w:t>
      </w:r>
      <w:r w:rsidRPr="00240B1C">
        <w:rPr>
          <w:rFonts w:cs="Arial"/>
          <w:color w:val="000000" w:themeColor="text1"/>
        </w:rPr>
        <w:t xml:space="preserve"> builds on our previous </w:t>
      </w:r>
      <w:r w:rsidR="00AD75F7">
        <w:rPr>
          <w:rFonts w:cs="Arial"/>
          <w:color w:val="000000" w:themeColor="text1"/>
        </w:rPr>
        <w:t>work and evidence</w:t>
      </w:r>
      <w:r w:rsidR="007D1DF0">
        <w:rPr>
          <w:rFonts w:cs="Arial"/>
          <w:color w:val="000000" w:themeColor="text1"/>
        </w:rPr>
        <w:t xml:space="preserve"> to inform the </w:t>
      </w:r>
      <w:r w:rsidR="002A3E96">
        <w:rPr>
          <w:rFonts w:cs="Arial"/>
          <w:color w:val="000000" w:themeColor="text1"/>
        </w:rPr>
        <w:t xml:space="preserve">Early Years </w:t>
      </w:r>
      <w:r w:rsidR="005903CC">
        <w:rPr>
          <w:rFonts w:cs="Arial"/>
          <w:color w:val="000000" w:themeColor="text1"/>
        </w:rPr>
        <w:t xml:space="preserve">Strategy </w:t>
      </w:r>
      <w:r w:rsidR="007D1DF0">
        <w:rPr>
          <w:rFonts w:cs="Arial"/>
          <w:color w:val="000000" w:themeColor="text1"/>
        </w:rPr>
        <w:t xml:space="preserve">by </w:t>
      </w:r>
      <w:r w:rsidR="004825C0">
        <w:rPr>
          <w:rFonts w:cs="Arial"/>
          <w:color w:val="000000" w:themeColor="text1"/>
        </w:rPr>
        <w:t>emphasising</w:t>
      </w:r>
      <w:r w:rsidR="00873FA2" w:rsidRPr="00873FA2">
        <w:rPr>
          <w:rFonts w:cs="Arial"/>
          <w:color w:val="000000" w:themeColor="text1"/>
        </w:rPr>
        <w:t xml:space="preserve"> what children and families in Australia need in the early years</w:t>
      </w:r>
      <w:r w:rsidR="007D1DF0">
        <w:rPr>
          <w:rFonts w:cs="Arial"/>
          <w:color w:val="000000" w:themeColor="text1"/>
        </w:rPr>
        <w:t>.</w:t>
      </w:r>
      <w:r w:rsidR="006B5A19">
        <w:rPr>
          <w:rFonts w:cs="Arial"/>
          <w:color w:val="000000" w:themeColor="text1"/>
        </w:rPr>
        <w:t xml:space="preserve"> </w:t>
      </w:r>
      <w:r w:rsidR="00954BB4">
        <w:rPr>
          <w:rFonts w:cs="Arial"/>
          <w:color w:val="000000" w:themeColor="text1"/>
        </w:rPr>
        <w:t>Our</w:t>
      </w:r>
      <w:r w:rsidR="006B5A19">
        <w:rPr>
          <w:rFonts w:cs="Arial"/>
          <w:color w:val="000000" w:themeColor="text1"/>
        </w:rPr>
        <w:t xml:space="preserve"> submission</w:t>
      </w:r>
      <w:r w:rsidR="000678A9">
        <w:rPr>
          <w:rFonts w:cs="Arial"/>
          <w:color w:val="000000" w:themeColor="text1"/>
        </w:rPr>
        <w:t xml:space="preserve"> highlights </w:t>
      </w:r>
      <w:r w:rsidR="000362CD">
        <w:rPr>
          <w:rFonts w:cs="Arial"/>
          <w:color w:val="000000" w:themeColor="text1"/>
        </w:rPr>
        <w:t>CYDA’s vision for children and young people with disability</w:t>
      </w:r>
      <w:r w:rsidR="000E0332">
        <w:t xml:space="preserve"> </w:t>
      </w:r>
      <w:r w:rsidR="009E442F">
        <w:t xml:space="preserve">that they </w:t>
      </w:r>
      <w:r w:rsidR="000E0332">
        <w:t>are given a</w:t>
      </w:r>
      <w:r w:rsidR="00A70597" w:rsidRPr="00A70597">
        <w:rPr>
          <w:rFonts w:cs="Arial"/>
          <w:color w:val="000000" w:themeColor="text1"/>
        </w:rPr>
        <w:t xml:space="preserve"> lifetime of choices and opportunities</w:t>
      </w:r>
      <w:r w:rsidR="000E0332">
        <w:rPr>
          <w:rFonts w:cs="Arial"/>
          <w:color w:val="000000" w:themeColor="text1"/>
        </w:rPr>
        <w:t xml:space="preserve"> and </w:t>
      </w:r>
      <w:r w:rsidR="00DE2A88">
        <w:rPr>
          <w:rFonts w:cs="Arial"/>
          <w:color w:val="000000" w:themeColor="text1"/>
        </w:rPr>
        <w:t>that they are included</w:t>
      </w:r>
      <w:r w:rsidR="00ED36C6" w:rsidRPr="00ED36C6">
        <w:rPr>
          <w:rFonts w:cs="Arial"/>
          <w:color w:val="000000" w:themeColor="text1"/>
        </w:rPr>
        <w:t xml:space="preserve"> from the earliest age, </w:t>
      </w:r>
      <w:r w:rsidR="000E0332">
        <w:rPr>
          <w:rFonts w:cs="Arial"/>
          <w:color w:val="000000" w:themeColor="text1"/>
        </w:rPr>
        <w:t>particularly in</w:t>
      </w:r>
      <w:r w:rsidR="00ED36C6" w:rsidRPr="00ED36C6">
        <w:rPr>
          <w:rFonts w:cs="Arial"/>
          <w:color w:val="000000" w:themeColor="text1"/>
        </w:rPr>
        <w:t xml:space="preserve"> early </w:t>
      </w:r>
      <w:r w:rsidR="004825C0">
        <w:rPr>
          <w:rFonts w:cs="Arial"/>
          <w:color w:val="000000" w:themeColor="text1"/>
        </w:rPr>
        <w:t xml:space="preserve">learning, </w:t>
      </w:r>
      <w:r w:rsidR="00A2273D">
        <w:rPr>
          <w:rFonts w:cs="Arial"/>
          <w:color w:val="000000" w:themeColor="text1"/>
        </w:rPr>
        <w:t>education</w:t>
      </w:r>
      <w:r w:rsidR="0050659A">
        <w:rPr>
          <w:rFonts w:cs="Arial"/>
          <w:color w:val="000000" w:themeColor="text1"/>
        </w:rPr>
        <w:t>,</w:t>
      </w:r>
      <w:r w:rsidR="004825C0">
        <w:rPr>
          <w:rFonts w:cs="Arial"/>
          <w:color w:val="000000" w:themeColor="text1"/>
        </w:rPr>
        <w:t xml:space="preserve"> and care</w:t>
      </w:r>
      <w:r w:rsidR="000678A9">
        <w:rPr>
          <w:rFonts w:cs="Arial"/>
          <w:color w:val="000000" w:themeColor="text1"/>
        </w:rPr>
        <w:t>.</w:t>
      </w:r>
      <w:r>
        <w:rPr>
          <w:rFonts w:cs="Arial"/>
          <w:color w:val="000000" w:themeColor="text1"/>
        </w:rPr>
        <w:t xml:space="preserve"> </w:t>
      </w:r>
    </w:p>
    <w:p w14:paraId="55429148" w14:textId="26A68480" w:rsidR="00071AEE" w:rsidRDefault="00905C00" w:rsidP="0056080A">
      <w:pPr>
        <w:rPr>
          <w:rFonts w:cs="Arial"/>
          <w:color w:val="000000" w:themeColor="text1"/>
        </w:rPr>
      </w:pPr>
      <w:r>
        <w:t xml:space="preserve">This submission draws </w:t>
      </w:r>
      <w:r w:rsidR="006C6F1D">
        <w:t xml:space="preserve">from </w:t>
      </w:r>
      <w:r w:rsidR="0056080A">
        <w:t>data gathered</w:t>
      </w:r>
      <w:r w:rsidR="00071AEE">
        <w:t xml:space="preserve"> </w:t>
      </w:r>
      <w:r w:rsidR="006C6F1D">
        <w:t>by CYDA</w:t>
      </w:r>
      <w:r w:rsidR="00833541">
        <w:t>, including</w:t>
      </w:r>
      <w:r w:rsidR="00E35B5F">
        <w:t>:</w:t>
      </w:r>
    </w:p>
    <w:p w14:paraId="089800C8" w14:textId="61FAD372" w:rsidR="00066D4C" w:rsidRPr="00066D4C" w:rsidRDefault="00BA6988" w:rsidP="00225FC4">
      <w:pPr>
        <w:pStyle w:val="ListParagraph"/>
        <w:numPr>
          <w:ilvl w:val="0"/>
          <w:numId w:val="30"/>
        </w:numPr>
        <w:rPr>
          <w:rFonts w:cs="Arial"/>
          <w:color w:val="000000" w:themeColor="text1"/>
        </w:rPr>
      </w:pPr>
      <w:r>
        <w:t xml:space="preserve">CYDA’s </w:t>
      </w:r>
      <w:r w:rsidR="00066D4C">
        <w:t xml:space="preserve"> 2022 survey </w:t>
      </w:r>
      <w:r>
        <w:t>respondents (n=181)</w:t>
      </w:r>
      <w:r w:rsidR="00CD6CF2">
        <w:t xml:space="preserve"> </w:t>
      </w:r>
      <w:r w:rsidR="00066D4C">
        <w:t>about experiences of early childhood education and care.</w:t>
      </w:r>
      <w:r w:rsidR="00066D4C" w:rsidRPr="00C720BC">
        <w:t xml:space="preserve"> </w:t>
      </w:r>
      <w:r w:rsidR="00066D4C" w:rsidRPr="00CA2547">
        <w:t xml:space="preserve">The majority (97%) </w:t>
      </w:r>
      <w:r w:rsidR="00066D4C">
        <w:t xml:space="preserve">responses </w:t>
      </w:r>
      <w:r w:rsidR="00066D4C" w:rsidRPr="00CA2547">
        <w:t xml:space="preserve">were from family members or care givers of a child or young person with disability </w:t>
      </w:r>
      <w:r w:rsidR="00066D4C">
        <w:t xml:space="preserve">and </w:t>
      </w:r>
      <w:r w:rsidR="00066D4C" w:rsidRPr="00FE67D4">
        <w:t>were published in a report</w:t>
      </w:r>
      <w:r w:rsidR="00066D4C">
        <w:rPr>
          <w:rStyle w:val="FootnoteReference"/>
        </w:rPr>
        <w:footnoteReference w:id="2"/>
      </w:r>
    </w:p>
    <w:p w14:paraId="76116935" w14:textId="1C1BD09B" w:rsidR="008B2BD7" w:rsidRPr="00225FC4" w:rsidRDefault="003A603E" w:rsidP="00225FC4">
      <w:pPr>
        <w:pStyle w:val="ListParagraph"/>
        <w:numPr>
          <w:ilvl w:val="0"/>
          <w:numId w:val="30"/>
        </w:numPr>
        <w:rPr>
          <w:rFonts w:cs="Arial"/>
          <w:color w:val="000000" w:themeColor="text1"/>
        </w:rPr>
      </w:pPr>
      <w:r>
        <w:rPr>
          <w:rFonts w:cs="Arial"/>
          <w:color w:val="000000" w:themeColor="text1"/>
        </w:rPr>
        <w:t>D</w:t>
      </w:r>
      <w:r w:rsidR="006260AD" w:rsidRPr="00225FC4">
        <w:rPr>
          <w:rFonts w:cs="Arial"/>
          <w:color w:val="000000" w:themeColor="text1"/>
        </w:rPr>
        <w:t>ata gleaned from past sessions and events run by CYDA, including</w:t>
      </w:r>
      <w:r w:rsidR="003C25E0" w:rsidRPr="00225FC4">
        <w:rPr>
          <w:rFonts w:cs="Arial"/>
          <w:color w:val="000000" w:themeColor="text1"/>
        </w:rPr>
        <w:t>:</w:t>
      </w:r>
      <w:r w:rsidR="00BC005C" w:rsidRPr="00225FC4">
        <w:rPr>
          <w:rFonts w:cs="Arial"/>
          <w:color w:val="000000" w:themeColor="text1"/>
        </w:rPr>
        <w:t xml:space="preserve"> </w:t>
      </w:r>
    </w:p>
    <w:p w14:paraId="2D54F5D1" w14:textId="544C0CD0" w:rsidR="00DB64D3" w:rsidRPr="001D1DA3" w:rsidRDefault="00865C7B" w:rsidP="00225FC4">
      <w:pPr>
        <w:pStyle w:val="ListParagraph"/>
        <w:numPr>
          <w:ilvl w:val="1"/>
          <w:numId w:val="30"/>
        </w:numPr>
        <w:rPr>
          <w:rFonts w:cs="Arial"/>
          <w:color w:val="000000" w:themeColor="text1"/>
        </w:rPr>
      </w:pPr>
      <w:r w:rsidRPr="00225FC4">
        <w:rPr>
          <w:rFonts w:cs="Arial"/>
          <w:color w:val="000000" w:themeColor="text1"/>
        </w:rPr>
        <w:t>T</w:t>
      </w:r>
      <w:r w:rsidR="00BC005C" w:rsidRPr="00225FC4">
        <w:rPr>
          <w:rFonts w:cs="Arial"/>
          <w:color w:val="000000" w:themeColor="text1"/>
        </w:rPr>
        <w:t xml:space="preserve">he National Youth Disability Summit </w:t>
      </w:r>
      <w:r w:rsidR="00E132A3" w:rsidRPr="00225FC4">
        <w:rPr>
          <w:rFonts w:cs="Arial"/>
          <w:color w:val="000000" w:themeColor="text1"/>
        </w:rPr>
        <w:t>2020, two</w:t>
      </w:r>
      <w:r w:rsidR="00346A85" w:rsidRPr="00225FC4">
        <w:rPr>
          <w:rFonts w:cs="Arial"/>
          <w:color w:val="000000" w:themeColor="text1"/>
        </w:rPr>
        <w:t xml:space="preserve"> consultations</w:t>
      </w:r>
      <w:r w:rsidR="002E05F0" w:rsidRPr="00225FC4">
        <w:rPr>
          <w:rFonts w:cs="Arial"/>
          <w:color w:val="000000" w:themeColor="text1"/>
        </w:rPr>
        <w:t xml:space="preserve"> </w:t>
      </w:r>
      <w:r w:rsidR="00230C96" w:rsidRPr="00225FC4">
        <w:rPr>
          <w:rFonts w:cs="Arial"/>
          <w:color w:val="000000" w:themeColor="text1"/>
        </w:rPr>
        <w:t>which</w:t>
      </w:r>
      <w:r w:rsidR="003436A1" w:rsidRPr="00225FC4">
        <w:rPr>
          <w:rFonts w:cs="Arial"/>
          <w:color w:val="000000" w:themeColor="text1"/>
        </w:rPr>
        <w:t xml:space="preserve"> gather</w:t>
      </w:r>
      <w:r w:rsidR="00230C96" w:rsidRPr="00225FC4">
        <w:rPr>
          <w:rFonts w:cs="Arial"/>
          <w:color w:val="000000" w:themeColor="text1"/>
        </w:rPr>
        <w:t>ed</w:t>
      </w:r>
      <w:r w:rsidR="003436A1" w:rsidRPr="00225FC4">
        <w:rPr>
          <w:rFonts w:cs="Arial"/>
          <w:color w:val="000000" w:themeColor="text1"/>
        </w:rPr>
        <w:t xml:space="preserve"> feedback from young people with disability on the topic of the Australian Disability </w:t>
      </w:r>
      <w:r w:rsidR="003436A1" w:rsidRPr="001D1DA3">
        <w:rPr>
          <w:rFonts w:cs="Arial"/>
          <w:color w:val="000000" w:themeColor="text1"/>
        </w:rPr>
        <w:t>Strategy guide</w:t>
      </w:r>
      <w:r w:rsidR="00DB64D3" w:rsidRPr="001D1DA3">
        <w:rPr>
          <w:rFonts w:cs="Arial"/>
          <w:color w:val="000000" w:themeColor="text1"/>
        </w:rPr>
        <w:t>,</w:t>
      </w:r>
    </w:p>
    <w:p w14:paraId="0230C9DC" w14:textId="0DC079A3" w:rsidR="00BF3031" w:rsidRPr="001D1DA3" w:rsidRDefault="00865C7B" w:rsidP="001D1DA3">
      <w:pPr>
        <w:pStyle w:val="ListParagraph"/>
        <w:numPr>
          <w:ilvl w:val="1"/>
          <w:numId w:val="30"/>
        </w:numPr>
        <w:rPr>
          <w:rFonts w:cs="Arial"/>
          <w:color w:val="000000" w:themeColor="text1"/>
        </w:rPr>
      </w:pPr>
      <w:r w:rsidRPr="001D1DA3">
        <w:rPr>
          <w:rFonts w:cs="Arial"/>
          <w:color w:val="000000" w:themeColor="text1"/>
        </w:rPr>
        <w:t>C</w:t>
      </w:r>
      <w:r w:rsidR="000267F0" w:rsidRPr="001D1DA3">
        <w:rPr>
          <w:rFonts w:cs="Arial"/>
          <w:color w:val="000000" w:themeColor="text1"/>
        </w:rPr>
        <w:t>onsultations</w:t>
      </w:r>
      <w:r w:rsidR="006260AD" w:rsidRPr="001D1DA3">
        <w:rPr>
          <w:rFonts w:cs="Arial"/>
          <w:color w:val="000000" w:themeColor="text1"/>
        </w:rPr>
        <w:t xml:space="preserve"> run in conjunction with the Centre for Inclusive Design (2022) about establishing good practice guidelines for engaging with people with disability (used with permission). </w:t>
      </w:r>
    </w:p>
    <w:p w14:paraId="7CD24785" w14:textId="3A381486" w:rsidR="00BF3031" w:rsidRPr="001D1DA3" w:rsidRDefault="00BF3031" w:rsidP="001D1DA3">
      <w:pPr>
        <w:pStyle w:val="ListParagraph"/>
        <w:numPr>
          <w:ilvl w:val="1"/>
          <w:numId w:val="30"/>
        </w:numPr>
        <w:rPr>
          <w:rFonts w:cs="Arial"/>
          <w:color w:val="000000" w:themeColor="text1"/>
        </w:rPr>
      </w:pPr>
      <w:r w:rsidRPr="001D1DA3">
        <w:rPr>
          <w:rFonts w:cs="Arial"/>
          <w:color w:val="000000" w:themeColor="text1"/>
        </w:rPr>
        <w:t>The LivedX consultations which captured the Lived-Experience and Lived-Expertise of young people with disability on topics and issues they value and deemed important. The series brought together young people from around Australia to share their insights, experiences and ideas for a future that embraces young people with disability and enables them to thrive.</w:t>
      </w:r>
    </w:p>
    <w:p w14:paraId="12491122" w14:textId="77777777" w:rsidR="00BF3031" w:rsidRPr="00BF3031" w:rsidRDefault="00BF3031" w:rsidP="00BF3031">
      <w:pPr>
        <w:ind w:left="720"/>
        <w:rPr>
          <w:rFonts w:cs="Arial"/>
          <w:color w:val="000000" w:themeColor="text1"/>
        </w:rPr>
      </w:pPr>
      <w:r w:rsidRPr="00BF3031">
        <w:rPr>
          <w:rFonts w:cs="Arial"/>
          <w:color w:val="000000" w:themeColor="text1"/>
        </w:rPr>
        <w:t>There were seven sessions held over the course of seven months in 2021 covering:</w:t>
      </w:r>
    </w:p>
    <w:p w14:paraId="1822F9A7" w14:textId="1303ED20" w:rsidR="00BF3031" w:rsidRPr="00066D4C" w:rsidRDefault="00BF3031" w:rsidP="00066D4C">
      <w:pPr>
        <w:pStyle w:val="ListParagraph"/>
        <w:numPr>
          <w:ilvl w:val="0"/>
          <w:numId w:val="48"/>
        </w:numPr>
        <w:rPr>
          <w:rFonts w:cs="Arial"/>
          <w:color w:val="000000" w:themeColor="text1"/>
        </w:rPr>
      </w:pPr>
      <w:r w:rsidRPr="00066D4C">
        <w:rPr>
          <w:rFonts w:cs="Arial"/>
          <w:color w:val="000000" w:themeColor="text1"/>
        </w:rPr>
        <w:lastRenderedPageBreak/>
        <w:t>Inclusion</w:t>
      </w:r>
    </w:p>
    <w:p w14:paraId="10D04D45" w14:textId="32EED11D" w:rsidR="00BF3031" w:rsidRPr="00066D4C" w:rsidRDefault="00BF3031" w:rsidP="00066D4C">
      <w:pPr>
        <w:pStyle w:val="ListParagraph"/>
        <w:numPr>
          <w:ilvl w:val="0"/>
          <w:numId w:val="48"/>
        </w:numPr>
        <w:rPr>
          <w:rFonts w:cs="Arial"/>
          <w:color w:val="000000" w:themeColor="text1"/>
        </w:rPr>
      </w:pPr>
      <w:r w:rsidRPr="00066D4C">
        <w:rPr>
          <w:rFonts w:cs="Arial"/>
          <w:color w:val="000000" w:themeColor="text1"/>
        </w:rPr>
        <w:t>Decision making</w:t>
      </w:r>
    </w:p>
    <w:p w14:paraId="2230FC20" w14:textId="3AF73327" w:rsidR="00BF3031" w:rsidRPr="00066D4C" w:rsidRDefault="00BF3031" w:rsidP="00066D4C">
      <w:pPr>
        <w:pStyle w:val="ListParagraph"/>
        <w:numPr>
          <w:ilvl w:val="0"/>
          <w:numId w:val="48"/>
        </w:numPr>
        <w:rPr>
          <w:rFonts w:cs="Arial"/>
          <w:color w:val="000000" w:themeColor="text1"/>
        </w:rPr>
      </w:pPr>
      <w:r w:rsidRPr="00066D4C">
        <w:rPr>
          <w:rFonts w:cs="Arial"/>
          <w:color w:val="000000" w:themeColor="text1"/>
        </w:rPr>
        <w:t>Employment</w:t>
      </w:r>
    </w:p>
    <w:p w14:paraId="4C4529F9" w14:textId="0D307F5F" w:rsidR="00BF3031" w:rsidRPr="00066D4C" w:rsidRDefault="00BF3031" w:rsidP="00066D4C">
      <w:pPr>
        <w:pStyle w:val="ListParagraph"/>
        <w:numPr>
          <w:ilvl w:val="0"/>
          <w:numId w:val="48"/>
        </w:numPr>
        <w:rPr>
          <w:rFonts w:cs="Arial"/>
          <w:color w:val="000000" w:themeColor="text1"/>
        </w:rPr>
      </w:pPr>
      <w:r w:rsidRPr="00066D4C">
        <w:rPr>
          <w:rFonts w:cs="Arial"/>
          <w:color w:val="000000" w:themeColor="text1"/>
        </w:rPr>
        <w:t>Tertiary education: university</w:t>
      </w:r>
    </w:p>
    <w:p w14:paraId="146800D6" w14:textId="603D63B2" w:rsidR="00BF3031" w:rsidRPr="00066D4C" w:rsidRDefault="00BF3031" w:rsidP="00066D4C">
      <w:pPr>
        <w:pStyle w:val="ListParagraph"/>
        <w:numPr>
          <w:ilvl w:val="0"/>
          <w:numId w:val="48"/>
        </w:numPr>
        <w:rPr>
          <w:rFonts w:cs="Arial"/>
          <w:color w:val="000000" w:themeColor="text1"/>
        </w:rPr>
      </w:pPr>
      <w:r w:rsidRPr="00066D4C">
        <w:rPr>
          <w:rFonts w:cs="Arial"/>
          <w:color w:val="000000" w:themeColor="text1"/>
        </w:rPr>
        <w:t>Tertiary education: TAFE and Vocational Education and Training</w:t>
      </w:r>
    </w:p>
    <w:p w14:paraId="1BF47632" w14:textId="1A8357AB" w:rsidR="004617DC" w:rsidRPr="00066D4C" w:rsidRDefault="004617DC" w:rsidP="00066D4C">
      <w:pPr>
        <w:pStyle w:val="ListParagraph"/>
        <w:numPr>
          <w:ilvl w:val="0"/>
          <w:numId w:val="48"/>
        </w:numPr>
        <w:rPr>
          <w:rFonts w:cs="Arial"/>
          <w:color w:val="000000" w:themeColor="text1"/>
        </w:rPr>
      </w:pPr>
      <w:r w:rsidRPr="00066D4C">
        <w:rPr>
          <w:rFonts w:cs="Arial"/>
          <w:color w:val="000000" w:themeColor="text1"/>
        </w:rPr>
        <w:t>LGBTQIA+ people with disability: community and;</w:t>
      </w:r>
    </w:p>
    <w:p w14:paraId="5D14CEB7" w14:textId="506B829C" w:rsidR="006C053C" w:rsidRPr="00066D4C" w:rsidRDefault="006C053C" w:rsidP="00066D4C">
      <w:pPr>
        <w:pStyle w:val="ListParagraph"/>
        <w:numPr>
          <w:ilvl w:val="0"/>
          <w:numId w:val="48"/>
        </w:numPr>
        <w:rPr>
          <w:rFonts w:cs="Arial"/>
          <w:color w:val="000000" w:themeColor="text1"/>
        </w:rPr>
      </w:pPr>
      <w:r w:rsidRPr="00066D4C">
        <w:rPr>
          <w:rFonts w:cs="Arial"/>
          <w:color w:val="000000" w:themeColor="text1"/>
        </w:rPr>
        <w:t>LGBTQIA+ people with disability: health</w:t>
      </w:r>
    </w:p>
    <w:p w14:paraId="441EDFA4" w14:textId="4CF5C9D0" w:rsidR="00AD0BD0" w:rsidRPr="00DB64D3" w:rsidRDefault="006260AD" w:rsidP="002A4685">
      <w:pPr>
        <w:ind w:left="720"/>
        <w:rPr>
          <w:rFonts w:cs="Arial"/>
          <w:color w:val="000000" w:themeColor="text1"/>
        </w:rPr>
      </w:pPr>
      <w:r w:rsidRPr="00DB64D3">
        <w:rPr>
          <w:rFonts w:cs="Arial"/>
          <w:color w:val="000000" w:themeColor="text1"/>
        </w:rPr>
        <w:t xml:space="preserve">Quotes from these projects are </w:t>
      </w:r>
      <w:r w:rsidR="00996FBE">
        <w:rPr>
          <w:rFonts w:cs="Arial"/>
          <w:color w:val="000000" w:themeColor="text1"/>
        </w:rPr>
        <w:t>anonymised</w:t>
      </w:r>
      <w:r w:rsidR="007B104C">
        <w:rPr>
          <w:rFonts w:cs="Arial"/>
          <w:color w:val="000000" w:themeColor="text1"/>
        </w:rPr>
        <w:t xml:space="preserve"> and </w:t>
      </w:r>
      <w:r w:rsidRPr="00DB64D3">
        <w:rPr>
          <w:rFonts w:cs="Arial"/>
          <w:color w:val="000000" w:themeColor="text1"/>
        </w:rPr>
        <w:t xml:space="preserve">labelled as such in the text. </w:t>
      </w:r>
    </w:p>
    <w:p w14:paraId="5175ED93" w14:textId="42141191" w:rsidR="00905C00" w:rsidRDefault="0056080A" w:rsidP="00F53FFD">
      <w:pPr>
        <w:ind w:left="720"/>
      </w:pPr>
      <w:r>
        <w:rPr>
          <w:rFonts w:cs="Arial"/>
          <w:color w:val="000000" w:themeColor="text1"/>
        </w:rPr>
        <w:t>Additionally</w:t>
      </w:r>
      <w:r w:rsidR="00905C00">
        <w:t xml:space="preserve">, this submission was shaped by CYDA staff, the majority of whom have personal and/or family experience of disability. </w:t>
      </w:r>
    </w:p>
    <w:p w14:paraId="7303BE35" w14:textId="1D196866" w:rsidR="009B4268" w:rsidRPr="00122C7C" w:rsidRDefault="009B4268" w:rsidP="009B4268">
      <w:pPr>
        <w:spacing w:before="240" w:after="240" w:line="276" w:lineRule="auto"/>
        <w:jc w:val="both"/>
        <w:rPr>
          <w:rFonts w:cs="Arial"/>
          <w:b/>
          <w:bCs/>
        </w:rPr>
      </w:pPr>
      <w:r w:rsidRPr="00122C7C">
        <w:rPr>
          <w:rFonts w:cs="Arial"/>
          <w:b/>
          <w:bCs/>
        </w:rPr>
        <w:t xml:space="preserve">CYDA </w:t>
      </w:r>
      <w:r w:rsidR="007B104C">
        <w:rPr>
          <w:rFonts w:cs="Arial"/>
          <w:b/>
          <w:bCs/>
        </w:rPr>
        <w:t xml:space="preserve">also </w:t>
      </w:r>
      <w:r w:rsidRPr="00122C7C">
        <w:rPr>
          <w:rFonts w:cs="Arial"/>
          <w:b/>
          <w:bCs/>
        </w:rPr>
        <w:t>supports the following positions in conjunction with this submission</w:t>
      </w:r>
    </w:p>
    <w:p w14:paraId="28F24FFA" w14:textId="77777777" w:rsidR="00491AAC" w:rsidRDefault="00000000" w:rsidP="003A603E">
      <w:pPr>
        <w:spacing w:before="0" w:after="0" w:line="240" w:lineRule="auto"/>
        <w:ind w:left="357"/>
        <w:rPr>
          <w:rFonts w:cs="Arial"/>
        </w:rPr>
      </w:pPr>
      <w:hyperlink r:id="rId24" w:history="1">
        <w:r w:rsidR="00491AAC" w:rsidRPr="00AD7D97">
          <w:rPr>
            <w:rStyle w:val="Hyperlink"/>
            <w:rFonts w:cs="Arial"/>
          </w:rPr>
          <w:t>Position Paper</w:t>
        </w:r>
      </w:hyperlink>
      <w:r w:rsidR="00491AAC" w:rsidRPr="00AD7D97">
        <w:rPr>
          <w:rFonts w:cs="Arial"/>
        </w:rPr>
        <w:t xml:space="preserve"> on Segregation </w:t>
      </w:r>
    </w:p>
    <w:p w14:paraId="656755C5" w14:textId="77777777" w:rsidR="006E5EF0" w:rsidRPr="00AD7D97" w:rsidRDefault="006E5EF0" w:rsidP="003A603E">
      <w:pPr>
        <w:spacing w:before="0" w:after="0" w:line="240" w:lineRule="auto"/>
        <w:ind w:left="357"/>
        <w:rPr>
          <w:rFonts w:cs="Arial"/>
        </w:rPr>
      </w:pPr>
    </w:p>
    <w:p w14:paraId="72F2E277" w14:textId="77777777" w:rsidR="00491AAC" w:rsidRDefault="00491AAC" w:rsidP="003A603E">
      <w:pPr>
        <w:spacing w:before="0" w:after="0" w:line="240" w:lineRule="auto"/>
        <w:ind w:left="357"/>
        <w:jc w:val="both"/>
      </w:pPr>
      <w:r>
        <w:t xml:space="preserve">The Australian Coalition for Inclusive Education’s </w:t>
      </w:r>
      <w:hyperlink r:id="rId25" w:tgtFrame="_blank" w:history="1">
        <w:r w:rsidRPr="001C18B9">
          <w:rPr>
            <w:rStyle w:val="Hyperlink"/>
          </w:rPr>
          <w:t>‘</w:t>
        </w:r>
        <w:hyperlink r:id="rId26" w:history="1">
          <w:r w:rsidRPr="00F73789">
            <w:rPr>
              <w:rStyle w:val="Hyperlink"/>
            </w:rPr>
            <w:t>Driving change: A roadmap for achieving inclusive education in Australia</w:t>
          </w:r>
        </w:hyperlink>
        <w:r w:rsidRPr="001C18B9">
          <w:rPr>
            <w:rStyle w:val="Hyperlink"/>
          </w:rPr>
          <w:t>’ </w:t>
        </w:r>
      </w:hyperlink>
      <w:r w:rsidRPr="001C18B9">
        <w:rPr>
          <w:rStyle w:val="Hyperlink"/>
        </w:rPr>
        <w:t>(</w:t>
      </w:r>
      <w:r w:rsidRPr="00951ED2">
        <w:t xml:space="preserve">How to make education better - </w:t>
      </w:r>
      <w:hyperlink r:id="rId27" w:history="1">
        <w:r w:rsidRPr="004A2E4B">
          <w:rPr>
            <w:rStyle w:val="Hyperlink"/>
          </w:rPr>
          <w:t>Easy English version</w:t>
        </w:r>
      </w:hyperlink>
      <w:r>
        <w:t>)</w:t>
      </w:r>
    </w:p>
    <w:p w14:paraId="41AE7805" w14:textId="77777777" w:rsidR="006E5EF0" w:rsidRDefault="006E5EF0" w:rsidP="003A603E">
      <w:pPr>
        <w:spacing w:before="0" w:after="0" w:line="240" w:lineRule="auto"/>
        <w:ind w:left="357"/>
        <w:jc w:val="both"/>
      </w:pPr>
    </w:p>
    <w:p w14:paraId="6AE6D55B" w14:textId="77777777" w:rsidR="00491AAC" w:rsidRDefault="00491AAC" w:rsidP="003A603E">
      <w:pPr>
        <w:spacing w:before="0" w:after="0" w:line="240" w:lineRule="auto"/>
        <w:ind w:left="357"/>
        <w:jc w:val="both"/>
      </w:pPr>
      <w:r w:rsidRPr="00B14980">
        <w:t xml:space="preserve">Australian Research Alliance for Children and Youth (ARACY)’s </w:t>
      </w:r>
      <w:hyperlink r:id="rId28" w:history="1">
        <w:r w:rsidRPr="00B14980">
          <w:rPr>
            <w:rStyle w:val="Hyperlink"/>
          </w:rPr>
          <w:t>The Nest</w:t>
        </w:r>
      </w:hyperlink>
      <w:r w:rsidRPr="00B14980">
        <w:t xml:space="preserve"> child wellbeing framework </w:t>
      </w:r>
    </w:p>
    <w:p w14:paraId="213FABDA" w14:textId="77777777" w:rsidR="006E5EF0" w:rsidRPr="00AD7D97" w:rsidRDefault="006E5EF0" w:rsidP="003A603E">
      <w:pPr>
        <w:spacing w:before="0" w:after="0" w:line="240" w:lineRule="auto"/>
        <w:ind w:left="357"/>
        <w:jc w:val="both"/>
        <w:rPr>
          <w:rFonts w:cs="Arial"/>
        </w:rPr>
      </w:pPr>
    </w:p>
    <w:p w14:paraId="3493F414" w14:textId="77777777" w:rsidR="00491AAC" w:rsidRDefault="00491AAC" w:rsidP="003A603E">
      <w:pPr>
        <w:spacing w:before="0" w:after="0" w:line="240" w:lineRule="auto"/>
        <w:ind w:left="357"/>
        <w:jc w:val="both"/>
      </w:pPr>
      <w:r w:rsidRPr="00B14980">
        <w:t xml:space="preserve">Early Childhood Australia’s </w:t>
      </w:r>
      <w:hyperlink r:id="rId29" w:history="1">
        <w:r w:rsidRPr="00AD7D97">
          <w:rPr>
            <w:rStyle w:val="Hyperlink"/>
            <w:i/>
            <w:iCs/>
          </w:rPr>
          <w:t>Statement on the inclusion of every child in early childhood education and care</w:t>
        </w:r>
      </w:hyperlink>
      <w:r w:rsidRPr="00AD7D97">
        <w:rPr>
          <w:i/>
          <w:iCs/>
        </w:rPr>
        <w:t xml:space="preserve"> </w:t>
      </w:r>
      <w:r w:rsidRPr="00B14980">
        <w:t xml:space="preserve">and draft </w:t>
      </w:r>
      <w:hyperlink r:id="rId30" w:history="1">
        <w:r w:rsidRPr="00B14980">
          <w:rPr>
            <w:rStyle w:val="Hyperlink"/>
          </w:rPr>
          <w:t>Statement on Play</w:t>
        </w:r>
      </w:hyperlink>
      <w:r w:rsidRPr="00B14980">
        <w:t xml:space="preserve"> </w:t>
      </w:r>
    </w:p>
    <w:p w14:paraId="43D7508E" w14:textId="77777777" w:rsidR="006E5EF0" w:rsidRPr="00AD7D97" w:rsidRDefault="006E5EF0" w:rsidP="003A603E">
      <w:pPr>
        <w:spacing w:before="0" w:after="0" w:line="240" w:lineRule="auto"/>
        <w:ind w:left="357"/>
        <w:jc w:val="both"/>
        <w:rPr>
          <w:rFonts w:cs="Arial"/>
        </w:rPr>
      </w:pPr>
    </w:p>
    <w:p w14:paraId="2B076C06" w14:textId="77777777" w:rsidR="00491AAC" w:rsidRPr="00B14980" w:rsidRDefault="00491AAC" w:rsidP="003A603E">
      <w:pPr>
        <w:spacing w:before="0" w:after="0" w:line="240" w:lineRule="auto"/>
        <w:ind w:left="357"/>
        <w:jc w:val="both"/>
      </w:pPr>
      <w:r w:rsidRPr="00B14980">
        <w:t xml:space="preserve">Early Childhood Australia and Early Childhood Intervention Australia’s </w:t>
      </w:r>
      <w:hyperlink r:id="rId31" w:history="1">
        <w:r w:rsidRPr="00AD7D97">
          <w:rPr>
            <w:rStyle w:val="Hyperlink"/>
            <w:i/>
            <w:iCs/>
          </w:rPr>
          <w:t>Position statement on the inclusion of children with a disability in early childhood education and care</w:t>
        </w:r>
      </w:hyperlink>
      <w:r w:rsidRPr="00AD7D97">
        <w:rPr>
          <w:i/>
          <w:iCs/>
        </w:rPr>
        <w:t xml:space="preserve"> </w:t>
      </w:r>
    </w:p>
    <w:p w14:paraId="56C7E3F7" w14:textId="77777777" w:rsidR="00491AAC" w:rsidRDefault="00491AAC" w:rsidP="003A603E">
      <w:pPr>
        <w:spacing w:before="0" w:after="0" w:line="240" w:lineRule="auto"/>
        <w:ind w:left="357"/>
        <w:jc w:val="both"/>
        <w:rPr>
          <w:rFonts w:cs="Arial"/>
          <w:i/>
          <w:iCs/>
        </w:rPr>
      </w:pPr>
      <w:r w:rsidRPr="00AD7D97">
        <w:rPr>
          <w:rFonts w:cs="Arial"/>
        </w:rPr>
        <w:t xml:space="preserve">Thrive by Five &amp; The Minderoo Foundation’s </w:t>
      </w:r>
      <w:hyperlink r:id="rId32" w:history="1">
        <w:r w:rsidRPr="00AD7D97">
          <w:rPr>
            <w:rStyle w:val="Hyperlink"/>
            <w:rFonts w:cs="Arial"/>
            <w:i/>
            <w:iCs/>
          </w:rPr>
          <w:t>Time to Act: Investing in our children and our future</w:t>
        </w:r>
      </w:hyperlink>
      <w:r w:rsidRPr="00AD7D97">
        <w:rPr>
          <w:rFonts w:cs="Arial"/>
          <w:i/>
          <w:iCs/>
        </w:rPr>
        <w:t xml:space="preserve"> </w:t>
      </w:r>
    </w:p>
    <w:p w14:paraId="7FC2C0F3" w14:textId="77777777" w:rsidR="006E5EF0" w:rsidRPr="00FE675D" w:rsidRDefault="006E5EF0" w:rsidP="003A603E">
      <w:pPr>
        <w:spacing w:before="0" w:after="0" w:line="240" w:lineRule="auto"/>
        <w:ind w:left="357"/>
        <w:jc w:val="both"/>
      </w:pPr>
    </w:p>
    <w:p w14:paraId="4D816700" w14:textId="77777777" w:rsidR="00491AAC" w:rsidRPr="00B14980" w:rsidRDefault="00491AAC" w:rsidP="003A603E">
      <w:pPr>
        <w:spacing w:before="0" w:after="0" w:line="240" w:lineRule="auto"/>
        <w:ind w:left="357"/>
        <w:jc w:val="both"/>
      </w:pPr>
      <w:r w:rsidRPr="00B14980">
        <w:t xml:space="preserve">Play Group Australia’s National Advisory Group’s </w:t>
      </w:r>
      <w:hyperlink r:id="rId33" w:history="1">
        <w:r w:rsidRPr="00AD7D97">
          <w:rPr>
            <w:rStyle w:val="Hyperlink"/>
            <w:i/>
            <w:iCs/>
          </w:rPr>
          <w:t>Playgroup Statement 2022</w:t>
        </w:r>
      </w:hyperlink>
      <w:r w:rsidRPr="00B14980">
        <w:t xml:space="preserve"> </w:t>
      </w:r>
    </w:p>
    <w:p w14:paraId="1C94D131" w14:textId="21AE28E1" w:rsidR="00972DB0" w:rsidRDefault="00972DB0" w:rsidP="003A603E">
      <w:pPr>
        <w:spacing w:before="0" w:after="0" w:line="240" w:lineRule="auto"/>
      </w:pPr>
    </w:p>
    <w:p w14:paraId="37EC99A2" w14:textId="123EB33F" w:rsidR="00AD7D97" w:rsidRDefault="00AD7D97">
      <w:pPr>
        <w:spacing w:before="0" w:line="259" w:lineRule="auto"/>
        <w:rPr>
          <w:rFonts w:ascii="Helvetica" w:eastAsiaTheme="majorEastAsia" w:hAnsi="Helvetica" w:cstheme="majorBidi"/>
          <w:color w:val="538135" w:themeColor="accent6" w:themeShade="BF"/>
          <w:sz w:val="32"/>
          <w:szCs w:val="32"/>
        </w:rPr>
      </w:pPr>
      <w:r>
        <w:rPr>
          <w:rFonts w:ascii="Helvetica" w:eastAsiaTheme="majorEastAsia" w:hAnsi="Helvetica" w:cstheme="majorBidi"/>
          <w:color w:val="538135" w:themeColor="accent6" w:themeShade="BF"/>
          <w:sz w:val="32"/>
          <w:szCs w:val="32"/>
        </w:rPr>
        <w:br w:type="page"/>
      </w:r>
    </w:p>
    <w:p w14:paraId="0A6F3D6C" w14:textId="77777777" w:rsidR="00A96268" w:rsidRDefault="00A96268">
      <w:pPr>
        <w:spacing w:before="0" w:line="259" w:lineRule="auto"/>
        <w:rPr>
          <w:rFonts w:ascii="Helvetica" w:eastAsiaTheme="majorEastAsia" w:hAnsi="Helvetica" w:cstheme="majorBidi"/>
          <w:color w:val="538135" w:themeColor="accent6" w:themeShade="BF"/>
          <w:sz w:val="32"/>
          <w:szCs w:val="32"/>
        </w:rPr>
      </w:pPr>
    </w:p>
    <w:p w14:paraId="47483B7B" w14:textId="24021447" w:rsidR="00972DB0" w:rsidRDefault="00A05516" w:rsidP="009C2CF9">
      <w:pPr>
        <w:pStyle w:val="Heading1"/>
        <w:spacing w:after="240"/>
      </w:pPr>
      <w:bookmarkStart w:id="3" w:name="_Toc133675139"/>
      <w:r w:rsidRPr="00A05516">
        <w:t>Context and evidence for CYDA’s submission</w:t>
      </w:r>
      <w:bookmarkEnd w:id="3"/>
    </w:p>
    <w:p w14:paraId="0A018CB6" w14:textId="77777777" w:rsidR="00443141" w:rsidRDefault="00443141" w:rsidP="00443141">
      <w:pPr>
        <w:spacing w:before="0" w:line="259" w:lineRule="auto"/>
        <w:rPr>
          <w:rFonts w:cs="Arial"/>
          <w:color w:val="000000" w:themeColor="text1"/>
        </w:rPr>
      </w:pPr>
      <w:r>
        <w:rPr>
          <w:rFonts w:cs="Arial"/>
          <w:color w:val="000000" w:themeColor="text1"/>
        </w:rPr>
        <w:t>From the earliest moments of life, c</w:t>
      </w:r>
      <w:r w:rsidRPr="0087632A">
        <w:rPr>
          <w:rFonts w:cs="Arial"/>
          <w:color w:val="000000" w:themeColor="text1"/>
        </w:rPr>
        <w:t>hildren and young people with disability face intersecting discrimination</w:t>
      </w:r>
      <w:r>
        <w:rPr>
          <w:rFonts w:cs="Arial"/>
          <w:color w:val="000000" w:themeColor="text1"/>
        </w:rPr>
        <w:t xml:space="preserve"> from the </w:t>
      </w:r>
      <w:r w:rsidRPr="0087632A">
        <w:rPr>
          <w:rFonts w:cs="Arial"/>
          <w:color w:val="000000" w:themeColor="text1"/>
        </w:rPr>
        <w:t>medical and health service sector, educational systems</w:t>
      </w:r>
      <w:r>
        <w:rPr>
          <w:rFonts w:cs="Arial"/>
          <w:color w:val="000000" w:themeColor="text1"/>
        </w:rPr>
        <w:t>, government support services,</w:t>
      </w:r>
      <w:r w:rsidRPr="0087632A">
        <w:rPr>
          <w:rFonts w:cs="Arial"/>
          <w:color w:val="000000" w:themeColor="text1"/>
        </w:rPr>
        <w:t xml:space="preserve"> and the community. </w:t>
      </w:r>
      <w:r>
        <w:rPr>
          <w:rFonts w:cs="Arial"/>
          <w:color w:val="000000" w:themeColor="text1"/>
        </w:rPr>
        <w:t>A meta-analysis of 328 studies in 2014 found that the impact of these cumulative instances of perceived discrimination, including ableism, is associated with a higher level of psychological distress and decreased wellbeing, especially in children.</w:t>
      </w:r>
      <w:r>
        <w:rPr>
          <w:rStyle w:val="FootnoteReference"/>
          <w:rFonts w:cs="Arial"/>
          <w:color w:val="000000" w:themeColor="text1"/>
        </w:rPr>
        <w:footnoteReference w:id="3"/>
      </w:r>
      <w:r>
        <w:rPr>
          <w:rFonts w:cs="Arial"/>
          <w:color w:val="000000" w:themeColor="text1"/>
        </w:rPr>
        <w:t xml:space="preserve"> More recently, research has revealed increased likelihood of trauma in people with disability</w:t>
      </w:r>
      <w:r>
        <w:rPr>
          <w:rStyle w:val="FootnoteReference"/>
          <w:rFonts w:cs="Arial"/>
          <w:color w:val="000000" w:themeColor="text1"/>
        </w:rPr>
        <w:footnoteReference w:id="4"/>
      </w:r>
      <w:r>
        <w:rPr>
          <w:rFonts w:cs="Arial"/>
          <w:color w:val="000000" w:themeColor="text1"/>
        </w:rPr>
        <w:t>, something the Disability Royal Commission has also noted in its progress reports</w:t>
      </w:r>
      <w:r>
        <w:rPr>
          <w:rStyle w:val="FootnoteReference"/>
          <w:rFonts w:cs="Arial"/>
          <w:color w:val="000000" w:themeColor="text1"/>
        </w:rPr>
        <w:footnoteReference w:id="5"/>
      </w:r>
      <w:r>
        <w:rPr>
          <w:rFonts w:cs="Arial"/>
          <w:color w:val="000000" w:themeColor="text1"/>
        </w:rPr>
        <w:t xml:space="preserve">. </w:t>
      </w:r>
    </w:p>
    <w:p w14:paraId="0357E080" w14:textId="77777777" w:rsidR="000C2F19" w:rsidRDefault="000C2F19" w:rsidP="000C2F19">
      <w:r>
        <w:t xml:space="preserve">The fact that these experiences coincide with a significant and once in a lifetime phase of brain development and physical growth, make children particularly vulnerable to experiencing lifelong negative impacts from discrimination and exclusion. </w:t>
      </w:r>
    </w:p>
    <w:p w14:paraId="2EE6EB97" w14:textId="60337DBB" w:rsidR="00141A96" w:rsidRDefault="00FA22C7" w:rsidP="00141A96">
      <w:pPr>
        <w:jc w:val="both"/>
      </w:pPr>
      <w:r>
        <w:t>Australian children with disability should feel healthy, safe, connected, supported, challenged, and engaged. This is c</w:t>
      </w:r>
      <w:r w:rsidR="00141A96">
        <w:t>onsistent with the United Nations Convention on the Rights of the Child</w:t>
      </w:r>
      <w:r w:rsidR="00141A96">
        <w:rPr>
          <w:rStyle w:val="FootnoteReference"/>
        </w:rPr>
        <w:footnoteReference w:id="6"/>
      </w:r>
      <w:r w:rsidR="00141A96">
        <w:t>, and the Charter on the Rights of People with Disability (CRPD</w:t>
      </w:r>
      <w:r w:rsidR="00520380">
        <w:t>).</w:t>
      </w:r>
    </w:p>
    <w:p w14:paraId="00E9675B" w14:textId="77777777" w:rsidR="00F16F5F" w:rsidRDefault="000C2F19" w:rsidP="000C2F19">
      <w:r>
        <w:t xml:space="preserve">Systemic change is necessary to ensure children and young people are granted the same opportunities as their non-disabled peers, as they transition through critical developmental and life stages. Across many systems, we are failing to provide equitable and effective support. </w:t>
      </w:r>
    </w:p>
    <w:p w14:paraId="75CCEFF2" w14:textId="77777777" w:rsidR="00D1040E" w:rsidRDefault="00FD3FDA" w:rsidP="00CB2009">
      <w:pPr>
        <w:spacing w:line="276" w:lineRule="auto"/>
        <w:jc w:val="both"/>
      </w:pPr>
      <w:r w:rsidRPr="00FA26C6">
        <w:rPr>
          <w:b/>
          <w:bCs/>
        </w:rPr>
        <w:t>The Australian Early Development Census (AEDC)</w:t>
      </w:r>
      <w:r>
        <w:t xml:space="preserve"> covers children’s development in five domains: physical health and wellbeing, social competence, emotional maturity, language and cognitive skills (school-based), communication skills and general knowledge. </w:t>
      </w:r>
    </w:p>
    <w:p w14:paraId="1E4A351A" w14:textId="7C514BAE" w:rsidR="00FD3FDA" w:rsidRDefault="00FD3FDA" w:rsidP="00CB2009">
      <w:pPr>
        <w:spacing w:line="276" w:lineRule="auto"/>
        <w:jc w:val="both"/>
      </w:pPr>
      <w:r>
        <w:t>AEDC publicly available data at a community level includes demographic data for all children included in the census but includes scores only from children who don’t have any diagnosed “</w:t>
      </w:r>
      <w:r w:rsidR="0072620D">
        <w:t>S</w:t>
      </w:r>
      <w:r>
        <w:t xml:space="preserve">pecial </w:t>
      </w:r>
      <w:r w:rsidR="0072620D">
        <w:t>N</w:t>
      </w:r>
      <w:r>
        <w:t>eed</w:t>
      </w:r>
      <w:r w:rsidR="00D13946">
        <w:t>s</w:t>
      </w:r>
      <w:r>
        <w:t>” (disability). The Front Project noted this exclusion in its 2022 report ‘Supporting all children to thrive: The importance of equity in early childhood education.’</w:t>
      </w:r>
      <w:r>
        <w:rPr>
          <w:rStyle w:val="FootnoteReference"/>
        </w:rPr>
        <w:footnoteReference w:id="7"/>
      </w:r>
      <w:r>
        <w:t xml:space="preserve">    </w:t>
      </w:r>
    </w:p>
    <w:p w14:paraId="4684DC22" w14:textId="71D83BCC" w:rsidR="00214C99" w:rsidRDefault="008B4D0E" w:rsidP="00CB2009">
      <w:pPr>
        <w:spacing w:line="276" w:lineRule="auto"/>
        <w:jc w:val="both"/>
      </w:pPr>
      <w:r>
        <w:t xml:space="preserve">In 2022, the Australian Department of Education received a </w:t>
      </w:r>
      <w:r w:rsidRPr="008B4D0E">
        <w:t>report on the development of potential indicators of development for children with disability using the Australian Early Development Census (AEDC).</w:t>
      </w:r>
      <w:r w:rsidR="005E74CE">
        <w:rPr>
          <w:rStyle w:val="FootnoteReference"/>
        </w:rPr>
        <w:footnoteReference w:id="8"/>
      </w:r>
      <w:r w:rsidRPr="008B4D0E">
        <w:t xml:space="preserve"> </w:t>
      </w:r>
      <w:r w:rsidR="004A1F7D">
        <w:t xml:space="preserve">We have included </w:t>
      </w:r>
      <w:r w:rsidR="007C44BD">
        <w:t>i</w:t>
      </w:r>
      <w:r w:rsidR="005E74CE">
        <w:t>nitial data from this work</w:t>
      </w:r>
      <w:r w:rsidR="004A1F7D">
        <w:t xml:space="preserve">. </w:t>
      </w:r>
    </w:p>
    <w:p w14:paraId="3E9C2134" w14:textId="77777777" w:rsidR="00212190" w:rsidRDefault="00C74C50" w:rsidP="00F51F59">
      <w:pPr>
        <w:rPr>
          <w:i/>
          <w:iCs/>
        </w:rPr>
      </w:pPr>
      <w:r w:rsidRPr="002C388A">
        <w:rPr>
          <w:i/>
          <w:iCs/>
        </w:rPr>
        <w:lastRenderedPageBreak/>
        <w:t>Definitions of Additional Health and Development Needs (AHDN) within the AEDC dataset and reported prevalence</w:t>
      </w:r>
      <w:r w:rsidR="00212190">
        <w:rPr>
          <w:rStyle w:val="FootnoteReference"/>
          <w:lang w:eastAsia="en-AU"/>
        </w:rPr>
        <w:footnoteReference w:id="9"/>
      </w:r>
    </w:p>
    <w:p w14:paraId="10E522EC" w14:textId="77777777" w:rsidR="00C61A27" w:rsidRPr="00C61A27" w:rsidRDefault="00C61A27" w:rsidP="00F51F59">
      <w:pPr>
        <w:rPr>
          <w:lang w:eastAsia="en-AU"/>
        </w:rPr>
      </w:pPr>
    </w:p>
    <w:tbl>
      <w:tblPr>
        <w:tblW w:w="921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2126"/>
        <w:gridCol w:w="2268"/>
      </w:tblGrid>
      <w:tr w:rsidR="00C74C50" w:rsidRPr="002F5992" w14:paraId="605DD7EC" w14:textId="77777777" w:rsidTr="00F650A0">
        <w:trPr>
          <w:trHeight w:val="200"/>
          <w:tblHeader/>
        </w:trPr>
        <w:tc>
          <w:tcPr>
            <w:tcW w:w="4820" w:type="dxa"/>
            <w:vAlign w:val="center"/>
          </w:tcPr>
          <w:p w14:paraId="51510C7A" w14:textId="550FE102" w:rsidR="00C74C50" w:rsidRPr="002F5992" w:rsidRDefault="00C74C50" w:rsidP="00801C42">
            <w:pPr>
              <w:spacing w:before="0" w:after="0" w:line="240" w:lineRule="auto"/>
              <w:jc w:val="center"/>
              <w:rPr>
                <w:b/>
                <w:bCs/>
                <w:sz w:val="21"/>
                <w:szCs w:val="21"/>
              </w:rPr>
            </w:pPr>
            <w:r w:rsidRPr="002F5992">
              <w:rPr>
                <w:b/>
                <w:bCs/>
                <w:sz w:val="21"/>
                <w:szCs w:val="21"/>
              </w:rPr>
              <w:t>Definition</w:t>
            </w:r>
          </w:p>
        </w:tc>
        <w:tc>
          <w:tcPr>
            <w:tcW w:w="2126" w:type="dxa"/>
            <w:vAlign w:val="center"/>
          </w:tcPr>
          <w:p w14:paraId="2D587CE3" w14:textId="5D37E2E4" w:rsidR="00C74C50" w:rsidRPr="002F5992" w:rsidRDefault="00C74C50" w:rsidP="00801C42">
            <w:pPr>
              <w:spacing w:before="0" w:after="0" w:line="240" w:lineRule="auto"/>
              <w:jc w:val="center"/>
              <w:rPr>
                <w:b/>
                <w:bCs/>
                <w:sz w:val="21"/>
                <w:szCs w:val="21"/>
              </w:rPr>
            </w:pPr>
            <w:r w:rsidRPr="002F5992">
              <w:rPr>
                <w:b/>
                <w:bCs/>
                <w:sz w:val="21"/>
                <w:szCs w:val="21"/>
              </w:rPr>
              <w:t>Number of children in 2021 AEDC</w:t>
            </w:r>
          </w:p>
        </w:tc>
        <w:tc>
          <w:tcPr>
            <w:tcW w:w="2268" w:type="dxa"/>
            <w:vAlign w:val="center"/>
          </w:tcPr>
          <w:p w14:paraId="36BBDEC4" w14:textId="44082483" w:rsidR="00C74C50" w:rsidRPr="002F5992" w:rsidRDefault="00C74C50" w:rsidP="00801C42">
            <w:pPr>
              <w:spacing w:before="0" w:after="0" w:line="240" w:lineRule="auto"/>
              <w:jc w:val="center"/>
              <w:rPr>
                <w:b/>
                <w:bCs/>
                <w:sz w:val="21"/>
                <w:szCs w:val="21"/>
              </w:rPr>
            </w:pPr>
            <w:r w:rsidRPr="002F5992">
              <w:rPr>
                <w:b/>
                <w:bCs/>
                <w:sz w:val="21"/>
                <w:szCs w:val="21"/>
              </w:rPr>
              <w:t>Proportion of children in 2021 AEDC</w:t>
            </w:r>
          </w:p>
        </w:tc>
      </w:tr>
      <w:tr w:rsidR="00C74C50" w:rsidRPr="002F5992" w14:paraId="0AE4E7A1" w14:textId="77777777" w:rsidTr="00F650A0">
        <w:trPr>
          <w:trHeight w:val="90"/>
        </w:trPr>
        <w:tc>
          <w:tcPr>
            <w:tcW w:w="4820" w:type="dxa"/>
          </w:tcPr>
          <w:p w14:paraId="0B3166F5" w14:textId="77777777" w:rsidR="00C74C50" w:rsidRPr="001C706B" w:rsidRDefault="00C74C50" w:rsidP="001C706B">
            <w:pPr>
              <w:pStyle w:val="ListParagraph"/>
              <w:numPr>
                <w:ilvl w:val="0"/>
                <w:numId w:val="40"/>
              </w:numPr>
              <w:spacing w:before="0" w:after="0" w:line="240" w:lineRule="auto"/>
              <w:rPr>
                <w:sz w:val="21"/>
                <w:szCs w:val="21"/>
              </w:rPr>
            </w:pPr>
            <w:bookmarkStart w:id="4" w:name="_Hlk133651070"/>
            <w:r w:rsidRPr="001C706B">
              <w:rPr>
                <w:sz w:val="21"/>
                <w:szCs w:val="21"/>
              </w:rPr>
              <w:t xml:space="preserve">Having special needs (based on a medical diagnosis or diagnoses) </w:t>
            </w:r>
          </w:p>
        </w:tc>
        <w:tc>
          <w:tcPr>
            <w:tcW w:w="2126" w:type="dxa"/>
          </w:tcPr>
          <w:p w14:paraId="01477FE7" w14:textId="77777777" w:rsidR="00C74C50" w:rsidRPr="002F5992" w:rsidRDefault="00C74C50" w:rsidP="00801C42">
            <w:pPr>
              <w:spacing w:before="0" w:after="0" w:line="240" w:lineRule="auto"/>
              <w:jc w:val="right"/>
              <w:rPr>
                <w:sz w:val="21"/>
                <w:szCs w:val="21"/>
              </w:rPr>
            </w:pPr>
            <w:r w:rsidRPr="002F5992">
              <w:rPr>
                <w:sz w:val="21"/>
                <w:szCs w:val="21"/>
              </w:rPr>
              <w:t xml:space="preserve">15,797 </w:t>
            </w:r>
          </w:p>
        </w:tc>
        <w:tc>
          <w:tcPr>
            <w:tcW w:w="2268" w:type="dxa"/>
          </w:tcPr>
          <w:p w14:paraId="2F026B8E" w14:textId="77777777" w:rsidR="00C74C50" w:rsidRPr="002F5992" w:rsidRDefault="00C74C50" w:rsidP="00801C42">
            <w:pPr>
              <w:spacing w:before="0" w:after="0" w:line="240" w:lineRule="auto"/>
              <w:jc w:val="right"/>
              <w:rPr>
                <w:sz w:val="21"/>
                <w:szCs w:val="21"/>
              </w:rPr>
            </w:pPr>
            <w:r w:rsidRPr="002F5992">
              <w:rPr>
                <w:sz w:val="21"/>
                <w:szCs w:val="21"/>
              </w:rPr>
              <w:t xml:space="preserve">5.2% </w:t>
            </w:r>
          </w:p>
        </w:tc>
      </w:tr>
      <w:tr w:rsidR="00C74C50" w:rsidRPr="002F5992" w14:paraId="4CE122B6" w14:textId="77777777" w:rsidTr="00F650A0">
        <w:trPr>
          <w:trHeight w:val="200"/>
        </w:trPr>
        <w:tc>
          <w:tcPr>
            <w:tcW w:w="4820" w:type="dxa"/>
          </w:tcPr>
          <w:p w14:paraId="0A96BD95" w14:textId="77777777" w:rsidR="00C74C50" w:rsidRPr="001C706B" w:rsidRDefault="00C74C50" w:rsidP="001C706B">
            <w:pPr>
              <w:pStyle w:val="ListParagraph"/>
              <w:numPr>
                <w:ilvl w:val="0"/>
                <w:numId w:val="40"/>
              </w:numPr>
              <w:spacing w:before="0" w:after="0" w:line="240" w:lineRule="auto"/>
              <w:rPr>
                <w:sz w:val="21"/>
                <w:szCs w:val="21"/>
              </w:rPr>
            </w:pPr>
            <w:r w:rsidRPr="001C706B">
              <w:rPr>
                <w:sz w:val="21"/>
                <w:szCs w:val="21"/>
              </w:rPr>
              <w:t xml:space="preserve">Having at least one developmental difficulty that affects their ability to do schoolwork in a regular classroom </w:t>
            </w:r>
          </w:p>
        </w:tc>
        <w:tc>
          <w:tcPr>
            <w:tcW w:w="2126" w:type="dxa"/>
          </w:tcPr>
          <w:p w14:paraId="53F3ADCB" w14:textId="77777777" w:rsidR="00C74C50" w:rsidRPr="002F5992" w:rsidRDefault="00C74C50" w:rsidP="00801C42">
            <w:pPr>
              <w:spacing w:before="0" w:after="0" w:line="240" w:lineRule="auto"/>
              <w:jc w:val="right"/>
              <w:rPr>
                <w:sz w:val="21"/>
                <w:szCs w:val="21"/>
              </w:rPr>
            </w:pPr>
            <w:r w:rsidRPr="002F5992">
              <w:rPr>
                <w:sz w:val="21"/>
                <w:szCs w:val="21"/>
              </w:rPr>
              <w:t xml:space="preserve">54,684 </w:t>
            </w:r>
          </w:p>
        </w:tc>
        <w:tc>
          <w:tcPr>
            <w:tcW w:w="2268" w:type="dxa"/>
          </w:tcPr>
          <w:p w14:paraId="465F30D5" w14:textId="77777777" w:rsidR="00C74C50" w:rsidRPr="002F5992" w:rsidRDefault="00C74C50" w:rsidP="00801C42">
            <w:pPr>
              <w:spacing w:before="0" w:after="0" w:line="240" w:lineRule="auto"/>
              <w:jc w:val="right"/>
              <w:rPr>
                <w:sz w:val="21"/>
                <w:szCs w:val="21"/>
              </w:rPr>
            </w:pPr>
            <w:r w:rsidRPr="002F5992">
              <w:rPr>
                <w:sz w:val="21"/>
                <w:szCs w:val="21"/>
              </w:rPr>
              <w:t xml:space="preserve">18.0% </w:t>
            </w:r>
          </w:p>
        </w:tc>
      </w:tr>
      <w:tr w:rsidR="00C74C50" w:rsidRPr="002F5992" w14:paraId="1E703D05" w14:textId="77777777" w:rsidTr="00F650A0">
        <w:trPr>
          <w:trHeight w:val="232"/>
        </w:trPr>
        <w:tc>
          <w:tcPr>
            <w:tcW w:w="4820" w:type="dxa"/>
          </w:tcPr>
          <w:p w14:paraId="73FD76F5" w14:textId="77777777" w:rsidR="00C74C50" w:rsidRPr="001C706B" w:rsidRDefault="00C74C50" w:rsidP="001C706B">
            <w:pPr>
              <w:pStyle w:val="ListParagraph"/>
              <w:numPr>
                <w:ilvl w:val="0"/>
                <w:numId w:val="40"/>
              </w:numPr>
              <w:spacing w:before="0" w:after="0" w:line="240" w:lineRule="auto"/>
              <w:rPr>
                <w:sz w:val="21"/>
                <w:szCs w:val="21"/>
              </w:rPr>
            </w:pPr>
            <w:r w:rsidRPr="001C706B">
              <w:rPr>
                <w:sz w:val="21"/>
                <w:szCs w:val="21"/>
              </w:rPr>
              <w:t xml:space="preserve">Having at least one developmental difficulty that does not affect their ability to do schoolwork in a regular classroom </w:t>
            </w:r>
          </w:p>
        </w:tc>
        <w:tc>
          <w:tcPr>
            <w:tcW w:w="2126" w:type="dxa"/>
          </w:tcPr>
          <w:p w14:paraId="5DC982D9" w14:textId="77777777" w:rsidR="00C74C50" w:rsidRPr="002F5992" w:rsidRDefault="00C74C50" w:rsidP="00801C42">
            <w:pPr>
              <w:spacing w:before="0" w:after="0" w:line="240" w:lineRule="auto"/>
              <w:jc w:val="right"/>
              <w:rPr>
                <w:sz w:val="21"/>
                <w:szCs w:val="21"/>
              </w:rPr>
            </w:pPr>
            <w:r w:rsidRPr="002F5992">
              <w:rPr>
                <w:sz w:val="21"/>
                <w:szCs w:val="21"/>
              </w:rPr>
              <w:t xml:space="preserve">43,120 </w:t>
            </w:r>
          </w:p>
        </w:tc>
        <w:tc>
          <w:tcPr>
            <w:tcW w:w="2268" w:type="dxa"/>
          </w:tcPr>
          <w:p w14:paraId="16ADA3C3" w14:textId="77777777" w:rsidR="00C74C50" w:rsidRPr="002F5992" w:rsidRDefault="00C74C50" w:rsidP="00801C42">
            <w:pPr>
              <w:spacing w:before="0" w:after="0" w:line="240" w:lineRule="auto"/>
              <w:jc w:val="right"/>
              <w:rPr>
                <w:sz w:val="21"/>
                <w:szCs w:val="21"/>
              </w:rPr>
            </w:pPr>
            <w:r w:rsidRPr="002F5992">
              <w:rPr>
                <w:sz w:val="21"/>
                <w:szCs w:val="21"/>
              </w:rPr>
              <w:t xml:space="preserve">14.2% </w:t>
            </w:r>
          </w:p>
        </w:tc>
      </w:tr>
      <w:tr w:rsidR="00C74C50" w:rsidRPr="002F5992" w14:paraId="24374A65" w14:textId="77777777" w:rsidTr="00F650A0">
        <w:trPr>
          <w:trHeight w:val="309"/>
        </w:trPr>
        <w:tc>
          <w:tcPr>
            <w:tcW w:w="4820" w:type="dxa"/>
          </w:tcPr>
          <w:p w14:paraId="52E19FBD" w14:textId="77777777" w:rsidR="00C74C50" w:rsidRPr="001C706B" w:rsidRDefault="00C74C50" w:rsidP="001C706B">
            <w:pPr>
              <w:pStyle w:val="ListParagraph"/>
              <w:numPr>
                <w:ilvl w:val="0"/>
                <w:numId w:val="40"/>
              </w:numPr>
              <w:spacing w:before="0" w:after="0" w:line="240" w:lineRule="auto"/>
              <w:rPr>
                <w:sz w:val="21"/>
                <w:szCs w:val="21"/>
              </w:rPr>
            </w:pPr>
            <w:r w:rsidRPr="001C706B">
              <w:rPr>
                <w:sz w:val="21"/>
                <w:szCs w:val="21"/>
              </w:rPr>
              <w:t xml:space="preserve">Requiring further assessment to determine if they have a developmental difficulty that affects their ability to do schoolwork in a regular classroom. </w:t>
            </w:r>
          </w:p>
        </w:tc>
        <w:tc>
          <w:tcPr>
            <w:tcW w:w="2126" w:type="dxa"/>
          </w:tcPr>
          <w:p w14:paraId="34B9F4F8" w14:textId="77777777" w:rsidR="00C74C50" w:rsidRPr="002F5992" w:rsidRDefault="00C74C50" w:rsidP="00801C42">
            <w:pPr>
              <w:spacing w:before="0" w:after="0" w:line="240" w:lineRule="auto"/>
              <w:jc w:val="right"/>
              <w:rPr>
                <w:sz w:val="21"/>
                <w:szCs w:val="21"/>
              </w:rPr>
            </w:pPr>
            <w:r w:rsidRPr="002F5992">
              <w:rPr>
                <w:sz w:val="21"/>
                <w:szCs w:val="21"/>
              </w:rPr>
              <w:t xml:space="preserve">47,873 </w:t>
            </w:r>
          </w:p>
        </w:tc>
        <w:tc>
          <w:tcPr>
            <w:tcW w:w="2268" w:type="dxa"/>
          </w:tcPr>
          <w:p w14:paraId="5CF7A9BB" w14:textId="77777777" w:rsidR="00C74C50" w:rsidRPr="002F5992" w:rsidRDefault="00C74C50" w:rsidP="00801C42">
            <w:pPr>
              <w:spacing w:before="0" w:after="0" w:line="240" w:lineRule="auto"/>
              <w:jc w:val="right"/>
              <w:rPr>
                <w:sz w:val="21"/>
                <w:szCs w:val="21"/>
              </w:rPr>
            </w:pPr>
            <w:r w:rsidRPr="002F5992">
              <w:rPr>
                <w:sz w:val="21"/>
                <w:szCs w:val="21"/>
              </w:rPr>
              <w:t xml:space="preserve">15.8% </w:t>
            </w:r>
          </w:p>
        </w:tc>
      </w:tr>
      <w:tr w:rsidR="00C74C50" w:rsidRPr="002F5992" w14:paraId="6AFE3705" w14:textId="77777777" w:rsidTr="00F650A0">
        <w:trPr>
          <w:trHeight w:val="359"/>
        </w:trPr>
        <w:tc>
          <w:tcPr>
            <w:tcW w:w="4820" w:type="dxa"/>
          </w:tcPr>
          <w:p w14:paraId="782DC7E6" w14:textId="77777777" w:rsidR="00C74C50" w:rsidRPr="002F5992" w:rsidRDefault="00C74C50" w:rsidP="00A7046D">
            <w:pPr>
              <w:spacing w:before="0" w:after="0" w:line="240" w:lineRule="auto"/>
              <w:rPr>
                <w:sz w:val="21"/>
                <w:szCs w:val="21"/>
              </w:rPr>
            </w:pPr>
            <w:r w:rsidRPr="002F5992">
              <w:rPr>
                <w:sz w:val="21"/>
                <w:szCs w:val="21"/>
              </w:rPr>
              <w:t xml:space="preserve">In at least one of the AHDN groups </w:t>
            </w:r>
          </w:p>
        </w:tc>
        <w:tc>
          <w:tcPr>
            <w:tcW w:w="2126" w:type="dxa"/>
          </w:tcPr>
          <w:p w14:paraId="0F5AC023" w14:textId="77777777" w:rsidR="00C74C50" w:rsidRPr="002F5992" w:rsidRDefault="00C74C50" w:rsidP="00801C42">
            <w:pPr>
              <w:spacing w:before="0" w:after="0" w:line="240" w:lineRule="auto"/>
              <w:jc w:val="right"/>
              <w:rPr>
                <w:sz w:val="21"/>
                <w:szCs w:val="21"/>
              </w:rPr>
            </w:pPr>
            <w:r w:rsidRPr="002F5992">
              <w:rPr>
                <w:sz w:val="21"/>
                <w:szCs w:val="21"/>
              </w:rPr>
              <w:t xml:space="preserve">99,647 </w:t>
            </w:r>
          </w:p>
        </w:tc>
        <w:tc>
          <w:tcPr>
            <w:tcW w:w="2268" w:type="dxa"/>
          </w:tcPr>
          <w:p w14:paraId="2789C2AD" w14:textId="77777777" w:rsidR="00C74C50" w:rsidRPr="002F5992" w:rsidRDefault="00C74C50" w:rsidP="00801C42">
            <w:pPr>
              <w:spacing w:before="0" w:after="0" w:line="240" w:lineRule="auto"/>
              <w:jc w:val="right"/>
              <w:rPr>
                <w:sz w:val="21"/>
                <w:szCs w:val="21"/>
              </w:rPr>
            </w:pPr>
            <w:r w:rsidRPr="002F5992">
              <w:rPr>
                <w:sz w:val="21"/>
                <w:szCs w:val="21"/>
              </w:rPr>
              <w:t xml:space="preserve">32.8% </w:t>
            </w:r>
          </w:p>
        </w:tc>
      </w:tr>
    </w:tbl>
    <w:bookmarkEnd w:id="4"/>
    <w:p w14:paraId="0AAD483B" w14:textId="1EE899F2" w:rsidR="001956C8" w:rsidRPr="002C388A" w:rsidRDefault="001956C8" w:rsidP="002C388A">
      <w:pPr>
        <w:rPr>
          <w:i/>
          <w:iCs/>
          <w:lang w:eastAsia="en-AU"/>
        </w:rPr>
      </w:pPr>
      <w:r w:rsidRPr="002C388A">
        <w:rPr>
          <w:i/>
          <w:iCs/>
          <w:lang w:eastAsia="en-AU"/>
        </w:rPr>
        <w:t>Indicators of being AHDN developmentally on track by AHDN groups, 2021</w:t>
      </w:r>
    </w:p>
    <w:p w14:paraId="34B8C7BE" w14:textId="77777777" w:rsidR="001956C8" w:rsidRPr="001956C8" w:rsidRDefault="001956C8" w:rsidP="001956C8">
      <w:pPr>
        <w:pStyle w:val="BodyText"/>
        <w:spacing w:before="2"/>
        <w:rPr>
          <w:rFonts w:ascii="Arial" w:hAnsi="Arial" w:cs="Arial"/>
        </w:rPr>
      </w:pPr>
    </w:p>
    <w:tbl>
      <w:tblPr>
        <w:tblStyle w:val="TableGrid"/>
        <w:tblW w:w="9144" w:type="dxa"/>
        <w:tblLayout w:type="fixed"/>
        <w:tblLook w:val="01E0" w:firstRow="1" w:lastRow="1" w:firstColumn="1" w:lastColumn="1" w:noHBand="0" w:noVBand="0"/>
      </w:tblPr>
      <w:tblGrid>
        <w:gridCol w:w="1524"/>
        <w:gridCol w:w="1524"/>
        <w:gridCol w:w="1524"/>
        <w:gridCol w:w="1524"/>
        <w:gridCol w:w="1524"/>
        <w:gridCol w:w="1524"/>
      </w:tblGrid>
      <w:tr w:rsidR="00522DED" w:rsidRPr="002F5992" w14:paraId="1CFD082A" w14:textId="77777777" w:rsidTr="00C34A84">
        <w:trPr>
          <w:trHeight w:val="1379"/>
          <w:tblHeader/>
        </w:trPr>
        <w:tc>
          <w:tcPr>
            <w:tcW w:w="1524" w:type="dxa"/>
            <w:vAlign w:val="center"/>
          </w:tcPr>
          <w:p w14:paraId="29555EFC" w14:textId="77777777" w:rsidR="00522DED" w:rsidRPr="00C34A84" w:rsidRDefault="00522DED" w:rsidP="00264BB5">
            <w:pPr>
              <w:pStyle w:val="TableParagraph"/>
              <w:spacing w:before="0"/>
              <w:ind w:left="108"/>
              <w:jc w:val="left"/>
              <w:rPr>
                <w:rFonts w:ascii="Arial" w:hAnsi="Arial" w:cs="Arial"/>
                <w:b/>
                <w:sz w:val="20"/>
                <w:szCs w:val="20"/>
              </w:rPr>
            </w:pPr>
            <w:r w:rsidRPr="00C34A84">
              <w:rPr>
                <w:rFonts w:ascii="Arial" w:hAnsi="Arial" w:cs="Arial"/>
                <w:b/>
                <w:spacing w:val="-2"/>
                <w:sz w:val="20"/>
                <w:szCs w:val="20"/>
              </w:rPr>
              <w:t>Cohort</w:t>
            </w:r>
          </w:p>
        </w:tc>
        <w:tc>
          <w:tcPr>
            <w:tcW w:w="1524" w:type="dxa"/>
            <w:vAlign w:val="center"/>
          </w:tcPr>
          <w:p w14:paraId="4B29A21E" w14:textId="77777777" w:rsidR="00522DED" w:rsidRPr="00C34A84" w:rsidRDefault="00522DED" w:rsidP="00B84EAA">
            <w:pPr>
              <w:pStyle w:val="TableParagraph"/>
              <w:spacing w:before="0"/>
              <w:ind w:right="-41"/>
              <w:jc w:val="left"/>
              <w:rPr>
                <w:rFonts w:ascii="Arial" w:hAnsi="Arial" w:cs="Arial"/>
                <w:b/>
                <w:sz w:val="20"/>
                <w:szCs w:val="20"/>
              </w:rPr>
            </w:pPr>
            <w:r w:rsidRPr="00C34A84">
              <w:rPr>
                <w:rFonts w:ascii="Arial" w:hAnsi="Arial" w:cs="Arial"/>
                <w:b/>
                <w:spacing w:val="-2"/>
                <w:sz w:val="20"/>
                <w:szCs w:val="20"/>
              </w:rPr>
              <w:t>Physical</w:t>
            </w:r>
            <w:r w:rsidRPr="00C34A84">
              <w:rPr>
                <w:rFonts w:ascii="Arial" w:hAnsi="Arial" w:cs="Arial"/>
                <w:b/>
                <w:spacing w:val="-4"/>
                <w:sz w:val="20"/>
                <w:szCs w:val="20"/>
              </w:rPr>
              <w:t xml:space="preserve"> </w:t>
            </w:r>
            <w:r w:rsidRPr="00C34A84">
              <w:rPr>
                <w:rFonts w:ascii="Arial" w:hAnsi="Arial" w:cs="Arial"/>
                <w:b/>
                <w:spacing w:val="-2"/>
                <w:sz w:val="20"/>
                <w:szCs w:val="20"/>
              </w:rPr>
              <w:t>health</w:t>
            </w:r>
            <w:r w:rsidRPr="00C34A84">
              <w:rPr>
                <w:rFonts w:ascii="Arial" w:hAnsi="Arial" w:cs="Arial"/>
                <w:b/>
                <w:spacing w:val="-1"/>
                <w:sz w:val="20"/>
                <w:szCs w:val="20"/>
              </w:rPr>
              <w:t xml:space="preserve"> </w:t>
            </w:r>
            <w:r w:rsidRPr="00C34A84">
              <w:rPr>
                <w:rFonts w:ascii="Arial" w:hAnsi="Arial" w:cs="Arial"/>
                <w:b/>
                <w:spacing w:val="-2"/>
                <w:sz w:val="20"/>
                <w:szCs w:val="20"/>
              </w:rPr>
              <w:t>and</w:t>
            </w:r>
            <w:r w:rsidRPr="00C34A84">
              <w:rPr>
                <w:rFonts w:ascii="Arial" w:hAnsi="Arial" w:cs="Arial"/>
                <w:b/>
                <w:spacing w:val="-3"/>
                <w:sz w:val="20"/>
                <w:szCs w:val="20"/>
              </w:rPr>
              <w:t xml:space="preserve"> </w:t>
            </w:r>
            <w:r w:rsidRPr="00C34A84">
              <w:rPr>
                <w:rFonts w:ascii="Arial" w:hAnsi="Arial" w:cs="Arial"/>
                <w:b/>
                <w:spacing w:val="-2"/>
                <w:sz w:val="20"/>
                <w:szCs w:val="20"/>
              </w:rPr>
              <w:t>wellbeing</w:t>
            </w:r>
          </w:p>
        </w:tc>
        <w:tc>
          <w:tcPr>
            <w:tcW w:w="1524" w:type="dxa"/>
            <w:vAlign w:val="center"/>
          </w:tcPr>
          <w:p w14:paraId="173D380F" w14:textId="77777777" w:rsidR="00522DED" w:rsidRPr="00C34A84" w:rsidRDefault="00522DED" w:rsidP="00B84EAA">
            <w:pPr>
              <w:pStyle w:val="TableParagraph"/>
              <w:spacing w:before="0"/>
              <w:ind w:right="-41"/>
              <w:jc w:val="left"/>
              <w:rPr>
                <w:rFonts w:ascii="Arial" w:hAnsi="Arial" w:cs="Arial"/>
                <w:b/>
                <w:sz w:val="20"/>
                <w:szCs w:val="20"/>
              </w:rPr>
            </w:pPr>
            <w:r w:rsidRPr="00C34A84">
              <w:rPr>
                <w:rFonts w:ascii="Arial" w:hAnsi="Arial" w:cs="Arial"/>
                <w:b/>
                <w:sz w:val="20"/>
                <w:szCs w:val="20"/>
              </w:rPr>
              <w:t>Social</w:t>
            </w:r>
            <w:r w:rsidRPr="00C34A84">
              <w:rPr>
                <w:rFonts w:ascii="Arial" w:hAnsi="Arial" w:cs="Arial"/>
                <w:b/>
                <w:spacing w:val="-10"/>
                <w:sz w:val="20"/>
                <w:szCs w:val="20"/>
              </w:rPr>
              <w:t xml:space="preserve"> </w:t>
            </w:r>
            <w:r w:rsidRPr="00C34A84">
              <w:rPr>
                <w:rFonts w:ascii="Arial" w:hAnsi="Arial" w:cs="Arial"/>
                <w:b/>
                <w:spacing w:val="-2"/>
                <w:sz w:val="20"/>
                <w:szCs w:val="20"/>
              </w:rPr>
              <w:t>competence</w:t>
            </w:r>
          </w:p>
        </w:tc>
        <w:tc>
          <w:tcPr>
            <w:tcW w:w="1524" w:type="dxa"/>
            <w:vAlign w:val="center"/>
          </w:tcPr>
          <w:p w14:paraId="229C6527" w14:textId="77777777" w:rsidR="00522DED" w:rsidRPr="00C34A84" w:rsidRDefault="00522DED" w:rsidP="00B84EAA">
            <w:pPr>
              <w:pStyle w:val="TableParagraph"/>
              <w:spacing w:before="0"/>
              <w:ind w:right="-41"/>
              <w:jc w:val="left"/>
              <w:rPr>
                <w:rFonts w:ascii="Arial" w:hAnsi="Arial" w:cs="Arial"/>
                <w:b/>
                <w:sz w:val="20"/>
                <w:szCs w:val="20"/>
              </w:rPr>
            </w:pPr>
            <w:r w:rsidRPr="00C34A84">
              <w:rPr>
                <w:rFonts w:ascii="Arial" w:hAnsi="Arial" w:cs="Arial"/>
                <w:b/>
                <w:sz w:val="20"/>
                <w:szCs w:val="20"/>
              </w:rPr>
              <w:t>Emotional</w:t>
            </w:r>
            <w:r w:rsidRPr="00C34A84">
              <w:rPr>
                <w:rFonts w:ascii="Arial" w:hAnsi="Arial" w:cs="Arial"/>
                <w:b/>
                <w:spacing w:val="-3"/>
                <w:sz w:val="20"/>
                <w:szCs w:val="20"/>
              </w:rPr>
              <w:t xml:space="preserve"> </w:t>
            </w:r>
            <w:r w:rsidRPr="00C34A84">
              <w:rPr>
                <w:rFonts w:ascii="Arial" w:hAnsi="Arial" w:cs="Arial"/>
                <w:b/>
                <w:spacing w:val="-2"/>
                <w:sz w:val="20"/>
                <w:szCs w:val="20"/>
              </w:rPr>
              <w:t>maturity</w:t>
            </w:r>
          </w:p>
        </w:tc>
        <w:tc>
          <w:tcPr>
            <w:tcW w:w="1524" w:type="dxa"/>
            <w:vAlign w:val="center"/>
          </w:tcPr>
          <w:p w14:paraId="64E14A81" w14:textId="77777777" w:rsidR="00522DED" w:rsidRPr="00C34A84" w:rsidRDefault="00522DED" w:rsidP="00B84EAA">
            <w:pPr>
              <w:pStyle w:val="TableParagraph"/>
              <w:spacing w:before="0"/>
              <w:ind w:right="-41"/>
              <w:jc w:val="left"/>
              <w:rPr>
                <w:rFonts w:ascii="Arial" w:hAnsi="Arial" w:cs="Arial"/>
                <w:b/>
                <w:sz w:val="20"/>
                <w:szCs w:val="20"/>
              </w:rPr>
            </w:pPr>
            <w:r w:rsidRPr="00C34A84">
              <w:rPr>
                <w:rFonts w:ascii="Arial" w:hAnsi="Arial" w:cs="Arial"/>
                <w:b/>
                <w:spacing w:val="-2"/>
                <w:sz w:val="20"/>
                <w:szCs w:val="20"/>
              </w:rPr>
              <w:t>Language</w:t>
            </w:r>
            <w:r w:rsidRPr="00C34A84">
              <w:rPr>
                <w:rFonts w:ascii="Arial" w:hAnsi="Arial" w:cs="Arial"/>
                <w:b/>
                <w:spacing w:val="-10"/>
                <w:sz w:val="20"/>
                <w:szCs w:val="20"/>
              </w:rPr>
              <w:t xml:space="preserve"> </w:t>
            </w:r>
            <w:r w:rsidRPr="00C34A84">
              <w:rPr>
                <w:rFonts w:ascii="Arial" w:hAnsi="Arial" w:cs="Arial"/>
                <w:b/>
                <w:spacing w:val="-2"/>
                <w:sz w:val="20"/>
                <w:szCs w:val="20"/>
              </w:rPr>
              <w:t>and</w:t>
            </w:r>
            <w:r w:rsidRPr="00C34A84">
              <w:rPr>
                <w:rFonts w:ascii="Arial" w:hAnsi="Arial" w:cs="Arial"/>
                <w:b/>
                <w:spacing w:val="-9"/>
                <w:sz w:val="20"/>
                <w:szCs w:val="20"/>
              </w:rPr>
              <w:t xml:space="preserve"> </w:t>
            </w:r>
            <w:r w:rsidRPr="00C34A84">
              <w:rPr>
                <w:rFonts w:ascii="Arial" w:hAnsi="Arial" w:cs="Arial"/>
                <w:b/>
                <w:spacing w:val="-2"/>
                <w:sz w:val="20"/>
                <w:szCs w:val="20"/>
              </w:rPr>
              <w:t>cognitive</w:t>
            </w:r>
            <w:r w:rsidRPr="00C34A84">
              <w:rPr>
                <w:rFonts w:ascii="Arial" w:hAnsi="Arial" w:cs="Arial"/>
                <w:b/>
                <w:spacing w:val="-9"/>
                <w:sz w:val="20"/>
                <w:szCs w:val="20"/>
              </w:rPr>
              <w:t xml:space="preserve"> </w:t>
            </w:r>
            <w:r w:rsidRPr="00C34A84">
              <w:rPr>
                <w:rFonts w:ascii="Arial" w:hAnsi="Arial" w:cs="Arial"/>
                <w:b/>
                <w:spacing w:val="-2"/>
                <w:sz w:val="20"/>
                <w:szCs w:val="20"/>
              </w:rPr>
              <w:t>skills (school-based)</w:t>
            </w:r>
          </w:p>
        </w:tc>
        <w:tc>
          <w:tcPr>
            <w:tcW w:w="1524" w:type="dxa"/>
            <w:vAlign w:val="center"/>
          </w:tcPr>
          <w:p w14:paraId="31F41FB0" w14:textId="77777777" w:rsidR="00522DED" w:rsidRPr="00C34A84" w:rsidRDefault="00522DED" w:rsidP="00B84EAA">
            <w:pPr>
              <w:pStyle w:val="TableParagraph"/>
              <w:spacing w:before="0"/>
              <w:ind w:right="-41"/>
              <w:jc w:val="left"/>
              <w:rPr>
                <w:rFonts w:ascii="Arial" w:hAnsi="Arial" w:cs="Arial"/>
                <w:b/>
                <w:sz w:val="20"/>
                <w:szCs w:val="20"/>
              </w:rPr>
            </w:pPr>
            <w:r w:rsidRPr="00C34A84">
              <w:rPr>
                <w:rFonts w:ascii="Arial" w:hAnsi="Arial" w:cs="Arial"/>
                <w:b/>
                <w:spacing w:val="-2"/>
                <w:sz w:val="20"/>
                <w:szCs w:val="20"/>
              </w:rPr>
              <w:t>Communication</w:t>
            </w:r>
            <w:r w:rsidRPr="00C34A84">
              <w:rPr>
                <w:rFonts w:ascii="Arial" w:hAnsi="Arial" w:cs="Arial"/>
                <w:b/>
                <w:spacing w:val="-4"/>
                <w:sz w:val="20"/>
                <w:szCs w:val="20"/>
              </w:rPr>
              <w:t xml:space="preserve"> </w:t>
            </w:r>
            <w:r w:rsidRPr="00C34A84">
              <w:rPr>
                <w:rFonts w:ascii="Arial" w:hAnsi="Arial" w:cs="Arial"/>
                <w:b/>
                <w:spacing w:val="-2"/>
                <w:sz w:val="20"/>
                <w:szCs w:val="20"/>
              </w:rPr>
              <w:t>skills</w:t>
            </w:r>
            <w:r w:rsidRPr="00C34A84">
              <w:rPr>
                <w:rFonts w:ascii="Arial" w:hAnsi="Arial" w:cs="Arial"/>
                <w:b/>
                <w:spacing w:val="-6"/>
                <w:sz w:val="20"/>
                <w:szCs w:val="20"/>
              </w:rPr>
              <w:t xml:space="preserve"> </w:t>
            </w:r>
            <w:r w:rsidRPr="00C34A84">
              <w:rPr>
                <w:rFonts w:ascii="Arial" w:hAnsi="Arial" w:cs="Arial"/>
                <w:b/>
                <w:spacing w:val="-2"/>
                <w:sz w:val="20"/>
                <w:szCs w:val="20"/>
              </w:rPr>
              <w:t xml:space="preserve">and </w:t>
            </w:r>
            <w:r w:rsidRPr="00C34A84">
              <w:rPr>
                <w:rFonts w:ascii="Arial" w:hAnsi="Arial" w:cs="Arial"/>
                <w:b/>
                <w:sz w:val="20"/>
                <w:szCs w:val="20"/>
              </w:rPr>
              <w:t>general</w:t>
            </w:r>
            <w:r w:rsidRPr="00C34A84">
              <w:rPr>
                <w:rFonts w:ascii="Arial" w:hAnsi="Arial" w:cs="Arial"/>
                <w:b/>
                <w:spacing w:val="-7"/>
                <w:sz w:val="20"/>
                <w:szCs w:val="20"/>
              </w:rPr>
              <w:t xml:space="preserve"> </w:t>
            </w:r>
            <w:r w:rsidRPr="00C34A84">
              <w:rPr>
                <w:rFonts w:ascii="Arial" w:hAnsi="Arial" w:cs="Arial"/>
                <w:b/>
                <w:sz w:val="20"/>
                <w:szCs w:val="20"/>
              </w:rPr>
              <w:t>knowledge</w:t>
            </w:r>
          </w:p>
        </w:tc>
      </w:tr>
      <w:tr w:rsidR="00522DED" w:rsidRPr="002F5992" w14:paraId="221784EF" w14:textId="77777777" w:rsidTr="00377D65">
        <w:trPr>
          <w:trHeight w:val="706"/>
        </w:trPr>
        <w:tc>
          <w:tcPr>
            <w:tcW w:w="1524" w:type="dxa"/>
            <w:vAlign w:val="center"/>
          </w:tcPr>
          <w:p w14:paraId="322EF01A" w14:textId="5B464ED2" w:rsidR="00522DED" w:rsidRPr="002F5992" w:rsidRDefault="001C706B" w:rsidP="00377D65">
            <w:pPr>
              <w:spacing w:line="240" w:lineRule="auto"/>
              <w:rPr>
                <w:rFonts w:cs="Arial"/>
                <w:sz w:val="21"/>
                <w:szCs w:val="21"/>
              </w:rPr>
            </w:pPr>
            <w:r>
              <w:rPr>
                <w:rFonts w:cs="Arial"/>
                <w:sz w:val="21"/>
                <w:szCs w:val="21"/>
              </w:rPr>
              <w:t>Group 1</w:t>
            </w:r>
          </w:p>
        </w:tc>
        <w:tc>
          <w:tcPr>
            <w:tcW w:w="1524" w:type="dxa"/>
            <w:vAlign w:val="center"/>
          </w:tcPr>
          <w:p w14:paraId="4DBDDBCD" w14:textId="77777777" w:rsidR="00522DED" w:rsidRPr="001439FE" w:rsidRDefault="00522DED" w:rsidP="00B84EAA">
            <w:pPr>
              <w:pStyle w:val="TableParagraph"/>
              <w:spacing w:before="63"/>
              <w:ind w:right="97"/>
              <w:jc w:val="left"/>
              <w:rPr>
                <w:rFonts w:ascii="Arial" w:hAnsi="Arial" w:cs="Arial"/>
                <w:sz w:val="20"/>
                <w:szCs w:val="20"/>
              </w:rPr>
            </w:pPr>
            <w:r w:rsidRPr="001439FE">
              <w:rPr>
                <w:rFonts w:ascii="Arial" w:hAnsi="Arial" w:cs="Arial"/>
                <w:spacing w:val="-5"/>
                <w:sz w:val="20"/>
                <w:szCs w:val="20"/>
              </w:rPr>
              <w:t>36%</w:t>
            </w:r>
          </w:p>
        </w:tc>
        <w:tc>
          <w:tcPr>
            <w:tcW w:w="1524" w:type="dxa"/>
            <w:vAlign w:val="center"/>
          </w:tcPr>
          <w:p w14:paraId="07A636D2" w14:textId="77777777" w:rsidR="00522DED" w:rsidRPr="001439FE" w:rsidRDefault="00522DED" w:rsidP="00B84EAA">
            <w:pPr>
              <w:pStyle w:val="TableParagraph"/>
              <w:spacing w:before="63"/>
              <w:ind w:right="95"/>
              <w:jc w:val="left"/>
              <w:rPr>
                <w:rFonts w:ascii="Arial" w:hAnsi="Arial" w:cs="Arial"/>
                <w:sz w:val="20"/>
                <w:szCs w:val="20"/>
              </w:rPr>
            </w:pPr>
            <w:r w:rsidRPr="001439FE">
              <w:rPr>
                <w:rFonts w:ascii="Arial" w:hAnsi="Arial" w:cs="Arial"/>
                <w:spacing w:val="-5"/>
                <w:w w:val="95"/>
                <w:sz w:val="20"/>
                <w:szCs w:val="20"/>
              </w:rPr>
              <w:t>27%</w:t>
            </w:r>
          </w:p>
        </w:tc>
        <w:tc>
          <w:tcPr>
            <w:tcW w:w="1524" w:type="dxa"/>
            <w:vAlign w:val="center"/>
          </w:tcPr>
          <w:p w14:paraId="0E91C69F" w14:textId="77777777" w:rsidR="00522DED" w:rsidRPr="001439FE" w:rsidRDefault="00522DED" w:rsidP="00B84EAA">
            <w:pPr>
              <w:pStyle w:val="TableParagraph"/>
              <w:spacing w:before="63"/>
              <w:ind w:right="100"/>
              <w:jc w:val="left"/>
              <w:rPr>
                <w:rFonts w:ascii="Arial" w:hAnsi="Arial" w:cs="Arial"/>
                <w:sz w:val="20"/>
                <w:szCs w:val="20"/>
              </w:rPr>
            </w:pPr>
            <w:r w:rsidRPr="001439FE">
              <w:rPr>
                <w:rFonts w:ascii="Arial" w:hAnsi="Arial" w:cs="Arial"/>
                <w:spacing w:val="-5"/>
                <w:sz w:val="20"/>
                <w:szCs w:val="20"/>
              </w:rPr>
              <w:t>28%</w:t>
            </w:r>
          </w:p>
        </w:tc>
        <w:tc>
          <w:tcPr>
            <w:tcW w:w="1524" w:type="dxa"/>
            <w:vAlign w:val="center"/>
          </w:tcPr>
          <w:p w14:paraId="097D7B4F" w14:textId="77777777" w:rsidR="00522DED" w:rsidRPr="001439FE" w:rsidRDefault="00522DED" w:rsidP="00B84EAA">
            <w:pPr>
              <w:pStyle w:val="TableParagraph"/>
              <w:spacing w:before="63"/>
              <w:ind w:right="97"/>
              <w:jc w:val="left"/>
              <w:rPr>
                <w:rFonts w:ascii="Arial" w:hAnsi="Arial" w:cs="Arial"/>
                <w:sz w:val="20"/>
                <w:szCs w:val="20"/>
              </w:rPr>
            </w:pPr>
            <w:r w:rsidRPr="001439FE">
              <w:rPr>
                <w:rFonts w:ascii="Arial" w:hAnsi="Arial" w:cs="Arial"/>
                <w:spacing w:val="-5"/>
                <w:sz w:val="20"/>
                <w:szCs w:val="20"/>
              </w:rPr>
              <w:t>44%</w:t>
            </w:r>
          </w:p>
        </w:tc>
        <w:tc>
          <w:tcPr>
            <w:tcW w:w="1524" w:type="dxa"/>
            <w:vAlign w:val="center"/>
          </w:tcPr>
          <w:p w14:paraId="2DF04C5C" w14:textId="77777777" w:rsidR="00522DED" w:rsidRPr="001439FE" w:rsidRDefault="00522DED" w:rsidP="00B84EAA">
            <w:pPr>
              <w:pStyle w:val="TableParagraph"/>
              <w:spacing w:before="63"/>
              <w:ind w:right="84"/>
              <w:jc w:val="left"/>
              <w:rPr>
                <w:rFonts w:ascii="Arial" w:hAnsi="Arial" w:cs="Arial"/>
                <w:sz w:val="20"/>
                <w:szCs w:val="20"/>
              </w:rPr>
            </w:pPr>
            <w:r w:rsidRPr="001439FE">
              <w:rPr>
                <w:rFonts w:ascii="Arial" w:hAnsi="Arial" w:cs="Arial"/>
                <w:spacing w:val="-5"/>
                <w:sz w:val="20"/>
                <w:szCs w:val="20"/>
              </w:rPr>
              <w:t>34%</w:t>
            </w:r>
          </w:p>
        </w:tc>
      </w:tr>
      <w:tr w:rsidR="00522DED" w:rsidRPr="002F5992" w14:paraId="76935EF8" w14:textId="77777777" w:rsidTr="00377D65">
        <w:trPr>
          <w:trHeight w:val="706"/>
        </w:trPr>
        <w:tc>
          <w:tcPr>
            <w:tcW w:w="1524" w:type="dxa"/>
            <w:vAlign w:val="center"/>
          </w:tcPr>
          <w:p w14:paraId="7B5380B0" w14:textId="685CCE7C" w:rsidR="00522DED" w:rsidRPr="002F5992" w:rsidRDefault="00377D65" w:rsidP="00377D65">
            <w:pPr>
              <w:spacing w:line="240" w:lineRule="auto"/>
              <w:rPr>
                <w:rFonts w:cs="Arial"/>
                <w:sz w:val="21"/>
                <w:szCs w:val="21"/>
              </w:rPr>
            </w:pPr>
            <w:r>
              <w:rPr>
                <w:rFonts w:cs="Arial"/>
                <w:sz w:val="21"/>
                <w:szCs w:val="21"/>
              </w:rPr>
              <w:t>Group 2</w:t>
            </w:r>
          </w:p>
        </w:tc>
        <w:tc>
          <w:tcPr>
            <w:tcW w:w="1524" w:type="dxa"/>
            <w:vAlign w:val="center"/>
          </w:tcPr>
          <w:p w14:paraId="4D7CE529" w14:textId="77777777" w:rsidR="00522DED" w:rsidRPr="001439FE" w:rsidRDefault="00522DED" w:rsidP="00B84EAA">
            <w:pPr>
              <w:pStyle w:val="TableParagraph"/>
              <w:spacing w:before="61"/>
              <w:ind w:right="95"/>
              <w:jc w:val="left"/>
              <w:rPr>
                <w:rFonts w:ascii="Arial" w:hAnsi="Arial" w:cs="Arial"/>
                <w:sz w:val="20"/>
                <w:szCs w:val="20"/>
              </w:rPr>
            </w:pPr>
            <w:r w:rsidRPr="001439FE">
              <w:rPr>
                <w:rFonts w:ascii="Arial" w:hAnsi="Arial" w:cs="Arial"/>
                <w:spacing w:val="-5"/>
                <w:w w:val="95"/>
                <w:sz w:val="20"/>
                <w:szCs w:val="20"/>
              </w:rPr>
              <w:t>53%</w:t>
            </w:r>
          </w:p>
        </w:tc>
        <w:tc>
          <w:tcPr>
            <w:tcW w:w="1524" w:type="dxa"/>
            <w:vAlign w:val="center"/>
          </w:tcPr>
          <w:p w14:paraId="4B702E3C" w14:textId="77777777" w:rsidR="00522DED" w:rsidRPr="001439FE" w:rsidRDefault="00522DED" w:rsidP="00B84EAA">
            <w:pPr>
              <w:pStyle w:val="TableParagraph"/>
              <w:spacing w:before="61"/>
              <w:ind w:right="96"/>
              <w:jc w:val="left"/>
              <w:rPr>
                <w:rFonts w:ascii="Arial" w:hAnsi="Arial" w:cs="Arial"/>
                <w:sz w:val="20"/>
                <w:szCs w:val="20"/>
              </w:rPr>
            </w:pPr>
            <w:r w:rsidRPr="001439FE">
              <w:rPr>
                <w:rFonts w:ascii="Arial" w:hAnsi="Arial" w:cs="Arial"/>
                <w:spacing w:val="-5"/>
                <w:sz w:val="20"/>
                <w:szCs w:val="20"/>
              </w:rPr>
              <w:t>45%</w:t>
            </w:r>
          </w:p>
        </w:tc>
        <w:tc>
          <w:tcPr>
            <w:tcW w:w="1524" w:type="dxa"/>
            <w:vAlign w:val="center"/>
          </w:tcPr>
          <w:p w14:paraId="29AA938F" w14:textId="77777777" w:rsidR="00522DED" w:rsidRPr="001439FE" w:rsidRDefault="00522DED" w:rsidP="00B84EAA">
            <w:pPr>
              <w:pStyle w:val="TableParagraph"/>
              <w:spacing w:before="61"/>
              <w:ind w:right="97"/>
              <w:jc w:val="left"/>
              <w:rPr>
                <w:rFonts w:ascii="Arial" w:hAnsi="Arial" w:cs="Arial"/>
                <w:sz w:val="20"/>
                <w:szCs w:val="20"/>
              </w:rPr>
            </w:pPr>
            <w:r w:rsidRPr="001439FE">
              <w:rPr>
                <w:rFonts w:ascii="Arial" w:hAnsi="Arial" w:cs="Arial"/>
                <w:spacing w:val="-5"/>
                <w:sz w:val="20"/>
                <w:szCs w:val="20"/>
              </w:rPr>
              <w:t>47%</w:t>
            </w:r>
          </w:p>
        </w:tc>
        <w:tc>
          <w:tcPr>
            <w:tcW w:w="1524" w:type="dxa"/>
            <w:vAlign w:val="center"/>
          </w:tcPr>
          <w:p w14:paraId="0FEB8DAC" w14:textId="77777777" w:rsidR="00522DED" w:rsidRPr="001439FE" w:rsidRDefault="00522DED" w:rsidP="00B84EAA">
            <w:pPr>
              <w:pStyle w:val="TableParagraph"/>
              <w:spacing w:before="61"/>
              <w:ind w:right="96"/>
              <w:jc w:val="left"/>
              <w:rPr>
                <w:rFonts w:ascii="Arial" w:hAnsi="Arial" w:cs="Arial"/>
                <w:sz w:val="20"/>
                <w:szCs w:val="20"/>
              </w:rPr>
            </w:pPr>
            <w:r w:rsidRPr="001439FE">
              <w:rPr>
                <w:rFonts w:ascii="Arial" w:hAnsi="Arial" w:cs="Arial"/>
                <w:spacing w:val="-5"/>
                <w:sz w:val="20"/>
                <w:szCs w:val="20"/>
              </w:rPr>
              <w:t>56%</w:t>
            </w:r>
          </w:p>
        </w:tc>
        <w:tc>
          <w:tcPr>
            <w:tcW w:w="1524" w:type="dxa"/>
            <w:vAlign w:val="center"/>
          </w:tcPr>
          <w:p w14:paraId="5AA6C637" w14:textId="77777777" w:rsidR="00522DED" w:rsidRPr="001439FE" w:rsidRDefault="00522DED" w:rsidP="00B84EAA">
            <w:pPr>
              <w:pStyle w:val="TableParagraph"/>
              <w:spacing w:before="61"/>
              <w:ind w:right="87"/>
              <w:jc w:val="left"/>
              <w:rPr>
                <w:rFonts w:ascii="Arial" w:hAnsi="Arial" w:cs="Arial"/>
                <w:sz w:val="20"/>
                <w:szCs w:val="20"/>
              </w:rPr>
            </w:pPr>
            <w:r w:rsidRPr="001439FE">
              <w:rPr>
                <w:rFonts w:ascii="Arial" w:hAnsi="Arial" w:cs="Arial"/>
                <w:spacing w:val="-5"/>
                <w:sz w:val="20"/>
                <w:szCs w:val="20"/>
              </w:rPr>
              <w:t>49%</w:t>
            </w:r>
          </w:p>
        </w:tc>
      </w:tr>
      <w:tr w:rsidR="00522DED" w:rsidRPr="002F5992" w14:paraId="23F2E138" w14:textId="77777777" w:rsidTr="00377D65">
        <w:trPr>
          <w:trHeight w:val="706"/>
        </w:trPr>
        <w:tc>
          <w:tcPr>
            <w:tcW w:w="1524" w:type="dxa"/>
            <w:vAlign w:val="center"/>
          </w:tcPr>
          <w:p w14:paraId="0EAF52EC" w14:textId="5BCEFD83" w:rsidR="00522DED" w:rsidRPr="002F5992" w:rsidRDefault="00377D65" w:rsidP="00377D65">
            <w:pPr>
              <w:spacing w:line="240" w:lineRule="auto"/>
              <w:rPr>
                <w:rFonts w:cs="Arial"/>
                <w:sz w:val="21"/>
                <w:szCs w:val="21"/>
              </w:rPr>
            </w:pPr>
            <w:r>
              <w:rPr>
                <w:rFonts w:cs="Arial"/>
                <w:sz w:val="21"/>
                <w:szCs w:val="21"/>
              </w:rPr>
              <w:t>Group 3</w:t>
            </w:r>
          </w:p>
        </w:tc>
        <w:tc>
          <w:tcPr>
            <w:tcW w:w="1524" w:type="dxa"/>
            <w:vAlign w:val="center"/>
          </w:tcPr>
          <w:p w14:paraId="770CE0E7" w14:textId="77777777" w:rsidR="00522DED" w:rsidRPr="001439FE" w:rsidRDefault="00522DED" w:rsidP="00B84EAA">
            <w:pPr>
              <w:pStyle w:val="TableParagraph"/>
              <w:spacing w:before="61"/>
              <w:ind w:right="95"/>
              <w:jc w:val="left"/>
              <w:rPr>
                <w:rFonts w:ascii="Arial" w:hAnsi="Arial" w:cs="Arial"/>
                <w:sz w:val="20"/>
                <w:szCs w:val="20"/>
              </w:rPr>
            </w:pPr>
            <w:r w:rsidRPr="001439FE">
              <w:rPr>
                <w:rFonts w:ascii="Arial" w:hAnsi="Arial" w:cs="Arial"/>
                <w:spacing w:val="-5"/>
                <w:w w:val="95"/>
                <w:sz w:val="20"/>
                <w:szCs w:val="20"/>
              </w:rPr>
              <w:t>75%</w:t>
            </w:r>
          </w:p>
        </w:tc>
        <w:tc>
          <w:tcPr>
            <w:tcW w:w="1524" w:type="dxa"/>
            <w:vAlign w:val="center"/>
          </w:tcPr>
          <w:p w14:paraId="441CEE76" w14:textId="77777777" w:rsidR="00522DED" w:rsidRPr="001439FE" w:rsidRDefault="00522DED" w:rsidP="00B84EAA">
            <w:pPr>
              <w:pStyle w:val="TableParagraph"/>
              <w:spacing w:before="61"/>
              <w:ind w:right="95"/>
              <w:jc w:val="left"/>
              <w:rPr>
                <w:rFonts w:ascii="Arial" w:hAnsi="Arial" w:cs="Arial"/>
                <w:sz w:val="20"/>
                <w:szCs w:val="20"/>
              </w:rPr>
            </w:pPr>
            <w:r w:rsidRPr="001439FE">
              <w:rPr>
                <w:rFonts w:ascii="Arial" w:hAnsi="Arial" w:cs="Arial"/>
                <w:spacing w:val="-5"/>
                <w:w w:val="95"/>
                <w:sz w:val="20"/>
                <w:szCs w:val="20"/>
              </w:rPr>
              <w:t>71%</w:t>
            </w:r>
          </w:p>
        </w:tc>
        <w:tc>
          <w:tcPr>
            <w:tcW w:w="1524" w:type="dxa"/>
            <w:vAlign w:val="center"/>
          </w:tcPr>
          <w:p w14:paraId="24F4F81D" w14:textId="77777777" w:rsidR="00522DED" w:rsidRPr="001439FE" w:rsidRDefault="00522DED" w:rsidP="00B84EAA">
            <w:pPr>
              <w:pStyle w:val="TableParagraph"/>
              <w:spacing w:before="61"/>
              <w:ind w:right="97"/>
              <w:jc w:val="left"/>
              <w:rPr>
                <w:rFonts w:ascii="Arial" w:hAnsi="Arial" w:cs="Arial"/>
                <w:sz w:val="20"/>
                <w:szCs w:val="20"/>
              </w:rPr>
            </w:pPr>
            <w:r w:rsidRPr="001439FE">
              <w:rPr>
                <w:rFonts w:ascii="Arial" w:hAnsi="Arial" w:cs="Arial"/>
                <w:spacing w:val="-5"/>
                <w:w w:val="95"/>
                <w:sz w:val="20"/>
                <w:szCs w:val="20"/>
              </w:rPr>
              <w:t>71%</w:t>
            </w:r>
          </w:p>
        </w:tc>
        <w:tc>
          <w:tcPr>
            <w:tcW w:w="1524" w:type="dxa"/>
            <w:vAlign w:val="center"/>
          </w:tcPr>
          <w:p w14:paraId="64DF42CE" w14:textId="77777777" w:rsidR="00522DED" w:rsidRPr="001439FE" w:rsidRDefault="00522DED" w:rsidP="00B84EAA">
            <w:pPr>
              <w:pStyle w:val="TableParagraph"/>
              <w:spacing w:before="61"/>
              <w:ind w:right="95"/>
              <w:jc w:val="left"/>
              <w:rPr>
                <w:rFonts w:ascii="Arial" w:hAnsi="Arial" w:cs="Arial"/>
                <w:sz w:val="20"/>
                <w:szCs w:val="20"/>
              </w:rPr>
            </w:pPr>
            <w:r w:rsidRPr="001439FE">
              <w:rPr>
                <w:rFonts w:ascii="Arial" w:hAnsi="Arial" w:cs="Arial"/>
                <w:spacing w:val="-5"/>
                <w:sz w:val="20"/>
                <w:szCs w:val="20"/>
              </w:rPr>
              <w:t>83%</w:t>
            </w:r>
          </w:p>
        </w:tc>
        <w:tc>
          <w:tcPr>
            <w:tcW w:w="1524" w:type="dxa"/>
            <w:vAlign w:val="center"/>
          </w:tcPr>
          <w:p w14:paraId="6412C39B" w14:textId="77777777" w:rsidR="00522DED" w:rsidRPr="001439FE" w:rsidRDefault="00522DED" w:rsidP="00B84EAA">
            <w:pPr>
              <w:pStyle w:val="TableParagraph"/>
              <w:spacing w:before="61"/>
              <w:ind w:right="83"/>
              <w:jc w:val="left"/>
              <w:rPr>
                <w:rFonts w:ascii="Arial" w:hAnsi="Arial" w:cs="Arial"/>
                <w:sz w:val="20"/>
                <w:szCs w:val="20"/>
              </w:rPr>
            </w:pPr>
            <w:r w:rsidRPr="001439FE">
              <w:rPr>
                <w:rFonts w:ascii="Arial" w:hAnsi="Arial" w:cs="Arial"/>
                <w:spacing w:val="-5"/>
                <w:w w:val="95"/>
                <w:sz w:val="20"/>
                <w:szCs w:val="20"/>
              </w:rPr>
              <w:t>75%</w:t>
            </w:r>
          </w:p>
        </w:tc>
      </w:tr>
      <w:tr w:rsidR="00522DED" w:rsidRPr="002F5992" w14:paraId="369061B2" w14:textId="77777777" w:rsidTr="00377D65">
        <w:trPr>
          <w:trHeight w:val="706"/>
        </w:trPr>
        <w:tc>
          <w:tcPr>
            <w:tcW w:w="1524" w:type="dxa"/>
            <w:vAlign w:val="center"/>
          </w:tcPr>
          <w:p w14:paraId="37B6F9AF" w14:textId="07BA1655" w:rsidR="00522DED" w:rsidRPr="002F5992" w:rsidRDefault="00377D65" w:rsidP="00377D65">
            <w:pPr>
              <w:spacing w:line="240" w:lineRule="auto"/>
              <w:rPr>
                <w:rFonts w:cs="Arial"/>
                <w:sz w:val="21"/>
                <w:szCs w:val="21"/>
              </w:rPr>
            </w:pPr>
            <w:r>
              <w:rPr>
                <w:rFonts w:cs="Arial"/>
                <w:sz w:val="21"/>
                <w:szCs w:val="21"/>
              </w:rPr>
              <w:t>Group 4</w:t>
            </w:r>
          </w:p>
        </w:tc>
        <w:tc>
          <w:tcPr>
            <w:tcW w:w="1524" w:type="dxa"/>
            <w:vAlign w:val="center"/>
          </w:tcPr>
          <w:p w14:paraId="01958E56" w14:textId="77777777" w:rsidR="00522DED" w:rsidRPr="001439FE" w:rsidRDefault="00522DED" w:rsidP="00B84EAA">
            <w:pPr>
              <w:pStyle w:val="TableParagraph"/>
              <w:spacing w:before="61"/>
              <w:ind w:right="98"/>
              <w:jc w:val="left"/>
              <w:rPr>
                <w:rFonts w:ascii="Arial" w:hAnsi="Arial" w:cs="Arial"/>
                <w:sz w:val="20"/>
                <w:szCs w:val="20"/>
              </w:rPr>
            </w:pPr>
            <w:r w:rsidRPr="001439FE">
              <w:rPr>
                <w:rFonts w:ascii="Arial" w:hAnsi="Arial" w:cs="Arial"/>
                <w:spacing w:val="-5"/>
                <w:sz w:val="20"/>
                <w:szCs w:val="20"/>
              </w:rPr>
              <w:t>56%</w:t>
            </w:r>
          </w:p>
        </w:tc>
        <w:tc>
          <w:tcPr>
            <w:tcW w:w="1524" w:type="dxa"/>
            <w:vAlign w:val="center"/>
          </w:tcPr>
          <w:p w14:paraId="618231F6" w14:textId="77777777" w:rsidR="00522DED" w:rsidRPr="001439FE" w:rsidRDefault="00522DED" w:rsidP="00B84EAA">
            <w:pPr>
              <w:pStyle w:val="TableParagraph"/>
              <w:spacing w:before="61"/>
              <w:ind w:right="98"/>
              <w:jc w:val="left"/>
              <w:rPr>
                <w:rFonts w:ascii="Arial" w:hAnsi="Arial" w:cs="Arial"/>
                <w:sz w:val="20"/>
                <w:szCs w:val="20"/>
              </w:rPr>
            </w:pPr>
            <w:r w:rsidRPr="001439FE">
              <w:rPr>
                <w:rFonts w:ascii="Arial" w:hAnsi="Arial" w:cs="Arial"/>
                <w:spacing w:val="-5"/>
                <w:sz w:val="20"/>
                <w:szCs w:val="20"/>
              </w:rPr>
              <w:t>44%</w:t>
            </w:r>
          </w:p>
        </w:tc>
        <w:tc>
          <w:tcPr>
            <w:tcW w:w="1524" w:type="dxa"/>
            <w:vAlign w:val="center"/>
          </w:tcPr>
          <w:p w14:paraId="5AC39776" w14:textId="77777777" w:rsidR="00522DED" w:rsidRPr="001439FE" w:rsidRDefault="00522DED" w:rsidP="00B84EAA">
            <w:pPr>
              <w:pStyle w:val="TableParagraph"/>
              <w:spacing w:before="61"/>
              <w:ind w:right="100"/>
              <w:jc w:val="left"/>
              <w:rPr>
                <w:rFonts w:ascii="Arial" w:hAnsi="Arial" w:cs="Arial"/>
                <w:sz w:val="20"/>
                <w:szCs w:val="20"/>
              </w:rPr>
            </w:pPr>
            <w:r w:rsidRPr="001439FE">
              <w:rPr>
                <w:rFonts w:ascii="Arial" w:hAnsi="Arial" w:cs="Arial"/>
                <w:spacing w:val="-5"/>
                <w:sz w:val="20"/>
                <w:szCs w:val="20"/>
              </w:rPr>
              <w:t>48%</w:t>
            </w:r>
          </w:p>
        </w:tc>
        <w:tc>
          <w:tcPr>
            <w:tcW w:w="1524" w:type="dxa"/>
            <w:vAlign w:val="center"/>
          </w:tcPr>
          <w:p w14:paraId="1C968128" w14:textId="77777777" w:rsidR="00522DED" w:rsidRPr="001439FE" w:rsidRDefault="00522DED" w:rsidP="00B84EAA">
            <w:pPr>
              <w:pStyle w:val="TableParagraph"/>
              <w:spacing w:before="61"/>
              <w:ind w:right="96"/>
              <w:jc w:val="left"/>
              <w:rPr>
                <w:rFonts w:ascii="Arial" w:hAnsi="Arial" w:cs="Arial"/>
                <w:sz w:val="20"/>
                <w:szCs w:val="20"/>
              </w:rPr>
            </w:pPr>
            <w:r w:rsidRPr="001439FE">
              <w:rPr>
                <w:rFonts w:ascii="Arial" w:hAnsi="Arial" w:cs="Arial"/>
                <w:spacing w:val="-5"/>
                <w:sz w:val="20"/>
                <w:szCs w:val="20"/>
              </w:rPr>
              <w:t>56%</w:t>
            </w:r>
          </w:p>
        </w:tc>
        <w:tc>
          <w:tcPr>
            <w:tcW w:w="1524" w:type="dxa"/>
            <w:vAlign w:val="center"/>
          </w:tcPr>
          <w:p w14:paraId="54E5959A" w14:textId="77777777" w:rsidR="00522DED" w:rsidRPr="001439FE" w:rsidRDefault="00522DED" w:rsidP="00B84EAA">
            <w:pPr>
              <w:pStyle w:val="TableParagraph"/>
              <w:spacing w:before="61"/>
              <w:ind w:right="84"/>
              <w:jc w:val="left"/>
              <w:rPr>
                <w:rFonts w:ascii="Arial" w:hAnsi="Arial" w:cs="Arial"/>
                <w:sz w:val="20"/>
                <w:szCs w:val="20"/>
              </w:rPr>
            </w:pPr>
            <w:r w:rsidRPr="001439FE">
              <w:rPr>
                <w:rFonts w:ascii="Arial" w:hAnsi="Arial" w:cs="Arial"/>
                <w:spacing w:val="-5"/>
                <w:sz w:val="20"/>
                <w:szCs w:val="20"/>
              </w:rPr>
              <w:t>54%</w:t>
            </w:r>
          </w:p>
        </w:tc>
      </w:tr>
      <w:tr w:rsidR="00522DED" w:rsidRPr="002F5992" w14:paraId="02AC574B" w14:textId="77777777" w:rsidTr="00377D65">
        <w:trPr>
          <w:trHeight w:val="250"/>
        </w:trPr>
        <w:tc>
          <w:tcPr>
            <w:tcW w:w="1524" w:type="dxa"/>
            <w:vAlign w:val="center"/>
          </w:tcPr>
          <w:p w14:paraId="5C00B318" w14:textId="77777777" w:rsidR="00522DED" w:rsidRPr="002F5992" w:rsidRDefault="00522DED" w:rsidP="00377D65">
            <w:pPr>
              <w:spacing w:line="240" w:lineRule="auto"/>
              <w:rPr>
                <w:rFonts w:cs="Arial"/>
                <w:sz w:val="21"/>
                <w:szCs w:val="21"/>
              </w:rPr>
            </w:pPr>
            <w:r w:rsidRPr="002F5992">
              <w:rPr>
                <w:rFonts w:cs="Arial"/>
                <w:sz w:val="21"/>
                <w:szCs w:val="21"/>
              </w:rPr>
              <w:t>All children, excluding those with known Special Needs</w:t>
            </w:r>
          </w:p>
        </w:tc>
        <w:tc>
          <w:tcPr>
            <w:tcW w:w="1524" w:type="dxa"/>
            <w:vAlign w:val="center"/>
          </w:tcPr>
          <w:p w14:paraId="21E379DC" w14:textId="77777777" w:rsidR="00522DED" w:rsidRPr="001439FE" w:rsidRDefault="00522DED" w:rsidP="00B84EAA">
            <w:pPr>
              <w:pStyle w:val="TableParagraph"/>
              <w:spacing w:before="61"/>
              <w:ind w:right="96"/>
              <w:jc w:val="left"/>
              <w:rPr>
                <w:rFonts w:ascii="Arial" w:hAnsi="Arial" w:cs="Arial"/>
                <w:sz w:val="20"/>
                <w:szCs w:val="20"/>
              </w:rPr>
            </w:pPr>
            <w:r w:rsidRPr="001439FE">
              <w:rPr>
                <w:rFonts w:ascii="Arial" w:hAnsi="Arial" w:cs="Arial"/>
                <w:spacing w:val="-5"/>
                <w:w w:val="95"/>
                <w:sz w:val="20"/>
                <w:szCs w:val="20"/>
              </w:rPr>
              <w:t>78%</w:t>
            </w:r>
          </w:p>
        </w:tc>
        <w:tc>
          <w:tcPr>
            <w:tcW w:w="1524" w:type="dxa"/>
            <w:vAlign w:val="center"/>
          </w:tcPr>
          <w:p w14:paraId="2EC6B41B" w14:textId="77777777" w:rsidR="00522DED" w:rsidRPr="001439FE" w:rsidRDefault="00522DED" w:rsidP="00B84EAA">
            <w:pPr>
              <w:pStyle w:val="TableParagraph"/>
              <w:spacing w:before="61"/>
              <w:ind w:right="95"/>
              <w:jc w:val="left"/>
              <w:rPr>
                <w:rFonts w:ascii="Arial" w:hAnsi="Arial" w:cs="Arial"/>
                <w:sz w:val="20"/>
                <w:szCs w:val="20"/>
              </w:rPr>
            </w:pPr>
            <w:r w:rsidRPr="001439FE">
              <w:rPr>
                <w:rFonts w:ascii="Arial" w:hAnsi="Arial" w:cs="Arial"/>
                <w:spacing w:val="-5"/>
                <w:sz w:val="20"/>
                <w:szCs w:val="20"/>
              </w:rPr>
              <w:t>76%</w:t>
            </w:r>
          </w:p>
        </w:tc>
        <w:tc>
          <w:tcPr>
            <w:tcW w:w="1524" w:type="dxa"/>
            <w:vAlign w:val="center"/>
          </w:tcPr>
          <w:p w14:paraId="17F838B7" w14:textId="77777777" w:rsidR="00522DED" w:rsidRPr="001439FE" w:rsidRDefault="00522DED" w:rsidP="00B84EAA">
            <w:pPr>
              <w:pStyle w:val="TableParagraph"/>
              <w:spacing w:before="61"/>
              <w:ind w:right="96"/>
              <w:jc w:val="left"/>
              <w:rPr>
                <w:rFonts w:ascii="Arial" w:hAnsi="Arial" w:cs="Arial"/>
                <w:sz w:val="20"/>
                <w:szCs w:val="20"/>
              </w:rPr>
            </w:pPr>
            <w:r w:rsidRPr="001439FE">
              <w:rPr>
                <w:rFonts w:ascii="Arial" w:hAnsi="Arial" w:cs="Arial"/>
                <w:spacing w:val="-5"/>
                <w:w w:val="95"/>
                <w:sz w:val="20"/>
                <w:szCs w:val="20"/>
              </w:rPr>
              <w:t>77%</w:t>
            </w:r>
          </w:p>
        </w:tc>
        <w:tc>
          <w:tcPr>
            <w:tcW w:w="1524" w:type="dxa"/>
            <w:vAlign w:val="center"/>
          </w:tcPr>
          <w:p w14:paraId="28A49435" w14:textId="77777777" w:rsidR="00522DED" w:rsidRPr="001439FE" w:rsidRDefault="00522DED" w:rsidP="00B84EAA">
            <w:pPr>
              <w:pStyle w:val="TableParagraph"/>
              <w:spacing w:before="61"/>
              <w:ind w:right="95"/>
              <w:jc w:val="left"/>
              <w:rPr>
                <w:rFonts w:ascii="Arial" w:hAnsi="Arial" w:cs="Arial"/>
                <w:sz w:val="20"/>
                <w:szCs w:val="20"/>
              </w:rPr>
            </w:pPr>
            <w:r w:rsidRPr="001439FE">
              <w:rPr>
                <w:rFonts w:ascii="Arial" w:hAnsi="Arial" w:cs="Arial"/>
                <w:spacing w:val="-5"/>
                <w:sz w:val="20"/>
                <w:szCs w:val="20"/>
              </w:rPr>
              <w:t>83%</w:t>
            </w:r>
          </w:p>
        </w:tc>
        <w:tc>
          <w:tcPr>
            <w:tcW w:w="1524" w:type="dxa"/>
            <w:vAlign w:val="center"/>
          </w:tcPr>
          <w:p w14:paraId="4CD672EB" w14:textId="77777777" w:rsidR="00522DED" w:rsidRPr="001439FE" w:rsidRDefault="00522DED" w:rsidP="00B84EAA">
            <w:pPr>
              <w:pStyle w:val="TableParagraph"/>
              <w:spacing w:before="61"/>
              <w:ind w:right="84"/>
              <w:jc w:val="left"/>
              <w:rPr>
                <w:rFonts w:ascii="Arial" w:hAnsi="Arial" w:cs="Arial"/>
                <w:sz w:val="20"/>
                <w:szCs w:val="20"/>
              </w:rPr>
            </w:pPr>
            <w:r w:rsidRPr="001439FE">
              <w:rPr>
                <w:rFonts w:ascii="Arial" w:hAnsi="Arial" w:cs="Arial"/>
                <w:spacing w:val="-5"/>
                <w:w w:val="95"/>
                <w:sz w:val="20"/>
                <w:szCs w:val="20"/>
              </w:rPr>
              <w:t>77%</w:t>
            </w:r>
          </w:p>
        </w:tc>
      </w:tr>
    </w:tbl>
    <w:p w14:paraId="56C10CFE" w14:textId="77777777" w:rsidR="00611F08" w:rsidRPr="001956C8" w:rsidRDefault="00611F08" w:rsidP="00972DB0">
      <w:pPr>
        <w:spacing w:before="0" w:line="259" w:lineRule="auto"/>
        <w:rPr>
          <w:rFonts w:cs="Arial"/>
          <w:color w:val="000000" w:themeColor="text1"/>
        </w:rPr>
      </w:pPr>
    </w:p>
    <w:p w14:paraId="1E7F9D44" w14:textId="77777777" w:rsidR="00BB7E11" w:rsidRDefault="00BB7E11">
      <w:pPr>
        <w:spacing w:before="0" w:line="259" w:lineRule="auto"/>
        <w:rPr>
          <w:b/>
          <w:bCs/>
        </w:rPr>
      </w:pPr>
      <w:bookmarkStart w:id="5" w:name="_Toc118891261"/>
      <w:bookmarkStart w:id="6" w:name="_Toc119931766"/>
      <w:bookmarkStart w:id="7" w:name="_Toc131680323"/>
      <w:r>
        <w:rPr>
          <w:b/>
          <w:bCs/>
        </w:rPr>
        <w:br w:type="page"/>
      </w:r>
    </w:p>
    <w:p w14:paraId="3F6EFCFC" w14:textId="3D20C041" w:rsidR="00C7697E" w:rsidRPr="00FA26C6" w:rsidRDefault="00C7697E" w:rsidP="00FA26C6">
      <w:pPr>
        <w:rPr>
          <w:b/>
          <w:bCs/>
        </w:rPr>
      </w:pPr>
      <w:r w:rsidRPr="00FA26C6">
        <w:rPr>
          <w:b/>
          <w:bCs/>
        </w:rPr>
        <w:lastRenderedPageBreak/>
        <w:t>CYDA’s</w:t>
      </w:r>
      <w:r w:rsidR="00A35988">
        <w:rPr>
          <w:b/>
          <w:bCs/>
        </w:rPr>
        <w:t xml:space="preserve"> Early Childhood Education and Care</w:t>
      </w:r>
      <w:r w:rsidRPr="00FA26C6">
        <w:rPr>
          <w:b/>
          <w:bCs/>
        </w:rPr>
        <w:t xml:space="preserve"> </w:t>
      </w:r>
      <w:r w:rsidR="00A35988">
        <w:rPr>
          <w:b/>
          <w:bCs/>
        </w:rPr>
        <w:t>(</w:t>
      </w:r>
      <w:r w:rsidRPr="00FA26C6">
        <w:rPr>
          <w:b/>
          <w:bCs/>
        </w:rPr>
        <w:t>ECEC</w:t>
      </w:r>
      <w:r w:rsidR="00A35988">
        <w:rPr>
          <w:b/>
          <w:bCs/>
        </w:rPr>
        <w:t>)</w:t>
      </w:r>
      <w:r w:rsidRPr="00FA26C6">
        <w:rPr>
          <w:b/>
          <w:bCs/>
        </w:rPr>
        <w:t xml:space="preserve"> Survey 2022</w:t>
      </w:r>
      <w:bookmarkEnd w:id="5"/>
      <w:bookmarkEnd w:id="6"/>
      <w:bookmarkEnd w:id="7"/>
    </w:p>
    <w:p w14:paraId="1FEC172E" w14:textId="77777777" w:rsidR="00C7697E" w:rsidRDefault="00C7697E" w:rsidP="00C7697E">
      <w:pPr>
        <w:spacing w:line="276" w:lineRule="auto"/>
        <w:jc w:val="both"/>
        <w:rPr>
          <w:rFonts w:cs="Arial"/>
        </w:rPr>
      </w:pPr>
      <w:r w:rsidRPr="00A7784E">
        <w:rPr>
          <w:rFonts w:cs="Arial"/>
        </w:rPr>
        <w:t xml:space="preserve">CYDA has been gathering feedback on educational experiences from its members via formal surveys since 2010. These surveys have consistently found that students with disability are excluded in their education. </w:t>
      </w:r>
      <w:r>
        <w:rPr>
          <w:rFonts w:cs="Arial"/>
        </w:rPr>
        <w:t xml:space="preserve">CYDA introduced an ECEC-specific </w:t>
      </w:r>
      <w:r w:rsidRPr="00A7784E">
        <w:rPr>
          <w:rFonts w:cs="Arial"/>
        </w:rPr>
        <w:t>survey</w:t>
      </w:r>
      <w:r>
        <w:rPr>
          <w:rFonts w:cs="Arial"/>
        </w:rPr>
        <w:t xml:space="preserve"> (as part of a suite of education surveys undertaken in 2022) </w:t>
      </w:r>
      <w:r w:rsidRPr="00A7784E">
        <w:rPr>
          <w:rFonts w:cs="Arial"/>
        </w:rPr>
        <w:t>to understand whether the same kinds of issues are experienced in early childhood education and care settings.</w:t>
      </w:r>
    </w:p>
    <w:p w14:paraId="3F420C10" w14:textId="1EFA9503" w:rsidR="00C7697E" w:rsidRDefault="00C7697E" w:rsidP="00C7697E">
      <w:pPr>
        <w:spacing w:line="276" w:lineRule="auto"/>
        <w:jc w:val="both"/>
        <w:rPr>
          <w:rFonts w:cs="Arial"/>
        </w:rPr>
      </w:pPr>
      <w:r w:rsidRPr="001B5D43">
        <w:rPr>
          <w:rFonts w:cs="Arial"/>
        </w:rPr>
        <w:t xml:space="preserve">The results of CYDA’s ECEC Survey 2022 are shared in the </w:t>
      </w:r>
      <w:hyperlink r:id="rId34" w:history="1">
        <w:r w:rsidRPr="00442B36">
          <w:rPr>
            <w:rStyle w:val="Hyperlink"/>
            <w:rFonts w:cs="Arial"/>
          </w:rPr>
          <w:t>report</w:t>
        </w:r>
      </w:hyperlink>
      <w:r>
        <w:rPr>
          <w:rFonts w:cs="Arial"/>
        </w:rPr>
        <w:t xml:space="preserve">: </w:t>
      </w:r>
      <w:r w:rsidRPr="001B5D43">
        <w:rPr>
          <w:rFonts w:cs="Arial"/>
        </w:rPr>
        <w:t>“</w:t>
      </w:r>
      <w:r w:rsidRPr="001B5D43">
        <w:rPr>
          <w:rFonts w:cs="Arial"/>
          <w:i/>
          <w:iCs/>
        </w:rPr>
        <w:t>Taking the first step in an inclusive life - experiences of Australian early childhood education and care</w:t>
      </w:r>
      <w:r w:rsidRPr="001B5D43">
        <w:rPr>
          <w:rFonts w:cs="Arial"/>
        </w:rPr>
        <w:t>”.</w:t>
      </w:r>
      <w:r>
        <w:rPr>
          <w:rStyle w:val="FootnoteReference"/>
          <w:rFonts w:cs="Arial"/>
        </w:rPr>
        <w:footnoteReference w:id="10"/>
      </w:r>
      <w:r w:rsidRPr="001B5D43">
        <w:rPr>
          <w:rFonts w:cs="Arial"/>
        </w:rPr>
        <w:t xml:space="preserve"> This survey</w:t>
      </w:r>
      <w:r>
        <w:rPr>
          <w:rFonts w:cs="Arial"/>
        </w:rPr>
        <w:t xml:space="preserve"> (which included majority responses from family members of children and young people with disability)</w:t>
      </w:r>
      <w:r w:rsidRPr="001B5D43">
        <w:rPr>
          <w:rFonts w:cs="Arial"/>
        </w:rPr>
        <w:t xml:space="preserve"> provides vital information on children and families experiences including</w:t>
      </w:r>
      <w:r>
        <w:rPr>
          <w:rFonts w:cs="Arial"/>
        </w:rPr>
        <w:t>;</w:t>
      </w:r>
    </w:p>
    <w:p w14:paraId="63D59F2C" w14:textId="77777777" w:rsidR="00C7697E" w:rsidRDefault="00C7697E" w:rsidP="00C7697E">
      <w:pPr>
        <w:pStyle w:val="ListParagraph"/>
        <w:numPr>
          <w:ilvl w:val="0"/>
          <w:numId w:val="41"/>
        </w:numPr>
        <w:spacing w:before="0" w:line="276" w:lineRule="auto"/>
        <w:jc w:val="both"/>
        <w:rPr>
          <w:rFonts w:cs="Arial"/>
        </w:rPr>
      </w:pPr>
      <w:r>
        <w:rPr>
          <w:rFonts w:cs="Arial"/>
        </w:rPr>
        <w:t>Early childhood education</w:t>
      </w:r>
      <w:r w:rsidRPr="001B5D43">
        <w:rPr>
          <w:rFonts w:cs="Arial"/>
        </w:rPr>
        <w:t xml:space="preserve"> settings accessed, </w:t>
      </w:r>
    </w:p>
    <w:p w14:paraId="15484144" w14:textId="77777777" w:rsidR="00C7697E" w:rsidRDefault="00C7697E" w:rsidP="00C7697E">
      <w:pPr>
        <w:pStyle w:val="ListParagraph"/>
        <w:numPr>
          <w:ilvl w:val="0"/>
          <w:numId w:val="41"/>
        </w:numPr>
        <w:spacing w:before="0" w:line="276" w:lineRule="auto"/>
        <w:jc w:val="both"/>
        <w:rPr>
          <w:rFonts w:cs="Arial"/>
        </w:rPr>
      </w:pPr>
      <w:r w:rsidRPr="001B5D43">
        <w:rPr>
          <w:rFonts w:cs="Arial"/>
        </w:rPr>
        <w:t>supports received by young children, and</w:t>
      </w:r>
      <w:r>
        <w:rPr>
          <w:rFonts w:cs="Arial"/>
        </w:rPr>
        <w:t xml:space="preserve">; </w:t>
      </w:r>
    </w:p>
    <w:p w14:paraId="0FFC7EDC" w14:textId="77777777" w:rsidR="00C7697E" w:rsidRDefault="00C7697E" w:rsidP="00C7697E">
      <w:pPr>
        <w:pStyle w:val="ListParagraph"/>
        <w:numPr>
          <w:ilvl w:val="0"/>
          <w:numId w:val="41"/>
        </w:numPr>
        <w:spacing w:before="0" w:after="0" w:line="276" w:lineRule="auto"/>
        <w:jc w:val="both"/>
        <w:rPr>
          <w:rFonts w:cs="Arial"/>
          <w:noProof/>
        </w:rPr>
      </w:pPr>
      <w:r w:rsidRPr="00E33A36">
        <w:rPr>
          <w:rFonts w:cs="Arial"/>
        </w:rPr>
        <w:t>outlines</w:t>
      </w:r>
      <w:r w:rsidRPr="001B5D43">
        <w:rPr>
          <w:rFonts w:cs="Arial"/>
        </w:rPr>
        <w:t xml:space="preserve"> areas of concern. </w:t>
      </w:r>
    </w:p>
    <w:p w14:paraId="649B7764" w14:textId="7BD5A987" w:rsidR="00C7697E" w:rsidRDefault="00C7697E" w:rsidP="00C7697E">
      <w:pPr>
        <w:spacing w:after="0" w:line="276" w:lineRule="auto"/>
        <w:jc w:val="both"/>
        <w:rPr>
          <w:rFonts w:cs="Arial"/>
        </w:rPr>
      </w:pPr>
      <w:r w:rsidRPr="00940C74">
        <w:rPr>
          <w:rFonts w:cs="Arial"/>
        </w:rPr>
        <w:t>Despite the majority of respondents</w:t>
      </w:r>
      <w:r w:rsidR="00A35681">
        <w:rPr>
          <w:rFonts w:cs="Arial"/>
        </w:rPr>
        <w:t xml:space="preserve"> (83%)</w:t>
      </w:r>
      <w:r w:rsidRPr="00940C74">
        <w:rPr>
          <w:rFonts w:cs="Arial"/>
        </w:rPr>
        <w:t xml:space="preserve"> indicating that their child was welcomed in ECEC settings, </w:t>
      </w:r>
      <w:r>
        <w:rPr>
          <w:rFonts w:cs="Arial"/>
        </w:rPr>
        <w:t>such</w:t>
      </w:r>
      <w:r w:rsidRPr="00940C74">
        <w:rPr>
          <w:rFonts w:cs="Arial"/>
        </w:rPr>
        <w:t xml:space="preserve"> positive experiences are overshadowed by </w:t>
      </w:r>
      <w:r>
        <w:rPr>
          <w:rFonts w:cs="Arial"/>
        </w:rPr>
        <w:t xml:space="preserve">concerning reports </w:t>
      </w:r>
      <w:r w:rsidRPr="00940C74">
        <w:rPr>
          <w:rFonts w:cs="Arial"/>
        </w:rPr>
        <w:t>of bullying, exclusion and limitations to engagement activities as the following results indicate</w:t>
      </w:r>
      <w:r>
        <w:rPr>
          <w:rFonts w:cs="Arial"/>
        </w:rPr>
        <w:t>:</w:t>
      </w:r>
    </w:p>
    <w:p w14:paraId="3B401D62" w14:textId="77777777" w:rsidR="00C7697E" w:rsidRPr="005427C4" w:rsidRDefault="00C7697E" w:rsidP="00C7697E">
      <w:pPr>
        <w:spacing w:after="0" w:line="276" w:lineRule="auto"/>
        <w:jc w:val="both"/>
        <w:rPr>
          <w:rFonts w:cs="Arial"/>
          <w:noProof/>
        </w:rPr>
      </w:pPr>
      <w:r w:rsidRPr="005427C4">
        <w:rPr>
          <w:rFonts w:cs="Arial"/>
          <w:noProof/>
        </w:rPr>
        <w:t xml:space="preserve"> </w:t>
      </w:r>
    </w:p>
    <w:p w14:paraId="4FDF3A7E" w14:textId="77777777" w:rsidR="00C7697E" w:rsidRPr="00A236B9" w:rsidRDefault="00C7697E" w:rsidP="004209C9">
      <w:pPr>
        <w:pStyle w:val="ListParagraph"/>
        <w:numPr>
          <w:ilvl w:val="0"/>
          <w:numId w:val="49"/>
        </w:numPr>
        <w:spacing w:before="0" w:line="276" w:lineRule="auto"/>
        <w:jc w:val="both"/>
        <w:rPr>
          <w:rStyle w:val="Emphasis"/>
          <w:i w:val="0"/>
          <w:iCs w:val="0"/>
        </w:rPr>
      </w:pPr>
      <w:r w:rsidRPr="00A236B9">
        <w:rPr>
          <w:rStyle w:val="Emphasis"/>
          <w:i w:val="0"/>
          <w:iCs w:val="0"/>
        </w:rPr>
        <w:t>Nearly 30% reported exclusion from excursions, events or activities and about the same number reported bullying from other children or staff</w:t>
      </w:r>
    </w:p>
    <w:p w14:paraId="41D3C0F3" w14:textId="77777777" w:rsidR="00C7697E" w:rsidRPr="00A236B9" w:rsidRDefault="00C7697E" w:rsidP="004209C9">
      <w:pPr>
        <w:pStyle w:val="ListParagraph"/>
        <w:numPr>
          <w:ilvl w:val="0"/>
          <w:numId w:val="49"/>
        </w:numPr>
        <w:spacing w:before="0" w:line="276" w:lineRule="auto"/>
        <w:jc w:val="both"/>
        <w:rPr>
          <w:rStyle w:val="Emphasis"/>
          <w:i w:val="0"/>
          <w:iCs w:val="0"/>
        </w:rPr>
      </w:pPr>
      <w:r w:rsidRPr="00A236B9">
        <w:rPr>
          <w:rStyle w:val="Emphasis"/>
          <w:i w:val="0"/>
          <w:iCs w:val="0"/>
        </w:rPr>
        <w:t xml:space="preserve">One in five reported that their child had been refused enrolment </w:t>
      </w:r>
    </w:p>
    <w:p w14:paraId="739E078F" w14:textId="77777777" w:rsidR="00C7697E" w:rsidRPr="00A236B9" w:rsidRDefault="00C7697E" w:rsidP="004209C9">
      <w:pPr>
        <w:pStyle w:val="ListParagraph"/>
        <w:numPr>
          <w:ilvl w:val="0"/>
          <w:numId w:val="49"/>
        </w:numPr>
        <w:spacing w:before="0" w:line="276" w:lineRule="auto"/>
        <w:jc w:val="both"/>
        <w:rPr>
          <w:rStyle w:val="Emphasis"/>
          <w:i w:val="0"/>
          <w:iCs w:val="0"/>
        </w:rPr>
      </w:pPr>
      <w:r w:rsidRPr="00A236B9">
        <w:rPr>
          <w:rStyle w:val="Emphasis"/>
          <w:i w:val="0"/>
          <w:iCs w:val="0"/>
        </w:rPr>
        <w:t>Nearly a quarter said their child had been limited in the number of hours they were allowed to attend</w:t>
      </w:r>
    </w:p>
    <w:p w14:paraId="4A410639" w14:textId="35F07AB6" w:rsidR="0006024A" w:rsidRDefault="0006358E" w:rsidP="00FA26C6">
      <w:pPr>
        <w:rPr>
          <w:rStyle w:val="Emphasis"/>
          <w:b/>
          <w:bCs/>
          <w:i w:val="0"/>
          <w:iCs w:val="0"/>
        </w:rPr>
      </w:pPr>
      <w:r>
        <w:rPr>
          <w:rStyle w:val="Emphasis"/>
          <w:b/>
          <w:bCs/>
          <w:i w:val="0"/>
          <w:iCs w:val="0"/>
        </w:rPr>
        <w:t>CYDA’s previous work</w:t>
      </w:r>
    </w:p>
    <w:p w14:paraId="3D7EE002" w14:textId="631DDB63" w:rsidR="00FF4D09" w:rsidRDefault="00745D12" w:rsidP="00FA26C6">
      <w:pPr>
        <w:rPr>
          <w:rStyle w:val="Emphasis"/>
          <w:i w:val="0"/>
          <w:iCs w:val="0"/>
        </w:rPr>
      </w:pPr>
      <w:r w:rsidRPr="00745D12">
        <w:rPr>
          <w:rStyle w:val="Emphasis"/>
          <w:i w:val="0"/>
          <w:iCs w:val="0"/>
        </w:rPr>
        <w:t>CYDA’s work is rights-based and led by the direct experiences and diverse voices and visions of children and young people with disability across Australia. CYDA grounds its work in evidence and a human rights approach.</w:t>
      </w:r>
      <w:r w:rsidR="003F687C">
        <w:rPr>
          <w:rStyle w:val="Emphasis"/>
          <w:i w:val="0"/>
          <w:iCs w:val="0"/>
        </w:rPr>
        <w:t xml:space="preserve"> Our previous work, including policy </w:t>
      </w:r>
      <w:r w:rsidR="00522C43">
        <w:rPr>
          <w:rStyle w:val="Emphasis"/>
          <w:i w:val="0"/>
          <w:iCs w:val="0"/>
        </w:rPr>
        <w:t>submissions</w:t>
      </w:r>
      <w:r w:rsidR="003F687C">
        <w:rPr>
          <w:rStyle w:val="Emphasis"/>
          <w:i w:val="0"/>
          <w:iCs w:val="0"/>
        </w:rPr>
        <w:t>, reports, collaborat</w:t>
      </w:r>
      <w:r w:rsidR="002D5AD2">
        <w:rPr>
          <w:rStyle w:val="Emphasis"/>
          <w:i w:val="0"/>
          <w:iCs w:val="0"/>
        </w:rPr>
        <w:t>i</w:t>
      </w:r>
      <w:r w:rsidR="00522C43">
        <w:rPr>
          <w:rStyle w:val="Emphasis"/>
          <w:i w:val="0"/>
          <w:iCs w:val="0"/>
        </w:rPr>
        <w:t xml:space="preserve">ve work </w:t>
      </w:r>
      <w:r w:rsidR="002D5AD2">
        <w:rPr>
          <w:rStyle w:val="Emphasis"/>
          <w:i w:val="0"/>
          <w:iCs w:val="0"/>
        </w:rPr>
        <w:t xml:space="preserve">with other </w:t>
      </w:r>
      <w:r w:rsidR="00522C43">
        <w:rPr>
          <w:rStyle w:val="Emphasis"/>
          <w:i w:val="0"/>
          <w:iCs w:val="0"/>
        </w:rPr>
        <w:t>organisations</w:t>
      </w:r>
      <w:r w:rsidR="00353F98">
        <w:rPr>
          <w:rStyle w:val="Emphasis"/>
          <w:i w:val="0"/>
          <w:iCs w:val="0"/>
        </w:rPr>
        <w:t>,</w:t>
      </w:r>
      <w:r w:rsidR="002D5AD2">
        <w:rPr>
          <w:rStyle w:val="Emphasis"/>
          <w:i w:val="0"/>
          <w:iCs w:val="0"/>
        </w:rPr>
        <w:t xml:space="preserve"> the development of fact </w:t>
      </w:r>
      <w:r w:rsidR="00522C43">
        <w:rPr>
          <w:rStyle w:val="Emphasis"/>
          <w:i w:val="0"/>
          <w:iCs w:val="0"/>
        </w:rPr>
        <w:t>sheets</w:t>
      </w:r>
      <w:r w:rsidR="002D5AD2">
        <w:rPr>
          <w:rStyle w:val="Emphasis"/>
          <w:i w:val="0"/>
          <w:iCs w:val="0"/>
        </w:rPr>
        <w:t xml:space="preserve"> and early childhood resources </w:t>
      </w:r>
      <w:r w:rsidR="00522C43">
        <w:rPr>
          <w:rStyle w:val="Emphasis"/>
          <w:i w:val="0"/>
          <w:iCs w:val="0"/>
        </w:rPr>
        <w:t xml:space="preserve">are detailed in </w:t>
      </w:r>
      <w:r w:rsidR="00A01D46">
        <w:rPr>
          <w:rStyle w:val="Emphasis"/>
          <w:i w:val="0"/>
          <w:iCs w:val="0"/>
        </w:rPr>
        <w:t xml:space="preserve">the </w:t>
      </w:r>
      <w:r w:rsidR="00522C43">
        <w:rPr>
          <w:rStyle w:val="Emphasis"/>
          <w:i w:val="0"/>
          <w:iCs w:val="0"/>
        </w:rPr>
        <w:t>Appendix</w:t>
      </w:r>
      <w:r w:rsidR="00F459C4">
        <w:rPr>
          <w:rStyle w:val="Emphasis"/>
          <w:i w:val="0"/>
          <w:iCs w:val="0"/>
        </w:rPr>
        <w:t xml:space="preserve"> 1</w:t>
      </w:r>
      <w:r w:rsidR="00A01D46">
        <w:rPr>
          <w:rStyle w:val="Emphasis"/>
          <w:i w:val="0"/>
          <w:iCs w:val="0"/>
        </w:rPr>
        <w:t>.</w:t>
      </w:r>
    </w:p>
    <w:p w14:paraId="7762D0A5" w14:textId="5550D41B" w:rsidR="00F459C4" w:rsidRDefault="00F459C4">
      <w:pPr>
        <w:spacing w:before="0" w:line="259" w:lineRule="auto"/>
        <w:rPr>
          <w:rStyle w:val="Emphasis"/>
          <w:i w:val="0"/>
          <w:iCs w:val="0"/>
        </w:rPr>
      </w:pPr>
      <w:r>
        <w:rPr>
          <w:rStyle w:val="Emphasis"/>
          <w:i w:val="0"/>
          <w:iCs w:val="0"/>
        </w:rPr>
        <w:br w:type="page"/>
      </w:r>
    </w:p>
    <w:p w14:paraId="18E5F989" w14:textId="77777777" w:rsidR="000A5790" w:rsidRDefault="000A5790">
      <w:pPr>
        <w:spacing w:before="0" w:line="259" w:lineRule="auto"/>
        <w:rPr>
          <w:rStyle w:val="Emphasis"/>
          <w:i w:val="0"/>
          <w:iCs w:val="0"/>
        </w:rPr>
      </w:pPr>
    </w:p>
    <w:p w14:paraId="5F5621E6" w14:textId="47648C2F" w:rsidR="00183E52" w:rsidRDefault="00183E52" w:rsidP="00183E52">
      <w:pPr>
        <w:pStyle w:val="Heading1"/>
        <w:spacing w:after="240"/>
      </w:pPr>
      <w:bookmarkStart w:id="8" w:name="_Toc133675140"/>
      <w:r>
        <w:t xml:space="preserve">Challenges with delivering on the early </w:t>
      </w:r>
      <w:r w:rsidR="005A2B7E">
        <w:t>years strateg</w:t>
      </w:r>
      <w:r w:rsidR="007D43DC">
        <w:t>y and vision</w:t>
      </w:r>
      <w:bookmarkEnd w:id="8"/>
    </w:p>
    <w:p w14:paraId="065F5D29" w14:textId="77777777" w:rsidR="00183E52" w:rsidRDefault="00183E52" w:rsidP="00183E52">
      <w:pPr>
        <w:jc w:val="both"/>
        <w:rPr>
          <w:rFonts w:cs="Arial"/>
          <w:color w:val="000000"/>
          <w:shd w:val="clear" w:color="auto" w:fill="FFFFFF"/>
        </w:rPr>
      </w:pPr>
      <w:r>
        <w:rPr>
          <w:rFonts w:cs="Arial"/>
          <w:color w:val="000000"/>
          <w:shd w:val="clear" w:color="auto" w:fill="FFFFFF"/>
        </w:rPr>
        <w:t xml:space="preserve">The people, places and systems that relate to early childhood including— maternity hospitals, playgroups, early childhood education and care settings, child health, family support, the NDIS early childhood approach, housing, social services and child protection – are somewhat disconnected. </w:t>
      </w:r>
    </w:p>
    <w:p w14:paraId="138590E4" w14:textId="77777777" w:rsidR="00183E52" w:rsidRDefault="00183E52" w:rsidP="00183E52">
      <w:pPr>
        <w:jc w:val="both"/>
        <w:rPr>
          <w:rFonts w:cs="Arial"/>
          <w:color w:val="000000"/>
          <w:shd w:val="clear" w:color="auto" w:fill="FFFFFF"/>
        </w:rPr>
      </w:pPr>
      <w:r>
        <w:rPr>
          <w:rFonts w:cs="Arial"/>
          <w:color w:val="000000"/>
          <w:shd w:val="clear" w:color="auto" w:fill="FFFFFF"/>
        </w:rPr>
        <w:t xml:space="preserve">These systems span federal and state/territory governments, and separate ministries and departments within governments. This complexity is confusing for families and caregivers to navigate and children risk falling between the gaps of a fragmented system. </w:t>
      </w:r>
    </w:p>
    <w:p w14:paraId="067CCB75" w14:textId="6B1344FD" w:rsidR="00CB60F7" w:rsidRPr="00CB60F7" w:rsidRDefault="00CB60F7" w:rsidP="00CB60F7">
      <w:pPr>
        <w:spacing w:before="0" w:line="276" w:lineRule="auto"/>
        <w:ind w:right="95"/>
        <w:jc w:val="both"/>
        <w:rPr>
          <w:b/>
          <w:bCs/>
        </w:rPr>
      </w:pPr>
      <w:r w:rsidRPr="00CB60F7">
        <w:rPr>
          <w:b/>
          <w:bCs/>
        </w:rPr>
        <w:t>Challenges to be addressed</w:t>
      </w:r>
      <w:r w:rsidR="00AF69AF">
        <w:rPr>
          <w:b/>
          <w:bCs/>
        </w:rPr>
        <w:t>:</w:t>
      </w:r>
    </w:p>
    <w:p w14:paraId="4E416384" w14:textId="5953FF7A" w:rsidR="00183E52" w:rsidRDefault="00183E52" w:rsidP="00183E52">
      <w:pPr>
        <w:pStyle w:val="ListParagraph"/>
        <w:numPr>
          <w:ilvl w:val="0"/>
          <w:numId w:val="26"/>
        </w:numPr>
        <w:spacing w:before="0" w:line="276" w:lineRule="auto"/>
        <w:ind w:right="95"/>
        <w:jc w:val="both"/>
      </w:pPr>
      <w:r>
        <w:t>Lack of voice and agency for children and young people with disability</w:t>
      </w:r>
    </w:p>
    <w:p w14:paraId="3D93ADD9" w14:textId="77777777" w:rsidR="00183E52" w:rsidRDefault="00183E52" w:rsidP="00183E52">
      <w:pPr>
        <w:pStyle w:val="ListParagraph"/>
        <w:numPr>
          <w:ilvl w:val="0"/>
          <w:numId w:val="26"/>
        </w:numPr>
        <w:spacing w:before="240" w:line="276" w:lineRule="auto"/>
        <w:ind w:right="95"/>
        <w:jc w:val="both"/>
      </w:pPr>
      <w:r>
        <w:t xml:space="preserve">Workforce burden; largely underpaid and under resourced  </w:t>
      </w:r>
    </w:p>
    <w:p w14:paraId="65813113" w14:textId="77777777" w:rsidR="00183E52" w:rsidRDefault="00183E52" w:rsidP="00183E52">
      <w:pPr>
        <w:pStyle w:val="ListParagraph"/>
        <w:numPr>
          <w:ilvl w:val="0"/>
          <w:numId w:val="26"/>
        </w:numPr>
        <w:spacing w:before="240" w:line="276" w:lineRule="auto"/>
        <w:ind w:right="95"/>
        <w:jc w:val="both"/>
      </w:pPr>
      <w:r>
        <w:t>Compounding and ongoing impact of systemic and structural inequity</w:t>
      </w:r>
    </w:p>
    <w:p w14:paraId="28449E8A" w14:textId="77777777" w:rsidR="00183E52" w:rsidRDefault="00183E52" w:rsidP="00183E52">
      <w:pPr>
        <w:pStyle w:val="ListParagraph"/>
        <w:numPr>
          <w:ilvl w:val="0"/>
          <w:numId w:val="26"/>
        </w:numPr>
        <w:spacing w:before="240" w:line="276" w:lineRule="auto"/>
        <w:ind w:right="95"/>
        <w:jc w:val="both"/>
      </w:pPr>
      <w:r>
        <w:t>Inherent ableism and societal beliefs undermining human rights and legislation</w:t>
      </w:r>
    </w:p>
    <w:p w14:paraId="6B82D88A" w14:textId="77777777" w:rsidR="00183E52" w:rsidRDefault="00183E52" w:rsidP="00183E52">
      <w:pPr>
        <w:pStyle w:val="ListParagraph"/>
        <w:numPr>
          <w:ilvl w:val="0"/>
          <w:numId w:val="26"/>
        </w:numPr>
        <w:spacing w:before="240" w:line="276" w:lineRule="auto"/>
        <w:ind w:right="95"/>
        <w:jc w:val="both"/>
      </w:pPr>
      <w:r>
        <w:t xml:space="preserve">Policy settings and structures of Australia’s federal, state, territory and local government </w:t>
      </w:r>
    </w:p>
    <w:p w14:paraId="15BA201E" w14:textId="77777777" w:rsidR="00183E52" w:rsidRDefault="00183E52" w:rsidP="00183E52">
      <w:pPr>
        <w:pStyle w:val="ListParagraph"/>
        <w:numPr>
          <w:ilvl w:val="0"/>
          <w:numId w:val="26"/>
        </w:numPr>
        <w:spacing w:before="240" w:after="0" w:line="276" w:lineRule="auto"/>
        <w:ind w:right="95"/>
        <w:jc w:val="both"/>
      </w:pPr>
      <w:r>
        <w:t xml:space="preserve">Relatively new investment in the National Disability Data Asset and continuing data gaps and deficiencies </w:t>
      </w:r>
    </w:p>
    <w:p w14:paraId="206EEDA6" w14:textId="78E52514" w:rsidR="00183E52" w:rsidRPr="00F0184B" w:rsidRDefault="00183E52" w:rsidP="00F0184B">
      <w:pPr>
        <w:rPr>
          <w:b/>
          <w:bCs/>
          <w:shd w:val="clear" w:color="auto" w:fill="FFFFFF"/>
        </w:rPr>
      </w:pPr>
      <w:bookmarkStart w:id="9" w:name="_Toc118891258"/>
      <w:bookmarkStart w:id="10" w:name="_Toc119931763"/>
      <w:bookmarkStart w:id="11" w:name="_Toc131680320"/>
      <w:r w:rsidRPr="00F0184B">
        <w:rPr>
          <w:b/>
          <w:bCs/>
          <w:shd w:val="clear" w:color="auto" w:fill="FFFFFF"/>
        </w:rPr>
        <w:t>Areas for reform</w:t>
      </w:r>
      <w:bookmarkEnd w:id="9"/>
      <w:bookmarkEnd w:id="10"/>
      <w:bookmarkEnd w:id="11"/>
      <w:r w:rsidR="00AF69AF">
        <w:rPr>
          <w:b/>
          <w:bCs/>
          <w:shd w:val="clear" w:color="auto" w:fill="FFFFFF"/>
        </w:rPr>
        <w:t>:</w:t>
      </w:r>
    </w:p>
    <w:p w14:paraId="3FE72A73" w14:textId="77777777" w:rsidR="00183E52" w:rsidRDefault="00183E52" w:rsidP="00183E52">
      <w:pPr>
        <w:pStyle w:val="ListParagraph"/>
        <w:numPr>
          <w:ilvl w:val="0"/>
          <w:numId w:val="26"/>
        </w:numPr>
        <w:spacing w:before="0" w:line="276" w:lineRule="auto"/>
        <w:ind w:right="95"/>
        <w:jc w:val="both"/>
      </w:pPr>
      <w:r>
        <w:t>Early childhood education and care (ECEC) sector including the Inclusion Support Program (ISP)</w:t>
      </w:r>
    </w:p>
    <w:p w14:paraId="22546149" w14:textId="77777777" w:rsidR="00183E52" w:rsidRDefault="00183E52" w:rsidP="00183E52">
      <w:pPr>
        <w:pStyle w:val="ListParagraph"/>
        <w:numPr>
          <w:ilvl w:val="0"/>
          <w:numId w:val="26"/>
        </w:numPr>
        <w:spacing w:before="0" w:line="276" w:lineRule="auto"/>
        <w:ind w:right="95"/>
        <w:jc w:val="both"/>
      </w:pPr>
      <w:r>
        <w:t>Early childhood approach of the National Disability Insurance Scheme (NDIS); consider recommended changes that emerge from the outcome of the Independent Review of the NDIS (2022/2023)</w:t>
      </w:r>
    </w:p>
    <w:p w14:paraId="1A24E964" w14:textId="77777777" w:rsidR="00183E52" w:rsidRDefault="00183E52" w:rsidP="00183E52">
      <w:pPr>
        <w:pStyle w:val="ListParagraph"/>
        <w:numPr>
          <w:ilvl w:val="0"/>
          <w:numId w:val="26"/>
        </w:numPr>
        <w:spacing w:before="0" w:line="276" w:lineRule="auto"/>
        <w:ind w:right="95"/>
        <w:jc w:val="both"/>
      </w:pPr>
      <w:r>
        <w:t>Other areas including but not limited to:</w:t>
      </w:r>
    </w:p>
    <w:p w14:paraId="151A59D4" w14:textId="77777777" w:rsidR="00183E52" w:rsidRDefault="00183E52" w:rsidP="00183E52">
      <w:pPr>
        <w:pStyle w:val="ListParagraph"/>
        <w:numPr>
          <w:ilvl w:val="1"/>
          <w:numId w:val="26"/>
        </w:numPr>
        <w:spacing w:before="0" w:line="276" w:lineRule="auto"/>
        <w:ind w:right="95"/>
        <w:jc w:val="both"/>
      </w:pPr>
      <w:r>
        <w:t>Effective design and use of community-based services and support models</w:t>
      </w:r>
    </w:p>
    <w:p w14:paraId="2EF4CBD8" w14:textId="77777777" w:rsidR="00183E52" w:rsidRDefault="00183E52" w:rsidP="00183E52">
      <w:pPr>
        <w:pStyle w:val="ListParagraph"/>
        <w:numPr>
          <w:ilvl w:val="1"/>
          <w:numId w:val="26"/>
        </w:numPr>
        <w:spacing w:before="0" w:line="276" w:lineRule="auto"/>
        <w:ind w:right="95"/>
        <w:jc w:val="both"/>
      </w:pPr>
      <w:r>
        <w:t>Variations in experience and documentation for transitions to school</w:t>
      </w:r>
    </w:p>
    <w:p w14:paraId="003CEF4B" w14:textId="77777777" w:rsidR="00183E52" w:rsidRDefault="00183E52" w:rsidP="00183E52">
      <w:pPr>
        <w:pStyle w:val="ListParagraph"/>
        <w:numPr>
          <w:ilvl w:val="1"/>
          <w:numId w:val="26"/>
        </w:numPr>
        <w:spacing w:before="0" w:line="276" w:lineRule="auto"/>
        <w:ind w:right="95"/>
        <w:jc w:val="both"/>
      </w:pPr>
      <w:r>
        <w:t>Maternal and childhood health services</w:t>
      </w:r>
    </w:p>
    <w:p w14:paraId="7FCACA99" w14:textId="2E5239E2" w:rsidR="00183E52" w:rsidRPr="00F0184B" w:rsidRDefault="00183E52" w:rsidP="00F0184B">
      <w:pPr>
        <w:rPr>
          <w:b/>
          <w:bCs/>
        </w:rPr>
      </w:pPr>
      <w:bookmarkStart w:id="12" w:name="_Toc118891259"/>
      <w:bookmarkStart w:id="13" w:name="_Toc119931764"/>
      <w:bookmarkStart w:id="14" w:name="_Toc131680321"/>
      <w:r w:rsidRPr="00F0184B">
        <w:rPr>
          <w:b/>
          <w:bCs/>
        </w:rPr>
        <w:t>Levers for change</w:t>
      </w:r>
      <w:bookmarkEnd w:id="12"/>
      <w:bookmarkEnd w:id="13"/>
      <w:bookmarkEnd w:id="14"/>
      <w:r w:rsidR="00AF69AF">
        <w:rPr>
          <w:b/>
          <w:bCs/>
        </w:rPr>
        <w:t>:</w:t>
      </w:r>
    </w:p>
    <w:p w14:paraId="68068E5D" w14:textId="1F66D4A1" w:rsidR="00F7526B" w:rsidRPr="00F7526B" w:rsidRDefault="005D6A65" w:rsidP="00F7526B">
      <w:r>
        <w:t xml:space="preserve">To </w:t>
      </w:r>
      <w:r w:rsidR="002C63F2">
        <w:t>achieve</w:t>
      </w:r>
      <w:r w:rsidR="00F46C53">
        <w:t xml:space="preserve"> a meaningful Early Years Strategy </w:t>
      </w:r>
      <w:r w:rsidR="0089600A">
        <w:t>the challenges listed above need to be addressed</w:t>
      </w:r>
      <w:r w:rsidR="002C63F2">
        <w:t xml:space="preserve">. </w:t>
      </w:r>
      <w:r w:rsidR="004C114F">
        <w:t xml:space="preserve">A way of getting there is </w:t>
      </w:r>
      <w:r w:rsidRPr="005D6A65">
        <w:t xml:space="preserve">to be focused, persistent and make better use of </w:t>
      </w:r>
      <w:r>
        <w:t xml:space="preserve">the following </w:t>
      </w:r>
      <w:r w:rsidRPr="005D6A65">
        <w:t>key levers for change.</w:t>
      </w:r>
    </w:p>
    <w:p w14:paraId="21CB50D6" w14:textId="77777777" w:rsidR="00183E52" w:rsidRDefault="00000000" w:rsidP="00183E52">
      <w:pPr>
        <w:pStyle w:val="ListParagraph"/>
        <w:numPr>
          <w:ilvl w:val="0"/>
          <w:numId w:val="26"/>
        </w:numPr>
        <w:spacing w:before="0" w:line="276" w:lineRule="auto"/>
        <w:ind w:right="95"/>
        <w:jc w:val="both"/>
        <w:rPr>
          <w:rFonts w:cs="Arial"/>
        </w:rPr>
      </w:pPr>
      <w:hyperlink r:id="rId35" w:history="1">
        <w:r w:rsidR="00183E52" w:rsidRPr="002350EE">
          <w:rPr>
            <w:rStyle w:val="Hyperlink"/>
            <w:rFonts w:cs="Arial"/>
          </w:rPr>
          <w:t>Australia’s Disability Strategy 2021-2031</w:t>
        </w:r>
      </w:hyperlink>
      <w:r w:rsidR="00183E52" w:rsidRPr="001F1AED">
        <w:rPr>
          <w:rFonts w:cs="Arial"/>
        </w:rPr>
        <w:t xml:space="preserve"> </w:t>
      </w:r>
    </w:p>
    <w:p w14:paraId="0FE8E1F6" w14:textId="77777777" w:rsidR="00183E52" w:rsidRPr="001F1AED" w:rsidRDefault="00000000" w:rsidP="00183E52">
      <w:pPr>
        <w:pStyle w:val="ListParagraph"/>
        <w:numPr>
          <w:ilvl w:val="0"/>
          <w:numId w:val="26"/>
        </w:numPr>
        <w:spacing w:before="240" w:after="240" w:line="276" w:lineRule="auto"/>
        <w:rPr>
          <w:rFonts w:cs="Arial"/>
        </w:rPr>
      </w:pPr>
      <w:hyperlink r:id="rId36" w:history="1">
        <w:r w:rsidR="00183E52" w:rsidRPr="00516E35">
          <w:rPr>
            <w:rStyle w:val="Hyperlink"/>
            <w:rFonts w:cs="Arial"/>
          </w:rPr>
          <w:t>Disability Standards for Education</w:t>
        </w:r>
      </w:hyperlink>
    </w:p>
    <w:p w14:paraId="74314107" w14:textId="77777777" w:rsidR="00183E52" w:rsidRPr="001F1AED" w:rsidRDefault="00000000" w:rsidP="00183E52">
      <w:pPr>
        <w:pStyle w:val="ListParagraph"/>
        <w:numPr>
          <w:ilvl w:val="0"/>
          <w:numId w:val="26"/>
        </w:numPr>
        <w:spacing w:before="240" w:after="240" w:line="276" w:lineRule="auto"/>
        <w:rPr>
          <w:rFonts w:cs="Arial"/>
        </w:rPr>
      </w:pPr>
      <w:hyperlink r:id="rId37" w:history="1">
        <w:r w:rsidR="00183E52" w:rsidRPr="00E06455">
          <w:rPr>
            <w:rStyle w:val="Hyperlink"/>
            <w:rFonts w:cs="Arial"/>
          </w:rPr>
          <w:t>Review of the NDIS</w:t>
        </w:r>
      </w:hyperlink>
      <w:r w:rsidR="00183E52" w:rsidRPr="001F1AED">
        <w:rPr>
          <w:rFonts w:cs="Arial"/>
        </w:rPr>
        <w:t xml:space="preserve"> </w:t>
      </w:r>
    </w:p>
    <w:p w14:paraId="20989F42" w14:textId="77777777" w:rsidR="00183E52" w:rsidRPr="001F1AED" w:rsidRDefault="00000000" w:rsidP="00183E52">
      <w:pPr>
        <w:pStyle w:val="ListParagraph"/>
        <w:numPr>
          <w:ilvl w:val="0"/>
          <w:numId w:val="26"/>
        </w:numPr>
        <w:spacing w:before="240" w:after="240" w:line="276" w:lineRule="auto"/>
        <w:rPr>
          <w:rFonts w:cs="Arial"/>
        </w:rPr>
      </w:pPr>
      <w:hyperlink r:id="rId38" w:history="1">
        <w:r w:rsidR="00183E52" w:rsidRPr="009A4B5B">
          <w:rPr>
            <w:rStyle w:val="Hyperlink"/>
            <w:rFonts w:cs="Arial"/>
          </w:rPr>
          <w:t>National School Reform Agreement</w:t>
        </w:r>
      </w:hyperlink>
      <w:r w:rsidR="00183E52" w:rsidRPr="001F1AED">
        <w:rPr>
          <w:rFonts w:cs="Arial"/>
        </w:rPr>
        <w:t xml:space="preserve"> </w:t>
      </w:r>
    </w:p>
    <w:p w14:paraId="1A22683E" w14:textId="77777777" w:rsidR="00183E52" w:rsidRPr="001F1AED" w:rsidRDefault="00000000" w:rsidP="00183E52">
      <w:pPr>
        <w:pStyle w:val="ListParagraph"/>
        <w:numPr>
          <w:ilvl w:val="0"/>
          <w:numId w:val="26"/>
        </w:numPr>
        <w:spacing w:before="240" w:after="240" w:line="276" w:lineRule="auto"/>
        <w:rPr>
          <w:rFonts w:cs="Arial"/>
        </w:rPr>
      </w:pPr>
      <w:hyperlink r:id="rId39" w:history="1">
        <w:r w:rsidR="00183E52" w:rsidRPr="000B4186">
          <w:rPr>
            <w:rStyle w:val="Hyperlink"/>
            <w:rFonts w:cs="Arial"/>
          </w:rPr>
          <w:t>Disability Royal Commission</w:t>
        </w:r>
      </w:hyperlink>
    </w:p>
    <w:p w14:paraId="3505CE04" w14:textId="77777777" w:rsidR="00183E52" w:rsidRPr="001F1AED" w:rsidRDefault="00000000" w:rsidP="00183E52">
      <w:pPr>
        <w:pStyle w:val="ListParagraph"/>
        <w:numPr>
          <w:ilvl w:val="0"/>
          <w:numId w:val="26"/>
        </w:numPr>
        <w:spacing w:before="240" w:after="240" w:line="276" w:lineRule="auto"/>
        <w:rPr>
          <w:rFonts w:cs="Arial"/>
        </w:rPr>
      </w:pPr>
      <w:hyperlink r:id="rId40" w:history="1">
        <w:r w:rsidR="00183E52" w:rsidRPr="00316B41">
          <w:rPr>
            <w:rStyle w:val="Hyperlink"/>
            <w:rFonts w:cs="Arial"/>
          </w:rPr>
          <w:t>National Disability Data Asset</w:t>
        </w:r>
      </w:hyperlink>
    </w:p>
    <w:p w14:paraId="3ABD51D6" w14:textId="77777777" w:rsidR="00183E52" w:rsidRPr="001F1AED" w:rsidRDefault="00000000" w:rsidP="00183E52">
      <w:pPr>
        <w:pStyle w:val="ListParagraph"/>
        <w:numPr>
          <w:ilvl w:val="0"/>
          <w:numId w:val="26"/>
        </w:numPr>
        <w:spacing w:before="240" w:after="240" w:line="276" w:lineRule="auto"/>
        <w:rPr>
          <w:rFonts w:cs="Arial"/>
        </w:rPr>
      </w:pPr>
      <w:hyperlink r:id="rId41" w:history="1">
        <w:r w:rsidR="00183E52" w:rsidRPr="003E5E14">
          <w:rPr>
            <w:rStyle w:val="Hyperlink"/>
            <w:rFonts w:cs="Arial"/>
          </w:rPr>
          <w:t>National Disability Research Partnership</w:t>
        </w:r>
      </w:hyperlink>
    </w:p>
    <w:p w14:paraId="0BF9452E" w14:textId="77777777" w:rsidR="00183E52" w:rsidRDefault="00000000" w:rsidP="00183E52">
      <w:pPr>
        <w:pStyle w:val="ListParagraph"/>
        <w:numPr>
          <w:ilvl w:val="0"/>
          <w:numId w:val="26"/>
        </w:numPr>
        <w:spacing w:before="0" w:line="276" w:lineRule="auto"/>
      </w:pPr>
      <w:hyperlink r:id="rId42" w:history="1">
        <w:r w:rsidR="00183E52" w:rsidRPr="00E00015">
          <w:rPr>
            <w:rStyle w:val="Hyperlink"/>
          </w:rPr>
          <w:t>The Australian Institute Disaster Resilience</w:t>
        </w:r>
      </w:hyperlink>
    </w:p>
    <w:p w14:paraId="1F711D91" w14:textId="0662F8A1" w:rsidR="00D0052F" w:rsidRDefault="00D0052F">
      <w:pPr>
        <w:spacing w:before="0" w:line="259" w:lineRule="auto"/>
        <w:rPr>
          <w:rFonts w:cs="Arial"/>
          <w:color w:val="000000" w:themeColor="text1"/>
        </w:rPr>
      </w:pPr>
    </w:p>
    <w:p w14:paraId="7C3356E0" w14:textId="1D023B26" w:rsidR="00611F08" w:rsidRDefault="00611F08" w:rsidP="006F7E7D">
      <w:pPr>
        <w:pStyle w:val="Heading1"/>
      </w:pPr>
      <w:bookmarkStart w:id="15" w:name="_Toc133675141"/>
      <w:r>
        <w:t>CYDA’s general response to the Early Years Strategy</w:t>
      </w:r>
      <w:bookmarkEnd w:id="15"/>
      <w:r>
        <w:t xml:space="preserve"> </w:t>
      </w:r>
    </w:p>
    <w:p w14:paraId="55FA3747" w14:textId="6D5649B4" w:rsidR="00611F08" w:rsidRDefault="00611F08" w:rsidP="00DD4036">
      <w:bookmarkStart w:id="16" w:name="_Toc94628645"/>
      <w:r w:rsidRPr="00DD4036">
        <w:t>CYDA acknowledges the diversity of frameworks</w:t>
      </w:r>
      <w:r w:rsidR="00B45752">
        <w:t>, principles</w:t>
      </w:r>
      <w:r w:rsidRPr="00DD4036">
        <w:t xml:space="preserve"> and standards that have been considered to ensure a holistic </w:t>
      </w:r>
      <w:r>
        <w:t>Early Years Strategy</w:t>
      </w:r>
      <w:r w:rsidRPr="00DD4036">
        <w:t xml:space="preserve">. However, we are compelled, by our mandate to represent the needs and interests of children and young people with disability, to re-frame the discussion to drive more effective change. Therefore, </w:t>
      </w:r>
      <w:r>
        <w:t>before</w:t>
      </w:r>
      <w:r w:rsidRPr="00DD4036">
        <w:t xml:space="preserve"> responding directly to the questions as presented in </w:t>
      </w:r>
      <w:r>
        <w:t>the</w:t>
      </w:r>
      <w:r w:rsidRPr="00DD4036">
        <w:t xml:space="preserve"> discussion paper, we wish to discuss the conceptual framing of </w:t>
      </w:r>
      <w:r w:rsidR="00687425">
        <w:t>T</w:t>
      </w:r>
      <w:r w:rsidR="000F73FD">
        <w:t xml:space="preserve">he Strategy </w:t>
      </w:r>
      <w:r w:rsidRPr="00DD4036">
        <w:t xml:space="preserve">as a whole. The following discussion is presented </w:t>
      </w:r>
      <w:r w:rsidRPr="00C36804">
        <w:t>in three sections. First, we present a</w:t>
      </w:r>
      <w:r w:rsidR="00EA421F" w:rsidRPr="00C36804">
        <w:t>n anti-able</w:t>
      </w:r>
      <w:r w:rsidR="00687425">
        <w:t>i</w:t>
      </w:r>
      <w:r w:rsidR="00EA421F" w:rsidRPr="00C36804">
        <w:t xml:space="preserve">st framing </w:t>
      </w:r>
      <w:r w:rsidRPr="00C36804">
        <w:t xml:space="preserve">to foreground the proposed </w:t>
      </w:r>
      <w:r w:rsidR="00EA421F" w:rsidRPr="00C36804">
        <w:t>strategy</w:t>
      </w:r>
      <w:r w:rsidRPr="00C36804">
        <w:t xml:space="preserve">, second, we suggest a </w:t>
      </w:r>
      <w:r w:rsidR="00B50A3B" w:rsidRPr="00C36804">
        <w:t xml:space="preserve">co-design </w:t>
      </w:r>
      <w:r w:rsidRPr="00C36804">
        <w:t>approach to the department’s strategy work, and third, we</w:t>
      </w:r>
      <w:r w:rsidR="0073292C" w:rsidRPr="00C36804">
        <w:t xml:space="preserve"> request </w:t>
      </w:r>
      <w:r w:rsidR="00C36804">
        <w:t xml:space="preserve">the implementation of a </w:t>
      </w:r>
      <w:r w:rsidR="0073292C" w:rsidRPr="0073292C">
        <w:t>universal design approach</w:t>
      </w:r>
      <w:r w:rsidR="0034029A">
        <w:t>.</w:t>
      </w:r>
      <w:r w:rsidR="0073292C" w:rsidRPr="0073292C">
        <w:t xml:space="preserve"> </w:t>
      </w:r>
    </w:p>
    <w:p w14:paraId="65F5CF6F" w14:textId="2E69418F" w:rsidR="00611F08" w:rsidRDefault="00611F08" w:rsidP="005C183A">
      <w:pPr>
        <w:pStyle w:val="Heading2"/>
        <w:numPr>
          <w:ilvl w:val="0"/>
          <w:numId w:val="16"/>
        </w:numPr>
      </w:pPr>
      <w:bookmarkStart w:id="17" w:name="_Toc133675142"/>
      <w:bookmarkEnd w:id="16"/>
      <w:r w:rsidRPr="005F2374">
        <w:t xml:space="preserve">Foreground the </w:t>
      </w:r>
      <w:r>
        <w:t>Strategy</w:t>
      </w:r>
      <w:r w:rsidRPr="005F2374">
        <w:t xml:space="preserve"> with anti-ableism</w:t>
      </w:r>
      <w:r>
        <w:t xml:space="preserve"> framing</w:t>
      </w:r>
      <w:bookmarkEnd w:id="17"/>
    </w:p>
    <w:p w14:paraId="2223D501" w14:textId="77777777" w:rsidR="00611F08" w:rsidRDefault="00611F08" w:rsidP="006F7E7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611F08" w14:paraId="44625159" w14:textId="77777777" w:rsidTr="00F313A3">
        <w:trPr>
          <w:trHeight w:val="1961"/>
        </w:trPr>
        <w:tc>
          <w:tcPr>
            <w:tcW w:w="9026" w:type="dxa"/>
            <w:shd w:val="clear" w:color="auto" w:fill="C5E0B3" w:themeFill="accent6" w:themeFillTint="66"/>
          </w:tcPr>
          <w:p w14:paraId="53AF4E9F" w14:textId="77777777" w:rsidR="00611F08" w:rsidRDefault="00611F08">
            <w:pPr>
              <w:spacing w:beforeLines="120" w:before="288"/>
              <w:rPr>
                <w:b/>
                <w:bCs/>
              </w:rPr>
            </w:pPr>
            <w:r w:rsidRPr="00756B6B">
              <w:rPr>
                <w:b/>
                <w:bCs/>
              </w:rPr>
              <w:t>Recommendation</w:t>
            </w:r>
            <w:r>
              <w:rPr>
                <w:b/>
                <w:bCs/>
              </w:rPr>
              <w:t xml:space="preserve"> 1 </w:t>
            </w:r>
          </w:p>
          <w:p w14:paraId="0767F9A4" w14:textId="69C35D81" w:rsidR="00611F08" w:rsidRDefault="00611F08">
            <w:r>
              <w:t xml:space="preserve">Before introducing </w:t>
            </w:r>
            <w:r w:rsidR="0034029A">
              <w:t>T</w:t>
            </w:r>
            <w:r>
              <w:t>he Strategy, we recommend that the Australian Government should:</w:t>
            </w:r>
          </w:p>
          <w:p w14:paraId="3F377765" w14:textId="092E999B" w:rsidR="00611F08" w:rsidRDefault="00611F08" w:rsidP="00DB6EAC">
            <w:pPr>
              <w:pStyle w:val="ListParagraph"/>
              <w:numPr>
                <w:ilvl w:val="0"/>
                <w:numId w:val="8"/>
              </w:numPr>
            </w:pPr>
            <w:r>
              <w:t xml:space="preserve">Undertake a co-designed, multi-stakeholder process to define a series of anti-ableist principles for use across </w:t>
            </w:r>
            <w:r w:rsidR="001069BF">
              <w:t>T</w:t>
            </w:r>
            <w:r>
              <w:t xml:space="preserve">he Strategy </w:t>
            </w:r>
          </w:p>
          <w:p w14:paraId="4DEC3415" w14:textId="72E51114" w:rsidR="00611F08" w:rsidRDefault="001069BF" w:rsidP="00DB6EAC">
            <w:pPr>
              <w:pStyle w:val="ListParagraph"/>
              <w:numPr>
                <w:ilvl w:val="0"/>
                <w:numId w:val="8"/>
              </w:numPr>
            </w:pPr>
            <w:r>
              <w:t>U</w:t>
            </w:r>
            <w:r w:rsidR="00611F08">
              <w:t xml:space="preserve">se an external organisation (or coalition of organisations) to undertake a review of each principle to ensure their adherence to anti-ableist principles. </w:t>
            </w:r>
          </w:p>
          <w:p w14:paraId="374DF2A4" w14:textId="77777777" w:rsidR="00611F08" w:rsidRPr="002A2405" w:rsidRDefault="00611F08">
            <w:pPr>
              <w:pStyle w:val="ListParagraph"/>
              <w:spacing w:after="160"/>
              <w:contextualSpacing w:val="0"/>
            </w:pPr>
          </w:p>
        </w:tc>
      </w:tr>
    </w:tbl>
    <w:p w14:paraId="7EFDCB7C" w14:textId="12BC78FD" w:rsidR="00212663" w:rsidRPr="006D0110" w:rsidRDefault="00212663" w:rsidP="00F313A3">
      <w:pPr>
        <w:rPr>
          <w:b/>
          <w:bCs/>
        </w:rPr>
      </w:pPr>
      <w:r w:rsidRPr="006D0110">
        <w:rPr>
          <w:b/>
          <w:bCs/>
        </w:rPr>
        <w:t xml:space="preserve">1.1 What is </w:t>
      </w:r>
      <w:r w:rsidR="006D0110" w:rsidRPr="006D0110">
        <w:rPr>
          <w:b/>
          <w:bCs/>
        </w:rPr>
        <w:t>ableism?</w:t>
      </w:r>
    </w:p>
    <w:p w14:paraId="758E842C" w14:textId="0372034E" w:rsidR="00F313A3" w:rsidRDefault="00F313A3" w:rsidP="00F313A3">
      <w:r>
        <w:t xml:space="preserve">Ableism </w:t>
      </w:r>
      <w:r w:rsidR="0066168E">
        <w:t xml:space="preserve"> has been </w:t>
      </w:r>
      <w:r>
        <w:t>described from a number of perspectives. A commonly cited definition from a disability studies perspective describes it as follows</w:t>
      </w:r>
      <w:r w:rsidR="00845FFC">
        <w:t>:</w:t>
      </w:r>
      <w:r>
        <w:t xml:space="preserve"> </w:t>
      </w:r>
    </w:p>
    <w:p w14:paraId="77718331" w14:textId="77777777" w:rsidR="00F313A3" w:rsidRPr="00271C8E" w:rsidRDefault="00F313A3" w:rsidP="00F313A3">
      <w:pPr>
        <w:ind w:left="720"/>
        <w:rPr>
          <w:i/>
          <w:iCs/>
        </w:rPr>
      </w:pPr>
      <w:r w:rsidRPr="00271C8E">
        <w:rPr>
          <w:i/>
          <w:iCs/>
        </w:rPr>
        <w:t>“A network of beliefs, processes and practices that produce a particular kind of self and body (the corporeal standard) that is projected as the perfect, species-typical and therefore essential and fully human. Disability</w:t>
      </w:r>
      <w:r>
        <w:rPr>
          <w:i/>
          <w:iCs/>
        </w:rPr>
        <w:t>,</w:t>
      </w:r>
      <w:r w:rsidRPr="00271C8E">
        <w:rPr>
          <w:i/>
          <w:iCs/>
        </w:rPr>
        <w:t xml:space="preserve"> then</w:t>
      </w:r>
      <w:r>
        <w:rPr>
          <w:i/>
          <w:iCs/>
        </w:rPr>
        <w:t>,</w:t>
      </w:r>
      <w:r w:rsidRPr="00271C8E">
        <w:rPr>
          <w:i/>
          <w:iCs/>
        </w:rPr>
        <w:t xml:space="preserve"> is cast as a diminished state of being human.”</w:t>
      </w:r>
      <w:r w:rsidRPr="00271C8E">
        <w:rPr>
          <w:rStyle w:val="FootnoteReference"/>
          <w:i/>
          <w:iCs/>
        </w:rPr>
        <w:footnoteReference w:id="11"/>
      </w:r>
    </w:p>
    <w:p w14:paraId="58C2EEB4" w14:textId="77777777" w:rsidR="00F313A3" w:rsidRDefault="00F313A3" w:rsidP="00F313A3">
      <w:pPr>
        <w:rPr>
          <w:rFonts w:eastAsia="Times New Roman" w:cs="Arial"/>
          <w:color w:val="000000"/>
          <w:lang w:eastAsia="en-AU"/>
        </w:rPr>
      </w:pPr>
      <w:r>
        <w:rPr>
          <w:rFonts w:eastAsia="Times New Roman" w:cs="Arial"/>
          <w:color w:val="000000"/>
          <w:lang w:eastAsia="en-AU"/>
        </w:rPr>
        <w:t>In practice, ableism is being perpetuated when, based on your understanding of someone’s disability, you:</w:t>
      </w:r>
    </w:p>
    <w:p w14:paraId="494C4BA1" w14:textId="77777777" w:rsidR="00F313A3" w:rsidRDefault="00F313A3" w:rsidP="00F313A3">
      <w:pPr>
        <w:pStyle w:val="ListParagraph"/>
        <w:numPr>
          <w:ilvl w:val="0"/>
          <w:numId w:val="45"/>
        </w:numPr>
        <w:rPr>
          <w:rFonts w:eastAsia="Times New Roman" w:cs="Arial"/>
          <w:color w:val="000000"/>
          <w:lang w:eastAsia="en-AU"/>
        </w:rPr>
      </w:pPr>
      <w:r>
        <w:rPr>
          <w:rFonts w:eastAsia="Times New Roman" w:cs="Arial"/>
          <w:color w:val="000000"/>
          <w:lang w:eastAsia="en-AU"/>
        </w:rPr>
        <w:t xml:space="preserve">incorrectly make </w:t>
      </w:r>
      <w:r w:rsidRPr="00437E04">
        <w:rPr>
          <w:rFonts w:eastAsia="Times New Roman" w:cs="Arial"/>
          <w:color w:val="000000"/>
          <w:lang w:eastAsia="en-AU"/>
        </w:rPr>
        <w:t>assum</w:t>
      </w:r>
      <w:r>
        <w:rPr>
          <w:rFonts w:eastAsia="Times New Roman" w:cs="Arial"/>
          <w:color w:val="000000"/>
          <w:lang w:eastAsia="en-AU"/>
        </w:rPr>
        <w:t>ptions</w:t>
      </w:r>
      <w:r w:rsidRPr="00437E04">
        <w:rPr>
          <w:rFonts w:eastAsia="Times New Roman" w:cs="Arial"/>
          <w:color w:val="000000"/>
          <w:lang w:eastAsia="en-AU"/>
        </w:rPr>
        <w:t xml:space="preserve"> about </w:t>
      </w:r>
      <w:r>
        <w:rPr>
          <w:rFonts w:eastAsia="Times New Roman" w:cs="Arial"/>
          <w:color w:val="000000"/>
          <w:lang w:eastAsia="en-AU"/>
        </w:rPr>
        <w:t xml:space="preserve">someone’s abilities or desires </w:t>
      </w:r>
    </w:p>
    <w:p w14:paraId="0EFE29F8" w14:textId="77777777" w:rsidR="00F313A3" w:rsidRDefault="00F313A3" w:rsidP="00F313A3">
      <w:pPr>
        <w:pStyle w:val="ListParagraph"/>
        <w:numPr>
          <w:ilvl w:val="0"/>
          <w:numId w:val="45"/>
        </w:numPr>
        <w:rPr>
          <w:rFonts w:eastAsia="Times New Roman" w:cs="Arial"/>
          <w:color w:val="000000"/>
          <w:lang w:eastAsia="en-AU"/>
        </w:rPr>
      </w:pPr>
      <w:r w:rsidRPr="00437E04">
        <w:rPr>
          <w:rFonts w:eastAsia="Times New Roman" w:cs="Arial"/>
          <w:color w:val="000000"/>
          <w:lang w:eastAsia="en-AU"/>
        </w:rPr>
        <w:t>treat</w:t>
      </w:r>
      <w:r>
        <w:rPr>
          <w:rFonts w:eastAsia="Times New Roman" w:cs="Arial"/>
          <w:color w:val="000000"/>
          <w:lang w:eastAsia="en-AU"/>
        </w:rPr>
        <w:t xml:space="preserve"> someone</w:t>
      </w:r>
      <w:r w:rsidRPr="00437E04">
        <w:rPr>
          <w:rFonts w:eastAsia="Times New Roman" w:cs="Arial"/>
          <w:color w:val="000000"/>
          <w:lang w:eastAsia="en-AU"/>
        </w:rPr>
        <w:t xml:space="preserve"> in a patronising manner</w:t>
      </w:r>
      <w:r>
        <w:rPr>
          <w:rFonts w:eastAsia="Times New Roman" w:cs="Arial"/>
          <w:color w:val="000000"/>
          <w:lang w:eastAsia="en-AU"/>
        </w:rPr>
        <w:t xml:space="preserve"> or infantilise them, assuming they are younger and/or less capable than they actually are </w:t>
      </w:r>
    </w:p>
    <w:p w14:paraId="479CD7B3" w14:textId="77777777" w:rsidR="00F313A3" w:rsidRDefault="00F313A3" w:rsidP="00F313A3">
      <w:pPr>
        <w:pStyle w:val="ListParagraph"/>
        <w:numPr>
          <w:ilvl w:val="0"/>
          <w:numId w:val="45"/>
        </w:numPr>
        <w:rPr>
          <w:rFonts w:eastAsia="Times New Roman" w:cs="Arial"/>
          <w:color w:val="000000"/>
          <w:lang w:eastAsia="en-AU"/>
        </w:rPr>
      </w:pPr>
      <w:r>
        <w:rPr>
          <w:rFonts w:eastAsia="Times New Roman" w:cs="Arial"/>
          <w:color w:val="000000"/>
          <w:lang w:eastAsia="en-AU"/>
        </w:rPr>
        <w:t>make</w:t>
      </w:r>
      <w:r w:rsidRPr="00437E04">
        <w:rPr>
          <w:rFonts w:eastAsia="Times New Roman" w:cs="Arial"/>
          <w:color w:val="000000"/>
          <w:lang w:eastAsia="en-AU"/>
        </w:rPr>
        <w:t xml:space="preserve"> decisions </w:t>
      </w:r>
      <w:r>
        <w:rPr>
          <w:rFonts w:eastAsia="Times New Roman" w:cs="Arial"/>
          <w:color w:val="000000"/>
          <w:lang w:eastAsia="en-AU"/>
        </w:rPr>
        <w:t xml:space="preserve">on behalf of someone after assuming they can’t </w:t>
      </w:r>
    </w:p>
    <w:p w14:paraId="670BC83D" w14:textId="77777777" w:rsidR="00F313A3" w:rsidRDefault="00F313A3" w:rsidP="00F313A3">
      <w:pPr>
        <w:pStyle w:val="ListParagraph"/>
        <w:numPr>
          <w:ilvl w:val="0"/>
          <w:numId w:val="45"/>
        </w:numPr>
        <w:rPr>
          <w:rFonts w:eastAsia="Times New Roman" w:cs="Arial"/>
          <w:color w:val="000000"/>
          <w:lang w:eastAsia="en-AU"/>
        </w:rPr>
      </w:pPr>
      <w:r>
        <w:rPr>
          <w:rFonts w:eastAsia="Times New Roman" w:cs="Arial"/>
          <w:color w:val="000000"/>
          <w:lang w:eastAsia="en-AU"/>
        </w:rPr>
        <w:t>assume something about one person based on what you experienced about someone else</w:t>
      </w:r>
    </w:p>
    <w:p w14:paraId="4A0DC0AC" w14:textId="77777777" w:rsidR="00F313A3" w:rsidRDefault="00F313A3" w:rsidP="00F313A3">
      <w:pPr>
        <w:pStyle w:val="ListParagraph"/>
        <w:numPr>
          <w:ilvl w:val="0"/>
          <w:numId w:val="45"/>
        </w:numPr>
        <w:rPr>
          <w:rFonts w:eastAsia="Times New Roman" w:cs="Arial"/>
          <w:color w:val="000000"/>
          <w:lang w:eastAsia="en-AU"/>
        </w:rPr>
      </w:pPr>
      <w:r>
        <w:rPr>
          <w:rFonts w:eastAsia="Times New Roman" w:cs="Arial"/>
          <w:color w:val="000000"/>
          <w:lang w:eastAsia="en-AU"/>
        </w:rPr>
        <w:t xml:space="preserve">treat someone as </w:t>
      </w:r>
      <w:r w:rsidRPr="00437E04">
        <w:rPr>
          <w:rFonts w:eastAsia="Times New Roman" w:cs="Arial"/>
          <w:color w:val="000000"/>
          <w:lang w:eastAsia="en-AU"/>
        </w:rPr>
        <w:t>‘inspirational’</w:t>
      </w:r>
      <w:r>
        <w:rPr>
          <w:rStyle w:val="FootnoteReference"/>
          <w:rFonts w:eastAsia="Times New Roman" w:cs="Arial"/>
          <w:color w:val="000000"/>
          <w:lang w:eastAsia="en-AU"/>
        </w:rPr>
        <w:footnoteReference w:id="12"/>
      </w:r>
      <w:r w:rsidRPr="00437E04">
        <w:rPr>
          <w:rFonts w:eastAsia="Times New Roman" w:cs="Arial"/>
          <w:color w:val="000000"/>
          <w:lang w:eastAsia="en-AU"/>
        </w:rPr>
        <w:t xml:space="preserve"> for doing things they consider to be normal</w:t>
      </w:r>
    </w:p>
    <w:p w14:paraId="0CA571A3" w14:textId="77777777" w:rsidR="00F313A3" w:rsidRDefault="00F313A3" w:rsidP="00F313A3">
      <w:pPr>
        <w:pStyle w:val="ListParagraph"/>
        <w:numPr>
          <w:ilvl w:val="0"/>
          <w:numId w:val="45"/>
        </w:numPr>
        <w:rPr>
          <w:rFonts w:eastAsia="Times New Roman" w:cs="Arial"/>
          <w:color w:val="000000"/>
          <w:lang w:eastAsia="en-AU"/>
        </w:rPr>
      </w:pPr>
      <w:r w:rsidRPr="00437E04">
        <w:rPr>
          <w:rFonts w:eastAsia="Times New Roman" w:cs="Arial"/>
          <w:color w:val="000000"/>
          <w:lang w:eastAsia="en-AU"/>
        </w:rPr>
        <w:lastRenderedPageBreak/>
        <w:t>tease or ridicule</w:t>
      </w:r>
      <w:r>
        <w:rPr>
          <w:rFonts w:eastAsia="Times New Roman" w:cs="Arial"/>
          <w:color w:val="000000"/>
          <w:lang w:eastAsia="en-AU"/>
        </w:rPr>
        <w:t xml:space="preserve"> someone, even when you consider it to be ‘harmless fun’, or create a slur against someone that impacts their reputation with others</w:t>
      </w:r>
    </w:p>
    <w:p w14:paraId="420523F3" w14:textId="77777777" w:rsidR="00F313A3" w:rsidRDefault="00F313A3" w:rsidP="00F313A3">
      <w:pPr>
        <w:pStyle w:val="ListParagraph"/>
        <w:numPr>
          <w:ilvl w:val="0"/>
          <w:numId w:val="45"/>
        </w:numPr>
        <w:rPr>
          <w:rFonts w:eastAsia="Times New Roman" w:cs="Arial"/>
          <w:color w:val="000000"/>
          <w:lang w:eastAsia="en-AU"/>
        </w:rPr>
      </w:pPr>
      <w:r w:rsidRPr="00437E04">
        <w:rPr>
          <w:rFonts w:eastAsia="Times New Roman" w:cs="Arial"/>
          <w:color w:val="000000"/>
          <w:lang w:eastAsia="en-AU"/>
        </w:rPr>
        <w:t xml:space="preserve">overlook </w:t>
      </w:r>
      <w:r>
        <w:rPr>
          <w:rFonts w:eastAsia="Times New Roman" w:cs="Arial"/>
          <w:color w:val="000000"/>
          <w:lang w:eastAsia="en-AU"/>
        </w:rPr>
        <w:t xml:space="preserve">someone </w:t>
      </w:r>
      <w:r w:rsidRPr="00437E04">
        <w:rPr>
          <w:rFonts w:eastAsia="Times New Roman" w:cs="Arial"/>
          <w:color w:val="000000"/>
          <w:lang w:eastAsia="en-AU"/>
        </w:rPr>
        <w:t xml:space="preserve">for </w:t>
      </w:r>
      <w:r>
        <w:rPr>
          <w:rFonts w:eastAsia="Times New Roman" w:cs="Arial"/>
          <w:color w:val="000000"/>
          <w:lang w:eastAsia="en-AU"/>
        </w:rPr>
        <w:t xml:space="preserve">an </w:t>
      </w:r>
      <w:r w:rsidRPr="00437E04">
        <w:rPr>
          <w:rFonts w:eastAsia="Times New Roman" w:cs="Arial"/>
          <w:color w:val="000000"/>
          <w:lang w:eastAsia="en-AU"/>
        </w:rPr>
        <w:t>opportunit</w:t>
      </w:r>
      <w:r>
        <w:rPr>
          <w:rFonts w:eastAsia="Times New Roman" w:cs="Arial"/>
          <w:color w:val="000000"/>
          <w:lang w:eastAsia="en-AU"/>
        </w:rPr>
        <w:t xml:space="preserve">y </w:t>
      </w:r>
      <w:r w:rsidRPr="00437E04">
        <w:rPr>
          <w:rFonts w:eastAsia="Times New Roman" w:cs="Arial"/>
          <w:color w:val="000000"/>
          <w:lang w:eastAsia="en-AU"/>
        </w:rPr>
        <w:t>based on assumptions about their abilities</w:t>
      </w:r>
    </w:p>
    <w:p w14:paraId="5A4101C9" w14:textId="77777777" w:rsidR="00F313A3" w:rsidRDefault="00F313A3" w:rsidP="00F313A3">
      <w:pPr>
        <w:pStyle w:val="ListParagraph"/>
        <w:numPr>
          <w:ilvl w:val="0"/>
          <w:numId w:val="45"/>
        </w:numPr>
        <w:rPr>
          <w:rFonts w:eastAsia="Times New Roman" w:cs="Arial"/>
          <w:color w:val="000000"/>
          <w:lang w:eastAsia="en-AU"/>
        </w:rPr>
      </w:pPr>
      <w:r w:rsidRPr="00437E04">
        <w:rPr>
          <w:rFonts w:eastAsia="Times New Roman" w:cs="Arial"/>
          <w:color w:val="000000"/>
          <w:lang w:eastAsia="en-AU"/>
        </w:rPr>
        <w:t>ask intrusive questions ab</w:t>
      </w:r>
      <w:r>
        <w:rPr>
          <w:rFonts w:eastAsia="Times New Roman" w:cs="Arial"/>
          <w:color w:val="000000"/>
          <w:lang w:eastAsia="en-AU"/>
        </w:rPr>
        <w:t xml:space="preserve">out people’s lives or bodies </w:t>
      </w:r>
    </w:p>
    <w:p w14:paraId="0AEE5410" w14:textId="77777777" w:rsidR="00F313A3" w:rsidRDefault="00F313A3" w:rsidP="00F313A3">
      <w:pPr>
        <w:pStyle w:val="ListParagraph"/>
        <w:numPr>
          <w:ilvl w:val="0"/>
          <w:numId w:val="45"/>
        </w:numPr>
        <w:rPr>
          <w:rFonts w:eastAsia="Times New Roman" w:cs="Arial"/>
          <w:color w:val="000000"/>
          <w:lang w:eastAsia="en-AU"/>
        </w:rPr>
      </w:pPr>
      <w:r>
        <w:rPr>
          <w:rFonts w:eastAsia="Times New Roman" w:cs="Arial"/>
          <w:color w:val="000000"/>
          <w:lang w:eastAsia="en-AU"/>
        </w:rPr>
        <w:t xml:space="preserve">refer to, or talk to the carer that is accompanying someone </w:t>
      </w:r>
    </w:p>
    <w:p w14:paraId="741BADB2" w14:textId="77777777" w:rsidR="00F313A3" w:rsidRDefault="00F313A3" w:rsidP="00F313A3">
      <w:pPr>
        <w:pStyle w:val="ListParagraph"/>
        <w:numPr>
          <w:ilvl w:val="0"/>
          <w:numId w:val="45"/>
        </w:numPr>
        <w:rPr>
          <w:rFonts w:eastAsia="Times New Roman" w:cs="Arial"/>
          <w:color w:val="000000"/>
          <w:lang w:eastAsia="en-AU"/>
        </w:rPr>
      </w:pPr>
      <w:r>
        <w:rPr>
          <w:rFonts w:eastAsia="Times New Roman" w:cs="Arial"/>
          <w:color w:val="000000"/>
          <w:lang w:eastAsia="en-AU"/>
        </w:rPr>
        <w:t>fail to include someone because you didn’t think of it, it felt too hard, or you were too awkward to ask them about their accommodations and access needs</w:t>
      </w:r>
    </w:p>
    <w:p w14:paraId="64E3753B" w14:textId="77777777" w:rsidR="00F313A3" w:rsidRPr="00437E04" w:rsidRDefault="00F313A3" w:rsidP="00F313A3">
      <w:pPr>
        <w:pStyle w:val="ListParagraph"/>
        <w:numPr>
          <w:ilvl w:val="0"/>
          <w:numId w:val="45"/>
        </w:numPr>
        <w:rPr>
          <w:rFonts w:eastAsia="Times New Roman" w:cs="Arial"/>
          <w:color w:val="000000"/>
          <w:lang w:eastAsia="en-AU"/>
        </w:rPr>
      </w:pPr>
      <w:r>
        <w:rPr>
          <w:rFonts w:eastAsia="Times New Roman" w:cs="Arial"/>
          <w:color w:val="000000"/>
          <w:lang w:eastAsia="en-AU"/>
        </w:rPr>
        <w:t>notice someone else doing or saying something ableist and decide not to say or do something</w:t>
      </w:r>
      <w:r w:rsidRPr="00437E04">
        <w:rPr>
          <w:rFonts w:eastAsia="Times New Roman" w:cs="Arial"/>
          <w:color w:val="000000"/>
          <w:lang w:eastAsia="en-AU"/>
        </w:rPr>
        <w:t xml:space="preserve"> </w:t>
      </w:r>
      <w:r>
        <w:rPr>
          <w:rFonts w:eastAsia="Times New Roman" w:cs="Arial"/>
          <w:color w:val="000000"/>
          <w:lang w:eastAsia="en-AU"/>
        </w:rPr>
        <w:t xml:space="preserve">about it. </w:t>
      </w:r>
    </w:p>
    <w:p w14:paraId="0515441C" w14:textId="4B6A7F2D" w:rsidR="00F313A3" w:rsidRDefault="00F313A3" w:rsidP="00F313A3">
      <w:r>
        <w:t>CYDA’s numerous consultations with young people with disability demonstrate that ableism is at the core of many of the unsettling and detrimental experiences they describe. The following consultation participants describe this</w:t>
      </w:r>
      <w:r w:rsidR="002736E6">
        <w:t>:</w:t>
      </w:r>
      <w:r>
        <w:t xml:space="preserve"> </w:t>
      </w:r>
    </w:p>
    <w:p w14:paraId="1BE29A53" w14:textId="2F2357FE" w:rsidR="00F313A3" w:rsidRDefault="00F313A3" w:rsidP="00F313A3">
      <w:pPr>
        <w:ind w:left="720"/>
        <w:rPr>
          <w:i/>
          <w:iCs/>
        </w:rPr>
      </w:pPr>
      <w:r w:rsidRPr="00AE5B32">
        <w:rPr>
          <w:i/>
          <w:iCs/>
        </w:rPr>
        <w:t xml:space="preserve">“In my experience, the </w:t>
      </w:r>
      <w:r w:rsidR="00D44C5A">
        <w:rPr>
          <w:i/>
          <w:iCs/>
        </w:rPr>
        <w:t>Disability Employment Service</w:t>
      </w:r>
      <w:r w:rsidRPr="00AE5B32">
        <w:rPr>
          <w:i/>
          <w:iCs/>
        </w:rPr>
        <w:t xml:space="preserve"> operators are quite ableist. And just try and fill a box without seeing me as a person with interests, needs, and passions. One DES recommend[ed] that I work in a call centre, despite me being situational mute in social settings.”</w:t>
      </w:r>
    </w:p>
    <w:p w14:paraId="5F4725D0" w14:textId="77777777" w:rsidR="00F313A3" w:rsidRPr="00F85EC5" w:rsidRDefault="00F313A3" w:rsidP="009135F7">
      <w:pPr>
        <w:ind w:left="1440"/>
      </w:pPr>
      <w:r>
        <w:t>– Participants in Lived X Financial Security and Employment consultation, 2022.</w:t>
      </w:r>
    </w:p>
    <w:p w14:paraId="4782773A" w14:textId="77777777" w:rsidR="00F313A3" w:rsidRDefault="00F313A3" w:rsidP="00F313A3">
      <w:pPr>
        <w:ind w:left="720"/>
        <w:rPr>
          <w:i/>
          <w:iCs/>
        </w:rPr>
      </w:pPr>
      <w:r w:rsidRPr="00467084">
        <w:rPr>
          <w:i/>
          <w:iCs/>
        </w:rPr>
        <w:t>“I could lose my registration as a provisional psychologist specifically because I’m disabled, and a lot of programs where you have to be AHPRA registered, the Australian Health Practitioner Registration Authority”.</w:t>
      </w:r>
    </w:p>
    <w:p w14:paraId="7324BDAA" w14:textId="77777777" w:rsidR="00F313A3" w:rsidRDefault="00F313A3" w:rsidP="009135F7">
      <w:pPr>
        <w:ind w:left="1440"/>
      </w:pPr>
      <w:r>
        <w:t xml:space="preserve">─ Participant in Lived X Inclusion and Decision Making consultation, 2022 </w:t>
      </w:r>
    </w:p>
    <w:p w14:paraId="638D1B8A" w14:textId="77777777" w:rsidR="00F313A3" w:rsidRDefault="00F313A3" w:rsidP="00F313A3">
      <w:pPr>
        <w:ind w:left="720"/>
        <w:rPr>
          <w:i/>
          <w:iCs/>
        </w:rPr>
      </w:pPr>
      <w:r>
        <w:rPr>
          <w:i/>
          <w:iCs/>
        </w:rPr>
        <w:t>“</w:t>
      </w:r>
      <w:r w:rsidRPr="00FA1F9E">
        <w:rPr>
          <w:i/>
          <w:iCs/>
        </w:rPr>
        <w:t>A lot of people tend to think blind/ low vision [equates to] not being able to hear.”</w:t>
      </w:r>
    </w:p>
    <w:p w14:paraId="376675D8" w14:textId="77777777" w:rsidR="00F313A3" w:rsidRPr="00FA1F9E" w:rsidRDefault="00F313A3" w:rsidP="009135F7">
      <w:pPr>
        <w:ind w:left="1440"/>
      </w:pPr>
      <w:r>
        <w:t>─ Participant in Disability Pride Youth Forum, 2022</w:t>
      </w:r>
    </w:p>
    <w:p w14:paraId="70C3AAD8" w14:textId="453E306D" w:rsidR="00F313A3" w:rsidRDefault="00AD59EB" w:rsidP="00F313A3">
      <w:r w:rsidRPr="00AD59EB">
        <w:rPr>
          <w:b/>
          <w:bCs/>
        </w:rPr>
        <w:t xml:space="preserve"> </w:t>
      </w:r>
      <w:r w:rsidR="00F313A3" w:rsidRPr="006A7566">
        <w:t xml:space="preserve">Fundamentally, </w:t>
      </w:r>
      <w:r w:rsidR="00F313A3">
        <w:t xml:space="preserve">dominant socio-cultural understandings and </w:t>
      </w:r>
      <w:r w:rsidR="00F313A3" w:rsidRPr="006A7566">
        <w:t>attitudes – both historical and current –</w:t>
      </w:r>
      <w:r w:rsidR="00F313A3">
        <w:t xml:space="preserve"> </w:t>
      </w:r>
      <w:r w:rsidR="00F313A3" w:rsidRPr="006A7566">
        <w:t xml:space="preserve">are the root of violence and abuse against </w:t>
      </w:r>
      <w:r w:rsidR="00F313A3">
        <w:t xml:space="preserve">children and young </w:t>
      </w:r>
      <w:r w:rsidR="00F313A3" w:rsidRPr="006A7566">
        <w:t xml:space="preserve">people with disability. </w:t>
      </w:r>
      <w:r w:rsidR="00F313A3">
        <w:t xml:space="preserve">The </w:t>
      </w:r>
      <w:r w:rsidR="00F313A3" w:rsidRPr="006A7566">
        <w:t>way we colloquially speak about disability</w:t>
      </w:r>
      <w:r w:rsidR="00F313A3">
        <w:t>, and how it</w:t>
      </w:r>
      <w:r w:rsidR="00F313A3" w:rsidRPr="006A7566">
        <w:t xml:space="preserve"> is considered and represented in policy and law making, </w:t>
      </w:r>
      <w:r w:rsidR="00F313A3">
        <w:t xml:space="preserve">operates alongside the cultural norm of children and young people being expected to yield to powerful others. From this emerges a unique and dangerous dynamic that supports the </w:t>
      </w:r>
      <w:r w:rsidR="00F313A3" w:rsidRPr="006A7566">
        <w:t xml:space="preserve">cultural acceptance of the abuse, neglect and mistreatment of </w:t>
      </w:r>
      <w:r w:rsidR="00F313A3">
        <w:t xml:space="preserve">children and young </w:t>
      </w:r>
      <w:r w:rsidR="00F313A3" w:rsidRPr="006A7566">
        <w:t xml:space="preserve">people with disability. As such, </w:t>
      </w:r>
      <w:r w:rsidR="00F313A3">
        <w:t xml:space="preserve">approaches </w:t>
      </w:r>
      <w:r w:rsidR="00F313A3" w:rsidRPr="006A7566">
        <w:t>that</w:t>
      </w:r>
      <w:r w:rsidR="00F313A3">
        <w:t xml:space="preserve"> disrupt the mechanisms of ableism,</w:t>
      </w:r>
      <w:r w:rsidR="00F313A3" w:rsidRPr="006A7566">
        <w:t xml:space="preserve"> create long-term community attitude change</w:t>
      </w:r>
      <w:r w:rsidR="00F313A3">
        <w:t>,</w:t>
      </w:r>
      <w:r w:rsidR="00F313A3" w:rsidRPr="006A7566">
        <w:t xml:space="preserve"> and promote understanding and respect for people with disability are cr</w:t>
      </w:r>
      <w:r w:rsidR="00F313A3">
        <w:t>itically important</w:t>
      </w:r>
      <w:r w:rsidR="00F313A3" w:rsidRPr="006A7566">
        <w:t>.</w:t>
      </w:r>
    </w:p>
    <w:p w14:paraId="034080F2" w14:textId="67128110" w:rsidR="00175416" w:rsidRPr="002A6755" w:rsidRDefault="00175416" w:rsidP="00F313A3">
      <w:pPr>
        <w:rPr>
          <w:b/>
          <w:bCs/>
        </w:rPr>
      </w:pPr>
      <w:r w:rsidRPr="002A6755">
        <w:rPr>
          <w:b/>
          <w:bCs/>
        </w:rPr>
        <w:t xml:space="preserve">1.2 </w:t>
      </w:r>
      <w:r w:rsidR="009D1597" w:rsidRPr="002A6755">
        <w:rPr>
          <w:b/>
          <w:bCs/>
        </w:rPr>
        <w:t xml:space="preserve">How ableism perpetuates </w:t>
      </w:r>
      <w:r w:rsidR="006117D8" w:rsidRPr="002A6755">
        <w:rPr>
          <w:b/>
          <w:bCs/>
        </w:rPr>
        <w:t xml:space="preserve">harmful </w:t>
      </w:r>
      <w:r w:rsidR="002A6755" w:rsidRPr="002A6755">
        <w:rPr>
          <w:b/>
          <w:bCs/>
        </w:rPr>
        <w:t>policies and practices</w:t>
      </w:r>
    </w:p>
    <w:p w14:paraId="1D7E1655" w14:textId="2D7C4BAD" w:rsidR="00F313A3" w:rsidRDefault="00F313A3" w:rsidP="00F313A3">
      <w:r>
        <w:t xml:space="preserve">As an important </w:t>
      </w:r>
      <w:r w:rsidR="00037FAF">
        <w:t xml:space="preserve">decade-long </w:t>
      </w:r>
      <w:r w:rsidR="005E1BDC">
        <w:t>strategy</w:t>
      </w:r>
      <w:r>
        <w:t xml:space="preserve">, </w:t>
      </w:r>
      <w:r w:rsidR="00F66F2B">
        <w:t xml:space="preserve">investment by the </w:t>
      </w:r>
      <w:r w:rsidR="00871693">
        <w:t>Commonwealth</w:t>
      </w:r>
      <w:r w:rsidR="00F66F2B">
        <w:t xml:space="preserve"> in </w:t>
      </w:r>
      <w:r>
        <w:t xml:space="preserve">the </w:t>
      </w:r>
      <w:r w:rsidR="005E1BDC">
        <w:t>Early Years Approach</w:t>
      </w:r>
      <w:r>
        <w:t>, along with</w:t>
      </w:r>
      <w:r w:rsidR="009338C0">
        <w:t xml:space="preserve"> developing and monitoring </w:t>
      </w:r>
      <w:r w:rsidR="008D4D89">
        <w:t>st</w:t>
      </w:r>
      <w:r w:rsidR="00D2490D">
        <w:t xml:space="preserve">rategic reform in other </w:t>
      </w:r>
      <w:r w:rsidR="009D5D9B">
        <w:t xml:space="preserve">areas </w:t>
      </w:r>
      <w:r w:rsidR="00D2490D">
        <w:t xml:space="preserve">such as </w:t>
      </w:r>
      <w:r w:rsidR="009338C0">
        <w:t xml:space="preserve">Early </w:t>
      </w:r>
      <w:r w:rsidR="00D2490D">
        <w:t>C</w:t>
      </w:r>
      <w:r w:rsidR="009338C0">
        <w:t xml:space="preserve">hildhood </w:t>
      </w:r>
      <w:r w:rsidR="00D2490D">
        <w:t>E</w:t>
      </w:r>
      <w:r w:rsidR="009338C0">
        <w:t xml:space="preserve">ducation and </w:t>
      </w:r>
      <w:r w:rsidR="00D2490D">
        <w:t>C</w:t>
      </w:r>
      <w:r w:rsidR="009338C0">
        <w:t>are</w:t>
      </w:r>
      <w:r w:rsidR="006C5A0C">
        <w:t xml:space="preserve"> and</w:t>
      </w:r>
      <w:r w:rsidR="00D2490D">
        <w:t xml:space="preserve"> </w:t>
      </w:r>
      <w:r w:rsidR="00AD70FB">
        <w:t>Australia’s</w:t>
      </w:r>
      <w:r w:rsidR="009338C0">
        <w:t xml:space="preserve"> Disability Strategy,</w:t>
      </w:r>
      <w:r>
        <w:t xml:space="preserve"> must model an anti-ableist approach in order to avoid inadvertently perpetuating harmful ideas of normative personhood, especially in the context of </w:t>
      </w:r>
      <w:r w:rsidR="00A57D6F">
        <w:t>children</w:t>
      </w:r>
      <w:r>
        <w:t>.</w:t>
      </w:r>
    </w:p>
    <w:p w14:paraId="092B8A15" w14:textId="77777777" w:rsidR="00F313A3" w:rsidRDefault="00F313A3" w:rsidP="00F313A3">
      <w:bookmarkStart w:id="18" w:name="_Hlk121215951"/>
      <w:r>
        <w:t>Fiona Kumari Campbell, disability studies scholar, explains:</w:t>
      </w:r>
    </w:p>
    <w:p w14:paraId="665CFAE1" w14:textId="77777777" w:rsidR="00F313A3" w:rsidRDefault="00F313A3" w:rsidP="00F313A3">
      <w:pPr>
        <w:ind w:left="720"/>
      </w:pPr>
      <w:r w:rsidRPr="00CA5064">
        <w:rPr>
          <w:i/>
          <w:iCs/>
        </w:rPr>
        <w:lastRenderedPageBreak/>
        <w:t>“The norm produces violence by not allowing people to be what they desire to be at the most fundamental aspects of life; hence it is violence by restriction and negation”</w:t>
      </w:r>
      <w:r>
        <w:t>.</w:t>
      </w:r>
      <w:bookmarkEnd w:id="18"/>
      <w:r>
        <w:rPr>
          <w:rStyle w:val="FootnoteReference"/>
        </w:rPr>
        <w:footnoteReference w:id="13"/>
      </w:r>
    </w:p>
    <w:p w14:paraId="1D1709F1" w14:textId="77777777" w:rsidR="008E703B" w:rsidRDefault="00F313A3" w:rsidP="00F313A3">
      <w:r>
        <w:t xml:space="preserve">A culture of ableism, and other forms of discrimination, endure where individual and organisational discrimination goes unchallenged. For instance, segregated delivery of public services perpetuates the belief that people with disability are not worthy of being accommodated alongside everyone else in the community, creating an </w:t>
      </w:r>
      <w:r w:rsidR="002E06A3">
        <w:t>’</w:t>
      </w:r>
      <w:r>
        <w:t>othering</w:t>
      </w:r>
      <w:r w:rsidR="002E06A3">
        <w:t>’</w:t>
      </w:r>
      <w:r>
        <w:t xml:space="preserve"> effect. The Disability Royal Commission demonstrated that within these segregated environments, which children and young people are more commonly funnelled into, people with disability experience more exposure to violence, abuse, neglect and exploitation. This finding prompted CYDA to join with 41 other organisations to call for an end to segregated environments</w:t>
      </w:r>
      <w:r>
        <w:rPr>
          <w:rStyle w:val="FootnoteReference"/>
        </w:rPr>
        <w:footnoteReference w:id="14"/>
      </w:r>
      <w:r>
        <w:t xml:space="preserve">. </w:t>
      </w:r>
    </w:p>
    <w:p w14:paraId="0F6A124D" w14:textId="77777777" w:rsidR="009317B0" w:rsidRDefault="00F313A3" w:rsidP="00F313A3">
      <w:r>
        <w:t>Similar to the extensive research that was conducted to create a sociological framework to address family violence</w:t>
      </w:r>
      <w:r>
        <w:rPr>
          <w:rStyle w:val="FootnoteReference"/>
        </w:rPr>
        <w:footnoteReference w:id="15"/>
      </w:r>
      <w:r>
        <w:t>, ableism requires a reckoning to expose the structures, norms and practices that maintain and perpetuate discrimination and abuse at every level in society. The work of the Disability Royal Commission initiated this process in an institutional setting, finding substantial evidence to demonstrate that inclusion benefits everyone</w:t>
      </w:r>
      <w:r>
        <w:rPr>
          <w:rStyle w:val="FootnoteReference"/>
        </w:rPr>
        <w:footnoteReference w:id="16"/>
      </w:r>
      <w:r>
        <w:t xml:space="preserve">. </w:t>
      </w:r>
    </w:p>
    <w:p w14:paraId="18116CDF" w14:textId="00B7349D" w:rsidR="00F313A3" w:rsidRDefault="00F313A3" w:rsidP="00F313A3">
      <w:r>
        <w:t xml:space="preserve">At the grassroots level, largely comprised of young people with disability, a disability pride movement is growing in response to the entrenched ableism that negatively impacts their daily life.  </w:t>
      </w:r>
    </w:p>
    <w:p w14:paraId="6F8A6666" w14:textId="77777777" w:rsidR="00F313A3" w:rsidRDefault="00F313A3" w:rsidP="00F313A3">
      <w:r>
        <w:t>One young person on social media articulates this movement as follows:</w:t>
      </w:r>
    </w:p>
    <w:p w14:paraId="2B874A85" w14:textId="77777777" w:rsidR="00F313A3" w:rsidRPr="005B2420" w:rsidRDefault="00F313A3" w:rsidP="00F313A3">
      <w:pPr>
        <w:ind w:left="720"/>
        <w:rPr>
          <w:i/>
          <w:iCs/>
        </w:rPr>
      </w:pPr>
      <w:r>
        <w:rPr>
          <w:i/>
          <w:iCs/>
        </w:rPr>
        <w:t>“</w:t>
      </w:r>
      <w:r w:rsidRPr="005B2420">
        <w:rPr>
          <w:i/>
          <w:iCs/>
        </w:rPr>
        <w:t>Disability Pride is the reckoning of The Ableist Society—of course it doesn’t want us to find our Disability Pride as Disability Pride threatens its very existence. When the systems of oppression rely on ignorance and exclusion, Disability Pride is a danger.</w:t>
      </w:r>
    </w:p>
    <w:p w14:paraId="0042A6B7" w14:textId="77777777" w:rsidR="00F313A3" w:rsidRPr="005B2420" w:rsidRDefault="00F313A3" w:rsidP="00F313A3">
      <w:pPr>
        <w:ind w:left="720"/>
        <w:rPr>
          <w:i/>
          <w:iCs/>
        </w:rPr>
      </w:pPr>
      <w:r w:rsidRPr="005B2420">
        <w:rPr>
          <w:i/>
          <w:iCs/>
        </w:rPr>
        <w:t>When we are pridefully disabled, we live in direct rebellion of the status quo and challenge the systems that be through radical self acceptance. We are able to see through the world’s longest generational curse and fight back against the inhumane devaluation of Disability. The stigmas surrounding my disabled identity is not my burden to bear, but to break.</w:t>
      </w:r>
      <w:r>
        <w:rPr>
          <w:i/>
          <w:iCs/>
        </w:rPr>
        <w:t>”</w:t>
      </w:r>
      <w:r>
        <w:rPr>
          <w:rStyle w:val="FootnoteReference"/>
          <w:i/>
          <w:iCs/>
        </w:rPr>
        <w:footnoteReference w:id="17"/>
      </w:r>
    </w:p>
    <w:p w14:paraId="18025828" w14:textId="3CFD2256" w:rsidR="00F313A3" w:rsidRDefault="00F313A3" w:rsidP="00F313A3">
      <w:r>
        <w:t xml:space="preserve">Listening to the concerns and aspirations of young people, and recognising the powerful force of this movement, CYDA held a Disability Pride Youth Forum in September 2022. This formed the basis of one of </w:t>
      </w:r>
      <w:r w:rsidRPr="00DE156A">
        <w:t>our final submissions</w:t>
      </w:r>
      <w:r>
        <w:t xml:space="preserve"> to the Disability Royal Commission. The following quotes from participants highlight the importance of this movement in combating ableism</w:t>
      </w:r>
      <w:r w:rsidR="007155BC">
        <w:t>:</w:t>
      </w:r>
      <w:r>
        <w:t xml:space="preserve">   </w:t>
      </w:r>
    </w:p>
    <w:p w14:paraId="2CFCA750" w14:textId="64D07AA6" w:rsidR="00F313A3" w:rsidRPr="00B152D2" w:rsidRDefault="00F313A3" w:rsidP="00F313A3">
      <w:pPr>
        <w:ind w:left="720"/>
        <w:rPr>
          <w:i/>
          <w:iCs/>
        </w:rPr>
      </w:pPr>
      <w:r w:rsidRPr="00B152D2">
        <w:rPr>
          <w:i/>
          <w:iCs/>
        </w:rPr>
        <w:t>“ [</w:t>
      </w:r>
      <w:r w:rsidR="000122EB">
        <w:rPr>
          <w:i/>
          <w:iCs/>
        </w:rPr>
        <w:t>F</w:t>
      </w:r>
      <w:r w:rsidRPr="00B152D2">
        <w:rPr>
          <w:i/>
          <w:iCs/>
        </w:rPr>
        <w:t>or me this means] taking pride in my existence regardless of my disability…. Being the best version of myself [and] not yearning to be like another person.”</w:t>
      </w:r>
    </w:p>
    <w:p w14:paraId="73AB736B" w14:textId="78751D00" w:rsidR="00F313A3" w:rsidRPr="00B152D2" w:rsidRDefault="00F313A3" w:rsidP="00F313A3">
      <w:pPr>
        <w:ind w:left="720"/>
        <w:rPr>
          <w:i/>
          <w:iCs/>
        </w:rPr>
      </w:pPr>
      <w:r w:rsidRPr="00B152D2">
        <w:rPr>
          <w:i/>
          <w:iCs/>
        </w:rPr>
        <w:lastRenderedPageBreak/>
        <w:t>“[</w:t>
      </w:r>
      <w:r w:rsidR="000122EB">
        <w:rPr>
          <w:i/>
          <w:iCs/>
        </w:rPr>
        <w:t>T</w:t>
      </w:r>
      <w:r w:rsidRPr="00B152D2">
        <w:rPr>
          <w:i/>
          <w:iCs/>
        </w:rPr>
        <w:t>o help us share in pride] we need to check [look out] for each other, makes sure we are included in government activities and politics.”</w:t>
      </w:r>
    </w:p>
    <w:p w14:paraId="085D1D4E" w14:textId="77777777" w:rsidR="003716A1" w:rsidRDefault="003716A1" w:rsidP="00F313A3">
      <w:pPr>
        <w:rPr>
          <w:b/>
          <w:bCs/>
        </w:rPr>
      </w:pPr>
    </w:p>
    <w:p w14:paraId="63DA2F5C" w14:textId="08322FB6" w:rsidR="00804BDF" w:rsidRPr="003716A1" w:rsidRDefault="00804BDF" w:rsidP="00F313A3">
      <w:pPr>
        <w:rPr>
          <w:b/>
          <w:bCs/>
        </w:rPr>
      </w:pPr>
      <w:r w:rsidRPr="003716A1">
        <w:rPr>
          <w:b/>
          <w:bCs/>
        </w:rPr>
        <w:t>1.3 Improving</w:t>
      </w:r>
      <w:r w:rsidR="00F85302" w:rsidRPr="003716A1">
        <w:rPr>
          <w:b/>
          <w:bCs/>
        </w:rPr>
        <w:t xml:space="preserve"> </w:t>
      </w:r>
      <w:r w:rsidR="003716A1" w:rsidRPr="003716A1">
        <w:rPr>
          <w:b/>
          <w:bCs/>
        </w:rPr>
        <w:t>policies and practices through an anti-ableist approach</w:t>
      </w:r>
    </w:p>
    <w:p w14:paraId="01E92C6A" w14:textId="7E4979FF" w:rsidR="0043423B" w:rsidRDefault="00F313A3" w:rsidP="00F313A3">
      <w:r>
        <w:t xml:space="preserve">Truly innovative and effective </w:t>
      </w:r>
      <w:r w:rsidR="000B26BE">
        <w:t>early childhood approaches</w:t>
      </w:r>
      <w:r>
        <w:t xml:space="preserve"> need to begin with anti-ableism</w:t>
      </w:r>
      <w:r>
        <w:rPr>
          <w:rStyle w:val="FootnoteReference"/>
        </w:rPr>
        <w:footnoteReference w:id="18"/>
      </w:r>
      <w:r>
        <w:t xml:space="preserve">. Using this ideology to underpin </w:t>
      </w:r>
      <w:r w:rsidR="00143B13">
        <w:t xml:space="preserve">the development of The </w:t>
      </w:r>
      <w:r w:rsidR="0043423B">
        <w:t>Strategy</w:t>
      </w:r>
      <w:r>
        <w:t xml:space="preserve"> will highlight the core beliefs, practices and processes that steer the department’s conceptual framework and all the activities that flow from it. </w:t>
      </w:r>
      <w:r w:rsidR="00C17762" w:rsidRPr="00C17762">
        <w:t xml:space="preserve">This kind of review work can be as simple as analysing a piece of content to consider how problems are framed. </w:t>
      </w:r>
    </w:p>
    <w:p w14:paraId="2A035C17" w14:textId="02634D6C" w:rsidR="0043423B" w:rsidRDefault="0043423B" w:rsidP="0043423B">
      <w:r w:rsidRPr="0043423B">
        <w:t>Barriers to inclusive education prevent children and young people who experience disability from learning and participating fully, with far-reaching and lifelong implications. Major barriers include negative attitudes and stigma around ‘difference’ and ‘disability’, inadequate education and professional development for teachers and specialist support staff, and systemic barriers, such as inadequate funding and support from education authorities. Underpinning these barriers is ongoing ableism.</w:t>
      </w:r>
    </w:p>
    <w:p w14:paraId="37B7E035" w14:textId="77777777" w:rsidR="0031112B" w:rsidRPr="0031112B" w:rsidRDefault="0031112B" w:rsidP="0031112B">
      <w:r w:rsidRPr="0031112B">
        <w:t xml:space="preserve">There continues to be considerable discussion of the potential of education to bring about social change, with emphasis placed on the importance of working with children, from an early age onwards, to break the cycle of entrenched ableism. However, if adults have not examined their own attitudes and practices, they are likely to perpetuate that cycle and ultimately prevent inclusive education being realised. </w:t>
      </w:r>
    </w:p>
    <w:p w14:paraId="7181C543" w14:textId="2421172A" w:rsidR="0043423B" w:rsidRDefault="0031112B" w:rsidP="0031112B">
      <w:r w:rsidRPr="0031112B">
        <w:t>Children and young people’s attitudes and choices are shaped significantly by the attitudes of their family and community. There is also a growing body of research demonstrating the importance of teacher attitudes. Research finds that positive teacher attitudes are a key to inclusive practice, creating the necessary conditions for engaging in inclusive education.</w:t>
      </w:r>
    </w:p>
    <w:p w14:paraId="595C283C" w14:textId="77777777" w:rsidR="001A78B8" w:rsidRDefault="001A78B8" w:rsidP="00F313A3">
      <w:pPr>
        <w:rPr>
          <w:b/>
          <w:bCs/>
        </w:rPr>
      </w:pPr>
    </w:p>
    <w:p w14:paraId="0B3FD919" w14:textId="6F5635D5" w:rsidR="001A78B8" w:rsidRPr="001A78B8" w:rsidRDefault="001A78B8" w:rsidP="00F313A3">
      <w:pPr>
        <w:rPr>
          <w:b/>
          <w:bCs/>
        </w:rPr>
      </w:pPr>
      <w:r w:rsidRPr="001A78B8">
        <w:rPr>
          <w:b/>
          <w:bCs/>
        </w:rPr>
        <w:t>1.4 Applying an anti-ableist approach to The Early Years Strategy</w:t>
      </w:r>
    </w:p>
    <w:p w14:paraId="34A24D13" w14:textId="490E85A0" w:rsidR="00F313A3" w:rsidRPr="00156DBD" w:rsidRDefault="00F313A3" w:rsidP="00F313A3">
      <w:r w:rsidRPr="00156DBD">
        <w:t xml:space="preserve">This kind of review work can be as simple as analysing a piece of content to consider how problems are framed. The example below from </w:t>
      </w:r>
      <w:bookmarkStart w:id="19" w:name="_Hlk133666510"/>
      <w:r w:rsidR="005742C6" w:rsidRPr="00156DBD">
        <w:t xml:space="preserve">The Early Years Strategy </w:t>
      </w:r>
      <w:r w:rsidR="002105CD" w:rsidRPr="00156DBD">
        <w:t>Discussion</w:t>
      </w:r>
      <w:r w:rsidR="00621840">
        <w:t xml:space="preserve"> </w:t>
      </w:r>
      <w:r w:rsidR="00B83F69">
        <w:t>Paper</w:t>
      </w:r>
      <w:r w:rsidR="00A57653">
        <w:t xml:space="preserve"> (Section 2, p.10)</w:t>
      </w:r>
      <w:bookmarkEnd w:id="19"/>
      <w:r w:rsidR="005714B7">
        <w:rPr>
          <w:rStyle w:val="FootnoteReference"/>
        </w:rPr>
        <w:footnoteReference w:id="19"/>
      </w:r>
      <w:r w:rsidRPr="00156DBD">
        <w:t xml:space="preserve"> uses an ableist lens to describe </w:t>
      </w:r>
      <w:r w:rsidR="00BE3675" w:rsidRPr="00156DBD">
        <w:t xml:space="preserve">the </w:t>
      </w:r>
      <w:r w:rsidRPr="00156DBD">
        <w:t>problem</w:t>
      </w:r>
      <w:r w:rsidR="00156DBD" w:rsidRPr="00156DBD">
        <w:t xml:space="preserve"> of developmental vulnerability</w:t>
      </w:r>
      <w:r w:rsidRPr="00156DBD">
        <w:t xml:space="preserve">.    </w:t>
      </w:r>
    </w:p>
    <w:p w14:paraId="5173951D" w14:textId="09DC501C" w:rsidR="00F313A3" w:rsidRPr="00156DBD" w:rsidRDefault="00F313A3" w:rsidP="001C41CD">
      <w:pPr>
        <w:ind w:left="720"/>
        <w:rPr>
          <w:i/>
          <w:iCs/>
          <w:lang w:val="en-US"/>
        </w:rPr>
      </w:pPr>
      <w:r w:rsidRPr="00156DBD">
        <w:rPr>
          <w:i/>
          <w:iCs/>
        </w:rPr>
        <w:t>“</w:t>
      </w:r>
      <w:r w:rsidR="00040633" w:rsidRPr="00156DBD">
        <w:rPr>
          <w:i/>
          <w:iCs/>
          <w:lang w:val="en-US"/>
        </w:rPr>
        <w:t>S</w:t>
      </w:r>
      <w:r w:rsidR="002105CD" w:rsidRPr="00156DBD">
        <w:rPr>
          <w:i/>
          <w:iCs/>
          <w:lang w:val="en-US"/>
        </w:rPr>
        <w:t>ome groups are more likely to experience developmental vulnerability - First Nations children, children in regional and remote areas, children with language backgrounds other than English, and children with disability. Children frequently experience more than one kind of disadvantage. For example, children with disability are more likely to live in single income households (Sollis, 2019); and regional and remote</w:t>
      </w:r>
      <w:r w:rsidR="007E664B" w:rsidRPr="00156DBD">
        <w:rPr>
          <w:i/>
          <w:iCs/>
          <w:lang w:val="en-US"/>
        </w:rPr>
        <w:t xml:space="preserve"> </w:t>
      </w:r>
      <w:r w:rsidR="002105CD" w:rsidRPr="002105CD">
        <w:rPr>
          <w:i/>
          <w:iCs/>
          <w:lang w:val="en-US"/>
        </w:rPr>
        <w:t>areas are more likely to be socio-economically disadvantaged (ABS, 2016). These multiple types of vulnerability compound and make it harder for children and families to thrive without the right support</w:t>
      </w:r>
      <w:r w:rsidR="007E47AC">
        <w:rPr>
          <w:i/>
          <w:iCs/>
          <w:lang w:val="en-US"/>
        </w:rPr>
        <w:t>.</w:t>
      </w:r>
      <w:r w:rsidR="00C85848">
        <w:rPr>
          <w:i/>
          <w:iCs/>
          <w:lang w:val="en-US"/>
        </w:rPr>
        <w:t>”</w:t>
      </w:r>
    </w:p>
    <w:p w14:paraId="5A2C50C0" w14:textId="290FDC9B" w:rsidR="00F313A3" w:rsidRPr="0010297A" w:rsidRDefault="00F313A3" w:rsidP="00F313A3">
      <w:r w:rsidRPr="00156DBD">
        <w:lastRenderedPageBreak/>
        <w:t>Framing the subject as ‘</w:t>
      </w:r>
      <w:r w:rsidR="00D70B0A">
        <w:t>some</w:t>
      </w:r>
      <w:r w:rsidRPr="00156DBD">
        <w:t xml:space="preserve"> groups’ creates distance that serves to relegate people with disability to the category of </w:t>
      </w:r>
      <w:r w:rsidR="00CE4A22">
        <w:t>’</w:t>
      </w:r>
      <w:r w:rsidRPr="00156DBD">
        <w:t>other</w:t>
      </w:r>
      <w:r w:rsidR="00CE4A22">
        <w:t>’</w:t>
      </w:r>
      <w:r w:rsidRPr="00156DBD">
        <w:t xml:space="preserve">, making it easier to discriminate against them. The </w:t>
      </w:r>
      <w:r w:rsidR="00751854">
        <w:t xml:space="preserve">above </w:t>
      </w:r>
      <w:r w:rsidRPr="00156DBD">
        <w:t>paragraph in the</w:t>
      </w:r>
      <w:r w:rsidR="00D70B0A">
        <w:t xml:space="preserve"> Discussion Paper</w:t>
      </w:r>
      <w:r w:rsidRPr="00156DBD">
        <w:t xml:space="preserve"> then assigns vulnerability, and in turn the source of the problem, to the states and traits of people with disability (</w:t>
      </w:r>
      <w:r w:rsidR="00C86A72">
        <w:t>single income households</w:t>
      </w:r>
      <w:r w:rsidRPr="00156DBD">
        <w:t xml:space="preserve">, education, where they live), casting them as outside the norm and problematising them. This form of ableism has been highlighted by researchers as obscuring the role of the social environment in disability, causing people to “falsely treat impairments as inherently and naturally horrible and blame the impairments themselves for the problems experienced by </w:t>
      </w:r>
      <w:r w:rsidRPr="0010297A">
        <w:t>the people who have them”.</w:t>
      </w:r>
      <w:r w:rsidRPr="0010297A">
        <w:rPr>
          <w:rStyle w:val="FootnoteReference"/>
        </w:rPr>
        <w:footnoteReference w:id="20"/>
      </w:r>
    </w:p>
    <w:p w14:paraId="7122C012" w14:textId="77777777" w:rsidR="00F313A3" w:rsidRPr="0010297A" w:rsidRDefault="00F313A3" w:rsidP="00F313A3">
      <w:r w:rsidRPr="0010297A">
        <w:t>The focus and emphasis of the paragraph should be on the actual problem – the ableist systems of beliefs, processes and practices that people with disability have no choice but to engage with, in order to live their lives. Drawing on the social model of disability as well as anti-ableist principles this paragraph can be more accurately written as:</w:t>
      </w:r>
    </w:p>
    <w:p w14:paraId="5D2F6913" w14:textId="1346B1E5" w:rsidR="00F313A3" w:rsidRPr="0010297A" w:rsidRDefault="00F313A3" w:rsidP="00561CF4">
      <w:pPr>
        <w:ind w:left="720"/>
        <w:rPr>
          <w:i/>
          <w:iCs/>
        </w:rPr>
      </w:pPr>
      <w:r w:rsidRPr="0010297A">
        <w:rPr>
          <w:i/>
          <w:iCs/>
        </w:rPr>
        <w:t xml:space="preserve">A network of inherently ableist beliefs, processes and practices operating across the </w:t>
      </w:r>
      <w:r w:rsidR="00B03EF3" w:rsidRPr="0010297A">
        <w:rPr>
          <w:i/>
          <w:iCs/>
        </w:rPr>
        <w:t>government services</w:t>
      </w:r>
      <w:r w:rsidRPr="0010297A">
        <w:rPr>
          <w:i/>
          <w:iCs/>
        </w:rPr>
        <w:t xml:space="preserve"> responsible for delivering education, healthcare, housing, transport, and welfare, can be identified as the key contributor for </w:t>
      </w:r>
      <w:r w:rsidR="00AC2D22" w:rsidRPr="0010297A">
        <w:rPr>
          <w:i/>
          <w:iCs/>
        </w:rPr>
        <w:t>children</w:t>
      </w:r>
      <w:r w:rsidRPr="0010297A">
        <w:rPr>
          <w:i/>
          <w:iCs/>
        </w:rPr>
        <w:t xml:space="preserve"> with disability experiencing disproportionately higher rates of </w:t>
      </w:r>
      <w:r w:rsidR="00AC2D22" w:rsidRPr="0010297A">
        <w:rPr>
          <w:i/>
          <w:iCs/>
        </w:rPr>
        <w:t>soc</w:t>
      </w:r>
      <w:r w:rsidR="00961C11" w:rsidRPr="0010297A">
        <w:rPr>
          <w:i/>
          <w:iCs/>
        </w:rPr>
        <w:t>io-econom</w:t>
      </w:r>
      <w:r w:rsidR="00516CCA" w:rsidRPr="0010297A">
        <w:rPr>
          <w:i/>
          <w:iCs/>
        </w:rPr>
        <w:t>i</w:t>
      </w:r>
      <w:r w:rsidR="00961C11" w:rsidRPr="0010297A">
        <w:rPr>
          <w:i/>
          <w:iCs/>
        </w:rPr>
        <w:t xml:space="preserve">c disadvantage </w:t>
      </w:r>
      <w:r w:rsidR="00516CCA" w:rsidRPr="0010297A">
        <w:rPr>
          <w:i/>
          <w:iCs/>
        </w:rPr>
        <w:t>than their non-disabled peers</w:t>
      </w:r>
      <w:r w:rsidR="00D65FDB" w:rsidRPr="0010297A">
        <w:rPr>
          <w:i/>
          <w:iCs/>
        </w:rPr>
        <w:t>.</w:t>
      </w:r>
    </w:p>
    <w:p w14:paraId="7EDEE586" w14:textId="77777777" w:rsidR="00F313A3" w:rsidRPr="0010297A" w:rsidRDefault="00F313A3" w:rsidP="00F313A3">
      <w:r w:rsidRPr="0010297A">
        <w:t xml:space="preserve">Re-writing this phrase has the effect of re-framing the way the reader thinks about the topic and indeed what they consider the problem to be, in this case the structures, mechanisms and practices across the social services sector, rather than the users of those services.  </w:t>
      </w:r>
    </w:p>
    <w:p w14:paraId="48184DE6" w14:textId="70EAFDB1" w:rsidR="00F313A3" w:rsidRPr="0010297A" w:rsidRDefault="00F313A3" w:rsidP="00F313A3">
      <w:r w:rsidRPr="0010297A">
        <w:t>If we consider the</w:t>
      </w:r>
      <w:r w:rsidR="00DA22ED">
        <w:t xml:space="preserve"> following statement</w:t>
      </w:r>
      <w:r w:rsidR="00A62E99">
        <w:t xml:space="preserve"> (italicised below)</w:t>
      </w:r>
      <w:r w:rsidR="00DA22ED">
        <w:t xml:space="preserve">, taken from the </w:t>
      </w:r>
      <w:r w:rsidR="004F3FB7">
        <w:t xml:space="preserve">same </w:t>
      </w:r>
      <w:r w:rsidR="00DA22ED">
        <w:t>paragraph in the discussion paper</w:t>
      </w:r>
      <w:r w:rsidRPr="0010297A">
        <w:t xml:space="preserve">, perhaps we can highlight the </w:t>
      </w:r>
      <w:r w:rsidR="0059212F">
        <w:t>problem</w:t>
      </w:r>
      <w:r w:rsidRPr="0010297A">
        <w:t xml:space="preserve"> of assigning the success or failure of a system on its users</w:t>
      </w:r>
      <w:r w:rsidR="0043623E">
        <w:t xml:space="preserve">, by </w:t>
      </w:r>
      <w:r w:rsidR="0043623E" w:rsidRPr="0010297A">
        <w:t>using the same reframing approach</w:t>
      </w:r>
      <w:r w:rsidRPr="0010297A">
        <w:t xml:space="preserve">. </w:t>
      </w:r>
    </w:p>
    <w:p w14:paraId="67715315" w14:textId="575CAC85" w:rsidR="00F313A3" w:rsidRPr="0010297A" w:rsidRDefault="00F313A3" w:rsidP="00561CF4">
      <w:pPr>
        <w:ind w:left="720"/>
        <w:rPr>
          <w:i/>
          <w:iCs/>
        </w:rPr>
      </w:pPr>
      <w:r w:rsidRPr="0010297A">
        <w:rPr>
          <w:i/>
          <w:iCs/>
        </w:rPr>
        <w:t>“</w:t>
      </w:r>
      <w:r w:rsidR="00295828" w:rsidRPr="00156DBD">
        <w:rPr>
          <w:i/>
          <w:iCs/>
          <w:lang w:val="en-US"/>
        </w:rPr>
        <w:t xml:space="preserve">Some groups are more likely to experience developmental vulnerability </w:t>
      </w:r>
      <w:r w:rsidR="00783B38">
        <w:rPr>
          <w:i/>
          <w:iCs/>
          <w:lang w:val="en-US"/>
        </w:rPr>
        <w:t xml:space="preserve">. . . </w:t>
      </w:r>
      <w:r w:rsidR="00C7481D" w:rsidRPr="0010297A">
        <w:rPr>
          <w:i/>
          <w:iCs/>
        </w:rPr>
        <w:t>These multiple types of vulnerability compound and make it harder for children and families to thrive</w:t>
      </w:r>
      <w:r w:rsidRPr="0010297A">
        <w:rPr>
          <w:i/>
          <w:iCs/>
        </w:rPr>
        <w:t>”.</w:t>
      </w:r>
      <w:r w:rsidR="00123177" w:rsidRPr="00123177">
        <w:rPr>
          <w:rStyle w:val="Footer"/>
        </w:rPr>
        <w:t xml:space="preserve"> </w:t>
      </w:r>
      <w:r w:rsidR="00123177">
        <w:rPr>
          <w:rStyle w:val="FootnoteReference"/>
        </w:rPr>
        <w:footnoteReference w:id="21"/>
      </w:r>
      <w:r w:rsidRPr="0010297A">
        <w:rPr>
          <w:i/>
          <w:iCs/>
        </w:rPr>
        <w:t xml:space="preserve">  </w:t>
      </w:r>
    </w:p>
    <w:p w14:paraId="018D475E" w14:textId="2B810D68" w:rsidR="00F313A3" w:rsidRPr="0010297A" w:rsidRDefault="00F313A3" w:rsidP="00F313A3">
      <w:r w:rsidRPr="0010297A">
        <w:t xml:space="preserve">Rather than trying to solve the ‘problem’ </w:t>
      </w:r>
      <w:r w:rsidR="008D21FC">
        <w:t xml:space="preserve">of </w:t>
      </w:r>
      <w:r w:rsidR="002120F4" w:rsidRPr="0010297A">
        <w:t>develop</w:t>
      </w:r>
      <w:r w:rsidR="00432BC6" w:rsidRPr="0010297A">
        <w:t>m</w:t>
      </w:r>
      <w:r w:rsidR="002120F4" w:rsidRPr="0010297A">
        <w:t>ental vulnerability</w:t>
      </w:r>
      <w:r w:rsidRPr="0010297A">
        <w:t xml:space="preserve"> </w:t>
      </w:r>
      <w:r w:rsidR="005F2443">
        <w:t>o</w:t>
      </w:r>
      <w:r w:rsidR="0064722C">
        <w:t>f</w:t>
      </w:r>
      <w:r w:rsidRPr="0010297A">
        <w:t xml:space="preserve"> </w:t>
      </w:r>
      <w:r w:rsidR="002120F4" w:rsidRPr="0010297A">
        <w:t>children</w:t>
      </w:r>
      <w:r w:rsidRPr="0010297A">
        <w:t xml:space="preserve"> with disability, this should focus on the root cause of the problem:</w:t>
      </w:r>
    </w:p>
    <w:p w14:paraId="62531B1C" w14:textId="77777777" w:rsidR="008C1FA1" w:rsidRPr="0010297A" w:rsidRDefault="00F313A3" w:rsidP="00561CF4">
      <w:pPr>
        <w:ind w:left="720"/>
        <w:rPr>
          <w:i/>
          <w:iCs/>
        </w:rPr>
      </w:pPr>
      <w:r w:rsidRPr="0010297A">
        <w:rPr>
          <w:i/>
          <w:iCs/>
        </w:rPr>
        <w:t xml:space="preserve">The overall aim…is to disrupt the network of inherently ableist beliefs, processes and practices within </w:t>
      </w:r>
      <w:r w:rsidR="00F213E1" w:rsidRPr="0010297A">
        <w:rPr>
          <w:i/>
          <w:iCs/>
        </w:rPr>
        <w:t>early childhood education and care</w:t>
      </w:r>
      <w:r w:rsidRPr="0010297A">
        <w:rPr>
          <w:i/>
          <w:iCs/>
        </w:rPr>
        <w:t xml:space="preserve">, policy and practice that prevent </w:t>
      </w:r>
      <w:r w:rsidR="00F4486E" w:rsidRPr="0010297A">
        <w:rPr>
          <w:i/>
          <w:iCs/>
        </w:rPr>
        <w:t>early childhood settings</w:t>
      </w:r>
      <w:r w:rsidRPr="0010297A">
        <w:rPr>
          <w:i/>
          <w:iCs/>
        </w:rPr>
        <w:t xml:space="preserve"> from creating meaningful, sustainable, and </w:t>
      </w:r>
      <w:r w:rsidR="005E2663" w:rsidRPr="0010297A">
        <w:rPr>
          <w:i/>
          <w:iCs/>
        </w:rPr>
        <w:t xml:space="preserve">inclusive </w:t>
      </w:r>
      <w:r w:rsidRPr="0010297A">
        <w:rPr>
          <w:i/>
          <w:iCs/>
        </w:rPr>
        <w:t xml:space="preserve">opportunities for </w:t>
      </w:r>
      <w:r w:rsidR="005E2663" w:rsidRPr="0010297A">
        <w:rPr>
          <w:i/>
          <w:iCs/>
        </w:rPr>
        <w:t>children</w:t>
      </w:r>
      <w:r w:rsidRPr="0010297A">
        <w:rPr>
          <w:i/>
          <w:iCs/>
        </w:rPr>
        <w:t xml:space="preserve"> with disability. </w:t>
      </w:r>
      <w:r w:rsidR="008C1FA1" w:rsidRPr="0010297A">
        <w:rPr>
          <w:i/>
          <w:iCs/>
        </w:rPr>
        <w:t xml:space="preserve"> </w:t>
      </w:r>
    </w:p>
    <w:p w14:paraId="6B3441D5" w14:textId="70A418AA" w:rsidR="009E7A27" w:rsidRPr="00561CF4" w:rsidRDefault="009E7A27" w:rsidP="00F313A3">
      <w:pPr>
        <w:rPr>
          <w:i/>
          <w:iCs/>
          <w:sz w:val="20"/>
          <w:szCs w:val="20"/>
        </w:rPr>
      </w:pPr>
      <w:r w:rsidRPr="00561CF4">
        <w:rPr>
          <w:rFonts w:cs="Helvetica 45 Light"/>
          <w:color w:val="000000"/>
          <w:szCs w:val="21"/>
        </w:rPr>
        <w:t>There is growing evidence to suggest that investment in early childhood education and care can be an important way to improve the cognitive and social development of children. The skills and competences that children acquire at this stage facilitate learning through the rest of a child’s life</w:t>
      </w:r>
      <w:r w:rsidR="00312D0B" w:rsidRPr="00561CF4">
        <w:rPr>
          <w:rFonts w:cs="Helvetica 45 Light"/>
          <w:color w:val="000000"/>
          <w:szCs w:val="21"/>
        </w:rPr>
        <w:t>.</w:t>
      </w:r>
      <w:r w:rsidR="00312D0B" w:rsidRPr="00561CF4">
        <w:rPr>
          <w:rStyle w:val="FootnoteReference"/>
          <w:rFonts w:cs="Helvetica 45 Light"/>
          <w:color w:val="000000"/>
          <w:szCs w:val="21"/>
        </w:rPr>
        <w:footnoteReference w:id="22"/>
      </w:r>
    </w:p>
    <w:p w14:paraId="59958DD7" w14:textId="5872EA22" w:rsidR="00F313A3" w:rsidRDefault="00F313A3" w:rsidP="003C44D0">
      <w:r w:rsidRPr="0010297A">
        <w:t xml:space="preserve">Unless underlying </w:t>
      </w:r>
      <w:r w:rsidR="009F057A" w:rsidRPr="0010297A">
        <w:t xml:space="preserve">ableist </w:t>
      </w:r>
      <w:r w:rsidRPr="0010297A">
        <w:t xml:space="preserve">assumptions and biases are made explicit, </w:t>
      </w:r>
      <w:r w:rsidR="0052692D" w:rsidRPr="0010297A">
        <w:t xml:space="preserve">The Strategy </w:t>
      </w:r>
      <w:r w:rsidRPr="0010297A">
        <w:t xml:space="preserve">risks the same outcomes as many of the </w:t>
      </w:r>
      <w:r w:rsidR="0052692D" w:rsidRPr="0010297A">
        <w:t>strategies</w:t>
      </w:r>
      <w:r w:rsidRPr="0010297A">
        <w:t xml:space="preserve"> that preceded it.  As the discussion paper </w:t>
      </w:r>
      <w:r w:rsidRPr="0010297A">
        <w:lastRenderedPageBreak/>
        <w:t>outlines, "</w:t>
      </w:r>
      <w:r w:rsidR="009F057A" w:rsidRPr="00D31705">
        <w:rPr>
          <w:i/>
          <w:iCs/>
        </w:rPr>
        <w:t>Many of these Commonwealth early childhood policies and programs and their funding are delivered across different departments and agencies. This structure tends to create silos that discourage collaboration across organisations and may hamper the Commonwealth’s efforts to deliver the best outcomes for children and families. While some inroads have been made into improving service delivery and coordination in the early years, there is still more to be done</w:t>
      </w:r>
      <w:r w:rsidRPr="0010297A">
        <w:t xml:space="preserve">". </w:t>
      </w:r>
      <w:r w:rsidR="005318F5" w:rsidRPr="0010297A">
        <w:t>(p.5)</w:t>
      </w:r>
    </w:p>
    <w:p w14:paraId="639DC67E" w14:textId="79C33624" w:rsidR="003074A6" w:rsidRDefault="003074A6" w:rsidP="003C44D0">
      <w:r>
        <w:t>We are</w:t>
      </w:r>
      <w:r w:rsidR="00B55C10">
        <w:t xml:space="preserve"> </w:t>
      </w:r>
      <w:r>
        <w:t xml:space="preserve">heartened by </w:t>
      </w:r>
      <w:r w:rsidR="00A375DA">
        <w:t xml:space="preserve">the anti-ableist sentiment in </w:t>
      </w:r>
      <w:r w:rsidR="00254B6E">
        <w:t xml:space="preserve">some </w:t>
      </w:r>
      <w:r w:rsidR="00A375DA">
        <w:t>aspects</w:t>
      </w:r>
      <w:r w:rsidR="00254B6E">
        <w:t xml:space="preserve"> of</w:t>
      </w:r>
      <w:r>
        <w:t xml:space="preserve"> </w:t>
      </w:r>
      <w:r w:rsidR="003D2C59">
        <w:t xml:space="preserve">the </w:t>
      </w:r>
      <w:r>
        <w:t>discussion paper</w:t>
      </w:r>
      <w:r w:rsidR="000C0EAF">
        <w:t xml:space="preserve">, </w:t>
      </w:r>
      <w:r w:rsidR="006A72C8">
        <w:t>which are respectful and inclusive of diversity</w:t>
      </w:r>
      <w:r w:rsidR="003D2C59">
        <w:t xml:space="preserve">: </w:t>
      </w:r>
      <w:r w:rsidR="00326195">
        <w:t>“</w:t>
      </w:r>
      <w:r w:rsidR="00326195" w:rsidRPr="00326195">
        <w:rPr>
          <w:i/>
          <w:iCs/>
        </w:rPr>
        <w:t>The Strategy will be inclusive. Children with disability or with developmental concerns deserve the same positive experiences and opportunities to thrive as all children</w:t>
      </w:r>
      <w:r w:rsidR="00326195">
        <w:t>”</w:t>
      </w:r>
      <w:r w:rsidR="00326195" w:rsidRPr="00326195">
        <w:t>.</w:t>
      </w:r>
      <w:r w:rsidR="00326195">
        <w:t xml:space="preserve"> (p.7)</w:t>
      </w:r>
      <w:r w:rsidR="00045576">
        <w:t xml:space="preserve">, but we also </w:t>
      </w:r>
      <w:r w:rsidR="00040B44">
        <w:t xml:space="preserve">highlight that a more </w:t>
      </w:r>
      <w:r w:rsidR="00C724EF">
        <w:t>holistic</w:t>
      </w:r>
      <w:r w:rsidR="00040B44">
        <w:t xml:space="preserve"> approach is required to eradicate </w:t>
      </w:r>
      <w:r w:rsidR="00AE41C3">
        <w:t xml:space="preserve">the </w:t>
      </w:r>
      <w:r w:rsidR="00407F40">
        <w:t xml:space="preserve">long-term </w:t>
      </w:r>
      <w:r w:rsidR="00AE41C3">
        <w:t>detrimental effects of ableism for children and young people with disability.</w:t>
      </w:r>
    </w:p>
    <w:p w14:paraId="596F5C2D" w14:textId="1ECAC6A3" w:rsidR="00F313A3" w:rsidRDefault="00F313A3" w:rsidP="00F313A3">
      <w:r>
        <w:t xml:space="preserve">The following section discusses co-design as one remedy for top-down policy approaches that fail to consider the problematic assumptions and biases that </w:t>
      </w:r>
      <w:r w:rsidR="00A96CDA">
        <w:t>are</w:t>
      </w:r>
      <w:r>
        <w:t xml:space="preserve"> built-in. </w:t>
      </w:r>
    </w:p>
    <w:p w14:paraId="459CB60B" w14:textId="7461944A" w:rsidR="00611F08" w:rsidRDefault="00611F08" w:rsidP="00905C00"/>
    <w:p w14:paraId="5E82D876" w14:textId="1FFCFCEB" w:rsidR="00611F08" w:rsidRDefault="00611F08" w:rsidP="005C183A">
      <w:pPr>
        <w:pStyle w:val="Heading2"/>
        <w:numPr>
          <w:ilvl w:val="0"/>
          <w:numId w:val="16"/>
        </w:numPr>
      </w:pPr>
      <w:bookmarkStart w:id="20" w:name="_Hlk129514036"/>
      <w:bookmarkStart w:id="21" w:name="_Toc133675143"/>
      <w:r w:rsidRPr="0028799C">
        <w:t>Reform through co-design</w:t>
      </w:r>
      <w:bookmarkEnd w:id="20"/>
      <w:bookmarkEnd w:id="21"/>
    </w:p>
    <w:p w14:paraId="62F44A66" w14:textId="77777777" w:rsidR="00846C3E" w:rsidRPr="00561CF4" w:rsidRDefault="00846C3E" w:rsidP="00561CF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611F08" w14:paraId="1E5D930E" w14:textId="77777777" w:rsidTr="003B4ECA">
        <w:trPr>
          <w:trHeight w:val="1730"/>
        </w:trPr>
        <w:tc>
          <w:tcPr>
            <w:tcW w:w="9026" w:type="dxa"/>
            <w:shd w:val="clear" w:color="auto" w:fill="C5E0B3" w:themeFill="accent6" w:themeFillTint="66"/>
          </w:tcPr>
          <w:p w14:paraId="2D7A71E1" w14:textId="63661C95" w:rsidR="00611F08" w:rsidRDefault="00611F08" w:rsidP="00001939">
            <w:pPr>
              <w:spacing w:before="0"/>
              <w:rPr>
                <w:b/>
                <w:bCs/>
              </w:rPr>
            </w:pPr>
            <w:bookmarkStart w:id="22" w:name="_Hlk94264714"/>
            <w:bookmarkStart w:id="23" w:name="_Hlk132199797"/>
            <w:r w:rsidRPr="3EBB20C0">
              <w:rPr>
                <w:b/>
                <w:bCs/>
              </w:rPr>
              <w:t xml:space="preserve">Recommendation </w:t>
            </w:r>
            <w:r>
              <w:rPr>
                <w:b/>
                <w:bCs/>
              </w:rPr>
              <w:t>2</w:t>
            </w:r>
          </w:p>
          <w:p w14:paraId="23DF7546" w14:textId="77777777" w:rsidR="00611F08" w:rsidRPr="002A4B47" w:rsidRDefault="00611F08" w:rsidP="003B4ECA">
            <w:pPr>
              <w:pStyle w:val="ListParagraph"/>
              <w:numPr>
                <w:ilvl w:val="0"/>
                <w:numId w:val="9"/>
              </w:numPr>
              <w:contextualSpacing w:val="0"/>
              <w:rPr>
                <w:rFonts w:eastAsiaTheme="minorEastAsia" w:cs="Arial"/>
              </w:rPr>
            </w:pPr>
            <w:bookmarkStart w:id="24" w:name="_Hlk133387635"/>
            <w:r>
              <w:t xml:space="preserve">CYDA recommends using genuine co-design approaches to develop and test </w:t>
            </w:r>
            <w:r w:rsidR="00F065F2">
              <w:t xml:space="preserve">all elements of </w:t>
            </w:r>
            <w:r w:rsidR="00787FA4">
              <w:t xml:space="preserve">The Strategy’s design, including allowing input </w:t>
            </w:r>
            <w:r w:rsidR="00C10EE5">
              <w:t xml:space="preserve">from young people with disability </w:t>
            </w:r>
            <w:r w:rsidR="00787FA4">
              <w:t xml:space="preserve">into the </w:t>
            </w:r>
            <w:r>
              <w:t>indicators and measurement tools, to highlight and prevent problematic framing and approaches</w:t>
            </w:r>
            <w:bookmarkEnd w:id="24"/>
            <w:r w:rsidR="002A4B47">
              <w:t>.</w:t>
            </w:r>
          </w:p>
          <w:p w14:paraId="79391813" w14:textId="42465ADF" w:rsidR="002A4B47" w:rsidRPr="006E7B0D" w:rsidRDefault="002A4B47" w:rsidP="003B4ECA">
            <w:pPr>
              <w:pStyle w:val="ListParagraph"/>
              <w:numPr>
                <w:ilvl w:val="0"/>
                <w:numId w:val="9"/>
              </w:numPr>
              <w:contextualSpacing w:val="0"/>
              <w:rPr>
                <w:rFonts w:eastAsiaTheme="minorEastAsia" w:cs="Arial"/>
              </w:rPr>
            </w:pPr>
            <w:r>
              <w:rPr>
                <w:rFonts w:eastAsiaTheme="minorEastAsia" w:cs="Arial"/>
              </w:rPr>
              <w:t>Establish</w:t>
            </w:r>
            <w:r w:rsidRPr="002A4B47">
              <w:rPr>
                <w:rFonts w:eastAsiaTheme="minorEastAsia" w:cs="Arial"/>
              </w:rPr>
              <w:t xml:space="preserve"> a co-design working group to ensure the remainder of The Strategy implementation </w:t>
            </w:r>
            <w:r w:rsidR="00A722DE">
              <w:rPr>
                <w:rFonts w:eastAsiaTheme="minorEastAsia" w:cs="Arial"/>
              </w:rPr>
              <w:t>is</w:t>
            </w:r>
            <w:r w:rsidRPr="002A4B47">
              <w:rPr>
                <w:rFonts w:eastAsiaTheme="minorEastAsia" w:cs="Arial"/>
              </w:rPr>
              <w:t xml:space="preserve"> carried out in partnership with </w:t>
            </w:r>
            <w:r w:rsidR="00A722DE">
              <w:rPr>
                <w:rFonts w:eastAsiaTheme="minorEastAsia" w:cs="Arial"/>
              </w:rPr>
              <w:t xml:space="preserve">young </w:t>
            </w:r>
            <w:r w:rsidRPr="002A4B47">
              <w:rPr>
                <w:rFonts w:eastAsiaTheme="minorEastAsia" w:cs="Arial"/>
              </w:rPr>
              <w:t>people with disability</w:t>
            </w:r>
          </w:p>
        </w:tc>
      </w:tr>
    </w:tbl>
    <w:bookmarkEnd w:id="22"/>
    <w:p w14:paraId="6091AC9F" w14:textId="7BC83C84" w:rsidR="0047178C" w:rsidRDefault="001B2C41" w:rsidP="0047178C">
      <w:r w:rsidRPr="005624BA">
        <w:t>Based on ongoing consultation with children and young people with disability and their families CYDA advocates for genuine co-design as best practice for inclusion in all disability related policy and program work.</w:t>
      </w:r>
      <w:r>
        <w:t xml:space="preserve"> T</w:t>
      </w:r>
      <w:r w:rsidR="0047178C">
        <w:t>herefore</w:t>
      </w:r>
      <w:r w:rsidR="00F71E33">
        <w:t>,</w:t>
      </w:r>
      <w:r w:rsidR="0047178C">
        <w:t xml:space="preserve"> we recommend co-design as </w:t>
      </w:r>
      <w:r w:rsidR="00B04F5E">
        <w:t xml:space="preserve">an integral </w:t>
      </w:r>
      <w:r w:rsidR="003B3206">
        <w:t>component</w:t>
      </w:r>
      <w:r w:rsidR="002C37EC">
        <w:t xml:space="preserve"> to ensure</w:t>
      </w:r>
      <w:r w:rsidR="00F71E33">
        <w:t xml:space="preserve"> that</w:t>
      </w:r>
      <w:r w:rsidR="002C37EC">
        <w:t xml:space="preserve"> </w:t>
      </w:r>
      <w:r w:rsidR="002C37EC" w:rsidRPr="002C37EC">
        <w:t xml:space="preserve">The Strategy </w:t>
      </w:r>
      <w:r w:rsidR="002C37EC">
        <w:t xml:space="preserve">achieves its purpose </w:t>
      </w:r>
      <w:r w:rsidR="004D20DD">
        <w:t xml:space="preserve">to be an effective </w:t>
      </w:r>
      <w:r w:rsidR="002C37EC" w:rsidRPr="002C37EC">
        <w:t xml:space="preserve">road map </w:t>
      </w:r>
      <w:r w:rsidR="004D20DD">
        <w:t>for</w:t>
      </w:r>
      <w:r w:rsidR="002C37EC" w:rsidRPr="002C37EC">
        <w:t xml:space="preserve"> guid</w:t>
      </w:r>
      <w:r w:rsidR="004D20DD">
        <w:t>ing</w:t>
      </w:r>
      <w:r w:rsidR="002C37EC" w:rsidRPr="002C37EC">
        <w:t xml:space="preserve"> early years’ policies and programs across the Commonwealth</w:t>
      </w:r>
      <w:r w:rsidR="005A05AE">
        <w:t>.</w:t>
      </w:r>
    </w:p>
    <w:p w14:paraId="3C256084" w14:textId="75C75763" w:rsidR="00107993" w:rsidRPr="00107993" w:rsidRDefault="00107993" w:rsidP="00E90B4F">
      <w:pPr>
        <w:rPr>
          <w:b/>
          <w:bCs/>
        </w:rPr>
      </w:pPr>
      <w:r w:rsidRPr="00107993">
        <w:rPr>
          <w:b/>
          <w:bCs/>
        </w:rPr>
        <w:t>2.1 What is co-design</w:t>
      </w:r>
      <w:r w:rsidR="00661C6F">
        <w:rPr>
          <w:b/>
          <w:bCs/>
        </w:rPr>
        <w:t xml:space="preserve"> and why i</w:t>
      </w:r>
      <w:r w:rsidR="0052508B">
        <w:rPr>
          <w:b/>
          <w:bCs/>
        </w:rPr>
        <w:t>t is</w:t>
      </w:r>
      <w:r w:rsidR="00661C6F">
        <w:rPr>
          <w:b/>
          <w:bCs/>
        </w:rPr>
        <w:t xml:space="preserve"> important</w:t>
      </w:r>
    </w:p>
    <w:p w14:paraId="1186BB61" w14:textId="50ADF1E3" w:rsidR="00E90B4F" w:rsidRDefault="00E90B4F" w:rsidP="00E90B4F">
      <w:r>
        <w:t>Co-design emerges from a tradition of participatory and collaborative design. Drawing on Blomkamp’s</w:t>
      </w:r>
      <w:r>
        <w:rPr>
          <w:rStyle w:val="FootnoteReference"/>
        </w:rPr>
        <w:footnoteReference w:id="23"/>
      </w:r>
      <w:r>
        <w:t xml:space="preserve"> widely accepted definition of co-design for policy making, developed in the Australian context for public policy co-design is as follows:</w:t>
      </w:r>
    </w:p>
    <w:p w14:paraId="13841DFA" w14:textId="77777777" w:rsidR="00D27140" w:rsidRDefault="00E90B4F" w:rsidP="00D27140">
      <w:pPr>
        <w:ind w:left="720"/>
        <w:rPr>
          <w:i/>
          <w:iCs/>
        </w:rPr>
      </w:pPr>
      <w:r>
        <w:rPr>
          <w:i/>
          <w:iCs/>
        </w:rPr>
        <w:t>“</w:t>
      </w:r>
      <w:r w:rsidRPr="00C028F3">
        <w:rPr>
          <w:i/>
          <w:iCs/>
        </w:rPr>
        <w:t xml:space="preserve">Co-design is both cooperative and collaborative, using design-led processes that drive innovation, involving and framing those affected by policy issues as creative experts of their lived experience, and using practical and accessible tools to generate and test experience and ideas. </w:t>
      </w:r>
    </w:p>
    <w:p w14:paraId="329B3126" w14:textId="27EC54BE" w:rsidR="00D27140" w:rsidRDefault="00514EDE" w:rsidP="00D27140">
      <w:r>
        <w:lastRenderedPageBreak/>
        <w:t>A</w:t>
      </w:r>
      <w:r w:rsidR="00D27140">
        <w:t xml:space="preserve"> Disability Royal Commission research report recommends co-design, stating that it </w:t>
      </w:r>
      <w:r w:rsidR="00D27140" w:rsidRPr="007D140F">
        <w:t>validate</w:t>
      </w:r>
      <w:r w:rsidR="00D27140">
        <w:t>s</w:t>
      </w:r>
      <w:r w:rsidR="00D27140" w:rsidRPr="007D140F">
        <w:t xml:space="preserve"> </w:t>
      </w:r>
      <w:r w:rsidR="00D27140">
        <w:t>“</w:t>
      </w:r>
      <w:r w:rsidR="00D27140" w:rsidRPr="007D140F">
        <w:t>the collective voices and lived experience expertise of people with disability in the way the interventions are designed and conducted</w:t>
      </w:r>
      <w:r w:rsidR="00D27140">
        <w:t>”</w:t>
      </w:r>
      <w:r w:rsidR="00D27140">
        <w:rPr>
          <w:rStyle w:val="FootnoteReference"/>
        </w:rPr>
        <w:footnoteReference w:id="24"/>
      </w:r>
      <w:r w:rsidR="00D27140">
        <w:t>.</w:t>
      </w:r>
    </w:p>
    <w:p w14:paraId="530CB19F" w14:textId="2B317E36" w:rsidR="002D356A" w:rsidRPr="002D356A" w:rsidRDefault="002D356A" w:rsidP="00431B4D">
      <w:pPr>
        <w:rPr>
          <w:b/>
          <w:bCs/>
        </w:rPr>
      </w:pPr>
      <w:r w:rsidRPr="002D356A">
        <w:rPr>
          <w:b/>
          <w:bCs/>
        </w:rPr>
        <w:t>2.</w:t>
      </w:r>
      <w:r w:rsidR="00107993">
        <w:rPr>
          <w:b/>
          <w:bCs/>
        </w:rPr>
        <w:t>2</w:t>
      </w:r>
      <w:r w:rsidRPr="002D356A">
        <w:rPr>
          <w:b/>
          <w:bCs/>
        </w:rPr>
        <w:t xml:space="preserve"> What young people with disability sa</w:t>
      </w:r>
      <w:r w:rsidR="00107993">
        <w:rPr>
          <w:b/>
          <w:bCs/>
        </w:rPr>
        <w:t>y</w:t>
      </w:r>
      <w:r w:rsidRPr="002D356A">
        <w:rPr>
          <w:b/>
          <w:bCs/>
        </w:rPr>
        <w:t xml:space="preserve"> about co-design</w:t>
      </w:r>
    </w:p>
    <w:p w14:paraId="7A1B3648" w14:textId="328F2584" w:rsidR="00514EDE" w:rsidRDefault="00431B4D" w:rsidP="00431B4D">
      <w:r>
        <w:t xml:space="preserve">Through CYDA’s consultations with young people about the development of other strategies such as </w:t>
      </w:r>
      <w:r w:rsidR="0052508B">
        <w:t>T</w:t>
      </w:r>
      <w:r>
        <w:t xml:space="preserve">he </w:t>
      </w:r>
      <w:r w:rsidR="0052508B">
        <w:t>G</w:t>
      </w:r>
      <w:r>
        <w:t>uide to The Australian Disability Strategy</w:t>
      </w:r>
      <w:r w:rsidR="00D4020A">
        <w:t xml:space="preserve"> (ADS) </w:t>
      </w:r>
      <w:r>
        <w:t xml:space="preserve">and </w:t>
      </w:r>
      <w:r w:rsidRPr="009B18A9">
        <w:t xml:space="preserve">Good Practice Guidelines for Engagement of People with Disability, </w:t>
      </w:r>
      <w:r>
        <w:t>co-design was considered crucial to the development of policy, strategy</w:t>
      </w:r>
      <w:r w:rsidR="00F06632">
        <w:t>,</w:t>
      </w:r>
      <w:r>
        <w:t xml:space="preserve"> and services that impact children and young people’s lives.  </w:t>
      </w:r>
    </w:p>
    <w:p w14:paraId="4A24C17D" w14:textId="41ABE273" w:rsidR="00927A92" w:rsidRDefault="00431B4D" w:rsidP="00431B4D">
      <w:r>
        <w:t xml:space="preserve">The </w:t>
      </w:r>
      <w:r w:rsidR="00680A66">
        <w:t xml:space="preserve">design </w:t>
      </w:r>
      <w:r>
        <w:t xml:space="preserve">of the Early Years Strategy should be no different. </w:t>
      </w:r>
    </w:p>
    <w:p w14:paraId="4EE16806" w14:textId="34E95882" w:rsidR="00431B4D" w:rsidRDefault="00431B4D" w:rsidP="00431B4D">
      <w:r>
        <w:t>Building on th</w:t>
      </w:r>
      <w:r w:rsidR="00B10C2B">
        <w:t>is</w:t>
      </w:r>
      <w:r>
        <w:t xml:space="preserve"> evidence fr</w:t>
      </w:r>
      <w:r w:rsidR="00491ACB">
        <w:t>o</w:t>
      </w:r>
      <w:r>
        <w:t>m the CYDA community, we recommend early engagement with families, children and young people with disability to inform future drafts of The Strategy.</w:t>
      </w:r>
    </w:p>
    <w:p w14:paraId="4F984027" w14:textId="522CFD93" w:rsidR="0047178C" w:rsidRDefault="0047178C" w:rsidP="0047178C">
      <w:r>
        <w:t>The co-design approach was reflected in our consultation with young people</w:t>
      </w:r>
      <w:r w:rsidR="000B2693">
        <w:t xml:space="preserve"> regarding the</w:t>
      </w:r>
      <w:r w:rsidR="00D4020A">
        <w:t xml:space="preserve"> guide to the ADS</w:t>
      </w:r>
      <w:r>
        <w:t>. For instance, one young person shared a comment via written feedback that encapsulated the experience of ‘othering’ that people can feel when consulted in inauthentic ways</w:t>
      </w:r>
      <w:r w:rsidR="00600710">
        <w:t>:</w:t>
      </w:r>
    </w:p>
    <w:p w14:paraId="0F6622CD" w14:textId="73E0E56B" w:rsidR="000779CD" w:rsidRPr="000B2693" w:rsidRDefault="0047178C" w:rsidP="00E4031D">
      <w:pPr>
        <w:ind w:left="720"/>
        <w:rPr>
          <w:i/>
          <w:iCs/>
        </w:rPr>
      </w:pPr>
      <w:r w:rsidRPr="000B2693">
        <w:rPr>
          <w:i/>
          <w:iCs/>
        </w:rPr>
        <w:t>“It's important that you place [people with disability] in a position to run and be part of making/writing up the evaluation report and not just placing us to be the subjects of it”.</w:t>
      </w:r>
      <w:r w:rsidR="000B2693">
        <w:rPr>
          <w:i/>
          <w:iCs/>
        </w:rPr>
        <w:t xml:space="preserve"> </w:t>
      </w:r>
      <w:r w:rsidR="00B262CE">
        <w:rPr>
          <w:rFonts w:eastAsia="Times New Roman" w:cs="Arial"/>
          <w:lang w:eastAsia="en-AU"/>
        </w:rPr>
        <w:t>—</w:t>
      </w:r>
      <w:r w:rsidR="000779CD">
        <w:rPr>
          <w:rFonts w:eastAsia="Times New Roman" w:cs="Arial"/>
          <w:lang w:eastAsia="en-AU"/>
        </w:rPr>
        <w:t>Young person with disability, Australia’s Disability Strategy consultation, 2022</w:t>
      </w:r>
    </w:p>
    <w:p w14:paraId="5FB469E0" w14:textId="2308D1BC" w:rsidR="0047178C" w:rsidRDefault="0047178C" w:rsidP="0047178C">
      <w:r>
        <w:t xml:space="preserve">Another young person participating in the </w:t>
      </w:r>
      <w:r w:rsidR="002F033F">
        <w:t xml:space="preserve">same </w:t>
      </w:r>
      <w:r>
        <w:t>consultation shared their thoughts on the process of co-design</w:t>
      </w:r>
      <w:r w:rsidR="00600710">
        <w:t>:</w:t>
      </w:r>
    </w:p>
    <w:p w14:paraId="274EA8A4" w14:textId="77777777" w:rsidR="0047178C" w:rsidRPr="002F033F" w:rsidRDefault="0047178C" w:rsidP="002F033F">
      <w:pPr>
        <w:ind w:left="720"/>
        <w:rPr>
          <w:i/>
          <w:iCs/>
        </w:rPr>
      </w:pPr>
      <w:r w:rsidRPr="002F033F">
        <w:rPr>
          <w:i/>
          <w:iCs/>
        </w:rPr>
        <w:t>“I guess what I was thinking was allowing disabled people to be consulted at multiple stages throughout the design process of the evaluation, initially before anything is designed, looking at what the goal is, what the information they’re trying to get out of the evaluation is and helping to suggest ideas of going about this, questions to ask, et cetera and then being able to come back and see the draft of what’s being created, give feedback on that.</w:t>
      </w:r>
    </w:p>
    <w:p w14:paraId="21906EA9" w14:textId="77777777" w:rsidR="00B262CE" w:rsidRDefault="0047178C" w:rsidP="002F033F">
      <w:pPr>
        <w:ind w:left="720"/>
        <w:rPr>
          <w:i/>
          <w:iCs/>
        </w:rPr>
      </w:pPr>
      <w:r w:rsidRPr="002F033F">
        <w:rPr>
          <w:i/>
          <w:iCs/>
        </w:rPr>
        <w:t>And then even if it’s just sending through the final draft and giving an all-clear and just being able to provide feedback throughout it, provide your own opinions and it’s even better if they are able to have disabled people on board within the team themselves that are creating the evaluation but that’s of course up to the organisation, would be my thoughts”.</w:t>
      </w:r>
      <w:r w:rsidR="002F033F">
        <w:rPr>
          <w:i/>
          <w:iCs/>
        </w:rPr>
        <w:t xml:space="preserve"> </w:t>
      </w:r>
    </w:p>
    <w:p w14:paraId="31CE4152" w14:textId="1DC70227" w:rsidR="002F033F" w:rsidRPr="000B2693" w:rsidRDefault="00B262CE" w:rsidP="00561CF4">
      <w:pPr>
        <w:ind w:left="1440"/>
        <w:rPr>
          <w:i/>
          <w:iCs/>
        </w:rPr>
      </w:pPr>
      <w:r>
        <w:rPr>
          <w:i/>
          <w:iCs/>
        </w:rPr>
        <w:t>—</w:t>
      </w:r>
      <w:r w:rsidR="000779CD">
        <w:rPr>
          <w:rFonts w:eastAsia="Times New Roman" w:cs="Arial"/>
          <w:lang w:eastAsia="en-AU"/>
        </w:rPr>
        <w:t>Young person with disability, Australia’s Disability Strategy consultation, 2022</w:t>
      </w:r>
    </w:p>
    <w:p w14:paraId="1661D409" w14:textId="58064141" w:rsidR="000D3A2B" w:rsidRDefault="000D3A2B" w:rsidP="000D3A2B">
      <w:r>
        <w:t>As this young person suggests, understanding what the goal is from the beginning of the process is an important part of co-design. CYDA recommends children and young people with disability be</w:t>
      </w:r>
      <w:r w:rsidR="00CB2EB1">
        <w:t xml:space="preserve"> a</w:t>
      </w:r>
      <w:r>
        <w:t xml:space="preserve"> part of defining what success looks like in the context of the </w:t>
      </w:r>
      <w:r w:rsidR="002830BA">
        <w:t>vision for The Strategy</w:t>
      </w:r>
      <w:r>
        <w:t>. Views about success may differ between cohorts</w:t>
      </w:r>
      <w:r w:rsidR="0091202F">
        <w:t>,</w:t>
      </w:r>
      <w:r>
        <w:t xml:space="preserve"> so it is important to recognise this and seek to understand those perspectives. </w:t>
      </w:r>
    </w:p>
    <w:p w14:paraId="7AB7DC6E" w14:textId="77777777" w:rsidR="001B405C" w:rsidRDefault="001B405C" w:rsidP="000D3A2B"/>
    <w:p w14:paraId="2CE4B685" w14:textId="7D2D78D3" w:rsidR="00AA48BE" w:rsidRPr="002D356A" w:rsidRDefault="00AA48BE" w:rsidP="00AA48BE">
      <w:pPr>
        <w:rPr>
          <w:b/>
          <w:bCs/>
        </w:rPr>
      </w:pPr>
      <w:r w:rsidRPr="002D356A">
        <w:rPr>
          <w:b/>
          <w:bCs/>
        </w:rPr>
        <w:lastRenderedPageBreak/>
        <w:t>2.</w:t>
      </w:r>
      <w:r w:rsidR="00B23678">
        <w:rPr>
          <w:b/>
          <w:bCs/>
        </w:rPr>
        <w:t>2</w:t>
      </w:r>
      <w:r w:rsidRPr="002D356A">
        <w:rPr>
          <w:b/>
          <w:bCs/>
        </w:rPr>
        <w:t xml:space="preserve"> </w:t>
      </w:r>
      <w:r w:rsidR="002755A1">
        <w:rPr>
          <w:b/>
          <w:bCs/>
        </w:rPr>
        <w:t xml:space="preserve">Building the </w:t>
      </w:r>
      <w:r w:rsidR="004B0457">
        <w:rPr>
          <w:b/>
          <w:bCs/>
        </w:rPr>
        <w:t>case for</w:t>
      </w:r>
      <w:r w:rsidR="002F47FF">
        <w:rPr>
          <w:b/>
          <w:bCs/>
        </w:rPr>
        <w:t xml:space="preserve"> </w:t>
      </w:r>
      <w:r w:rsidR="00375BCA">
        <w:rPr>
          <w:b/>
          <w:bCs/>
        </w:rPr>
        <w:t>authentic</w:t>
      </w:r>
      <w:r w:rsidR="002F47FF">
        <w:rPr>
          <w:b/>
          <w:bCs/>
        </w:rPr>
        <w:t xml:space="preserve"> </w:t>
      </w:r>
      <w:r w:rsidR="0032331E">
        <w:rPr>
          <w:b/>
          <w:bCs/>
        </w:rPr>
        <w:t>co-design</w:t>
      </w:r>
    </w:p>
    <w:bookmarkEnd w:id="23"/>
    <w:p w14:paraId="2FFE2E50" w14:textId="517C9144" w:rsidR="00B56FDD" w:rsidRDefault="00EC33A1" w:rsidP="00154456">
      <w:r w:rsidRPr="00EC33A1">
        <w:t>Co-design is a process not a</w:t>
      </w:r>
      <w:r>
        <w:t xml:space="preserve"> single</w:t>
      </w:r>
      <w:r w:rsidRPr="00EC33A1">
        <w:t xml:space="preserve"> event</w:t>
      </w:r>
      <w:r w:rsidR="00147629">
        <w:t>.  It</w:t>
      </w:r>
      <w:r w:rsidR="006D341E">
        <w:t xml:space="preserve"> </w:t>
      </w:r>
      <w:r w:rsidR="00B56FDD">
        <w:t xml:space="preserve">involves meaningful </w:t>
      </w:r>
      <w:r w:rsidR="00A229AF">
        <w:t xml:space="preserve">and genuine </w:t>
      </w:r>
      <w:r w:rsidR="00B56FDD">
        <w:t>engagement</w:t>
      </w:r>
      <w:r w:rsidR="00454D6C">
        <w:t xml:space="preserve"> from beginning to end</w:t>
      </w:r>
      <w:r w:rsidR="00752D82">
        <w:t xml:space="preserve">, </w:t>
      </w:r>
      <w:r w:rsidR="00B56FDD">
        <w:t xml:space="preserve">with all stakeholders </w:t>
      </w:r>
      <w:r w:rsidR="00A229AF">
        <w:t>actively</w:t>
      </w:r>
      <w:r w:rsidR="0012453F">
        <w:t xml:space="preserve"> involved </w:t>
      </w:r>
      <w:r w:rsidR="00B56FDD">
        <w:t>to ensure success.</w:t>
      </w:r>
      <w:r w:rsidR="00030E66">
        <w:t xml:space="preserve"> </w:t>
      </w:r>
      <w:r w:rsidR="00030E66">
        <w:t>The aspiration to contribute in meaningful ways to public policy and programs that impact them has emerged from many of CYDA’s consultation with young people, on a range of topics.</w:t>
      </w:r>
    </w:p>
    <w:p w14:paraId="1DCA3871" w14:textId="1A066644" w:rsidR="00611F08" w:rsidRDefault="00611F08" w:rsidP="00154456">
      <w:r>
        <w:t xml:space="preserve">Some of </w:t>
      </w:r>
      <w:r w:rsidR="00A229AF">
        <w:t>CYDA’s previous</w:t>
      </w:r>
      <w:r>
        <w:t xml:space="preserve"> work has found that people with lived experience of disability are often cynical of being consulted in disingenuous and non-impactful ways</w:t>
      </w:r>
      <w:r w:rsidR="00C41713">
        <w:t>:</w:t>
      </w:r>
    </w:p>
    <w:p w14:paraId="71E41533" w14:textId="77777777" w:rsidR="00611F08" w:rsidRDefault="00611F08" w:rsidP="00154456">
      <w:pPr>
        <w:ind w:left="720"/>
      </w:pPr>
      <w:r w:rsidRPr="005C58ED">
        <w:rPr>
          <w:i/>
          <w:iCs/>
        </w:rPr>
        <w:t>“If you're going to consult, you need to genuinely want to consult. Listen and be ready to make changes and take action on what people with disability are actually saying to you. Don't just do it to tick a box.”</w:t>
      </w:r>
      <w:r>
        <w:t xml:space="preserve"> </w:t>
      </w:r>
    </w:p>
    <w:p w14:paraId="560E30AC" w14:textId="2268DEF0" w:rsidR="00611F08" w:rsidRDefault="00611F08" w:rsidP="004474FA">
      <w:pPr>
        <w:ind w:left="1440"/>
      </w:pPr>
      <w:r>
        <w:t xml:space="preserve">– </w:t>
      </w:r>
      <w:r w:rsidR="000779CD">
        <w:rPr>
          <w:rFonts w:eastAsia="Times New Roman" w:cs="Arial"/>
          <w:lang w:eastAsia="en-AU"/>
        </w:rPr>
        <w:t xml:space="preserve">Young person with disability, </w:t>
      </w:r>
      <w:r>
        <w:rPr>
          <w:rFonts w:eastAsia="Times New Roman" w:cs="Arial"/>
          <w:lang w:eastAsia="en-AU"/>
        </w:rPr>
        <w:t>Good Practice Guidelines for Engagement of People with Disability</w:t>
      </w:r>
      <w:r w:rsidR="000779CD">
        <w:rPr>
          <w:rFonts w:eastAsia="Times New Roman" w:cs="Arial"/>
          <w:lang w:eastAsia="en-AU"/>
        </w:rPr>
        <w:t xml:space="preserve"> consultation</w:t>
      </w:r>
      <w:r>
        <w:rPr>
          <w:rFonts w:eastAsia="Times New Roman" w:cs="Arial"/>
          <w:lang w:eastAsia="en-AU"/>
        </w:rPr>
        <w:t>, 2022.</w:t>
      </w:r>
      <w:r>
        <w:t xml:space="preserve"> </w:t>
      </w:r>
    </w:p>
    <w:p w14:paraId="796E2D18" w14:textId="37156705" w:rsidR="00611F08" w:rsidRDefault="00611F08" w:rsidP="00154456">
      <w:r>
        <w:t>CYDA’s recent consultation on evaluation tools for Australia’s Disability Strategy, prompted one participant to coin the term “us based” to describe their desire to be involved in disability related policy issues</w:t>
      </w:r>
      <w:r w:rsidR="00924278">
        <w:t>:</w:t>
      </w:r>
    </w:p>
    <w:p w14:paraId="12C4E02B" w14:textId="77777777" w:rsidR="00611F08" w:rsidRDefault="00611F08" w:rsidP="00154456">
      <w:pPr>
        <w:ind w:left="720"/>
        <w:rPr>
          <w:i/>
          <w:iCs/>
        </w:rPr>
      </w:pPr>
      <w:r w:rsidRPr="00255FAD">
        <w:rPr>
          <w:i/>
          <w:iCs/>
        </w:rPr>
        <w:t xml:space="preserve">“I think just really getting us involved in anything really is just really the main way to go in order to have a proper – I want to say outcome but a proper actual voice or an understanding of us based issues. Because a lot of the time, even for </w:t>
      </w:r>
      <w:r w:rsidRPr="00A53EB9">
        <w:rPr>
          <w:b/>
          <w:bCs/>
          <w:i/>
          <w:iCs/>
        </w:rPr>
        <w:t>us based</w:t>
      </w:r>
      <w:r w:rsidRPr="00255FAD">
        <w:rPr>
          <w:i/>
          <w:iCs/>
        </w:rPr>
        <w:t xml:space="preserve"> issues they won't bring in disabled people”.</w:t>
      </w:r>
    </w:p>
    <w:p w14:paraId="25D87B35" w14:textId="572F338C" w:rsidR="00611F08" w:rsidRPr="0033107A" w:rsidRDefault="00611F08" w:rsidP="004474FA">
      <w:pPr>
        <w:ind w:left="1440"/>
        <w:rPr>
          <w:rFonts w:eastAsia="Times New Roman" w:cs="Arial"/>
          <w:lang w:eastAsia="en-AU"/>
        </w:rPr>
      </w:pPr>
      <w:r>
        <w:rPr>
          <w:rFonts w:eastAsia="Times New Roman" w:cs="Arial"/>
          <w:lang w:eastAsia="en-AU"/>
        </w:rPr>
        <w:t xml:space="preserve">– </w:t>
      </w:r>
      <w:r w:rsidR="00C41713">
        <w:rPr>
          <w:rFonts w:eastAsia="Times New Roman" w:cs="Arial"/>
          <w:lang w:eastAsia="en-AU"/>
        </w:rPr>
        <w:t>P</w:t>
      </w:r>
      <w:r>
        <w:rPr>
          <w:rFonts w:eastAsia="Times New Roman" w:cs="Arial"/>
          <w:lang w:eastAsia="en-AU"/>
        </w:rPr>
        <w:t>articipant in CYDA Australia’s Disability Strategy consultation, 2022</w:t>
      </w:r>
    </w:p>
    <w:p w14:paraId="7CFB72D2" w14:textId="48D969DC" w:rsidR="00611F08" w:rsidRDefault="00611F08" w:rsidP="00154456">
      <w:r>
        <w:t>Another participant in the same consultation discussed their ideas for genuine and continuous involvement in program and policy design and implementation</w:t>
      </w:r>
      <w:r w:rsidR="00924278">
        <w:t>:</w:t>
      </w:r>
    </w:p>
    <w:p w14:paraId="5570E8EF" w14:textId="77777777" w:rsidR="00611F08" w:rsidRDefault="00611F08" w:rsidP="00154456">
      <w:pPr>
        <w:ind w:left="720"/>
        <w:rPr>
          <w:i/>
          <w:iCs/>
        </w:rPr>
      </w:pPr>
      <w:r w:rsidRPr="00D20F6D">
        <w:rPr>
          <w:i/>
          <w:iCs/>
        </w:rPr>
        <w:t>“Don’t bring in people on not even a casual basis to give their thoughts and opinions on things like this. Actually, establish some sort of position or whatever that gives us the ability to, if you want our voices and our opinions fine, but we'd have the right to be – on the continuous basis, yeah fine. But we need everything else that comes with the continuous basis. So proper payments, super, all that kind of stuff”.</w:t>
      </w:r>
    </w:p>
    <w:p w14:paraId="7AD67069" w14:textId="78601259" w:rsidR="007153D1" w:rsidRDefault="007153D1" w:rsidP="007153D1">
      <w:r>
        <w:t xml:space="preserve">Young people told us they wanted to be involved in </w:t>
      </w:r>
      <w:r w:rsidR="0083320B">
        <w:t>organisational policy development</w:t>
      </w:r>
      <w:r w:rsidR="007B78B5">
        <w:t xml:space="preserve"> and design</w:t>
      </w:r>
      <w:r>
        <w:t>:</w:t>
      </w:r>
    </w:p>
    <w:p w14:paraId="76C8DA87" w14:textId="3442AF3D" w:rsidR="0083320B" w:rsidRPr="0083320B" w:rsidRDefault="007153D1" w:rsidP="0083320B">
      <w:pPr>
        <w:ind w:left="720"/>
        <w:rPr>
          <w:i/>
          <w:iCs/>
        </w:rPr>
      </w:pPr>
      <w:r w:rsidRPr="0083320B">
        <w:rPr>
          <w:i/>
          <w:iCs/>
        </w:rPr>
        <w:t>“Instead of having ableds [non-disabled people] design what they think we need and what they think we want, actually having us do it ourselves because there are plenty of ways to facilitate that.</w:t>
      </w:r>
      <w:r w:rsidR="0083320B" w:rsidRPr="0083320B">
        <w:rPr>
          <w:i/>
          <w:iCs/>
        </w:rPr>
        <w:t xml:space="preserve">” </w:t>
      </w:r>
    </w:p>
    <w:p w14:paraId="15AB75D7" w14:textId="3D68C135" w:rsidR="007153D1" w:rsidRDefault="0083320B" w:rsidP="004474FA">
      <w:pPr>
        <w:ind w:left="1440"/>
      </w:pPr>
      <w:r>
        <w:t>– participant in LivedX consultation, inclusion and decision making (2021)</w:t>
      </w:r>
    </w:p>
    <w:p w14:paraId="67A50265" w14:textId="472B7DC0" w:rsidR="00611F08" w:rsidRDefault="00611F08" w:rsidP="00154456">
      <w:r>
        <w:t xml:space="preserve">Furthermore, </w:t>
      </w:r>
      <w:r w:rsidRPr="00033A1F">
        <w:rPr>
          <w:i/>
          <w:iCs/>
        </w:rPr>
        <w:t>Nothing without us</w:t>
      </w:r>
      <w:r>
        <w:t xml:space="preserve">, is a renowned catchcry in the disability community and one we hear commonly from the </w:t>
      </w:r>
      <w:r w:rsidR="00776EEF">
        <w:t xml:space="preserve">children and </w:t>
      </w:r>
      <w:r>
        <w:t>young people with disability we engage with</w:t>
      </w:r>
      <w:r w:rsidR="00392FBB">
        <w:t xml:space="preserve">, </w:t>
      </w:r>
      <w:r w:rsidR="001C0A25">
        <w:t>phrased</w:t>
      </w:r>
      <w:r w:rsidR="00392FBB">
        <w:t xml:space="preserve"> </w:t>
      </w:r>
      <w:r w:rsidR="001C0A25">
        <w:t>succinctly</w:t>
      </w:r>
      <w:r w:rsidR="00392FBB">
        <w:t xml:space="preserve"> by one young person</w:t>
      </w:r>
      <w:r w:rsidR="00BF4165">
        <w:t>:</w:t>
      </w:r>
    </w:p>
    <w:p w14:paraId="5599EE25" w14:textId="77777777" w:rsidR="00DE1293" w:rsidRDefault="00611F08" w:rsidP="0011049D">
      <w:pPr>
        <w:ind w:left="720"/>
        <w:rPr>
          <w:i/>
          <w:iCs/>
        </w:rPr>
      </w:pPr>
      <w:r w:rsidRPr="00D20F6D">
        <w:rPr>
          <w:i/>
          <w:iCs/>
        </w:rPr>
        <w:t>“Involve people with a disability in decision making”.</w:t>
      </w:r>
      <w:r w:rsidR="00725070">
        <w:rPr>
          <w:i/>
          <w:iCs/>
        </w:rPr>
        <w:t xml:space="preserve"> </w:t>
      </w:r>
    </w:p>
    <w:p w14:paraId="7DBF82C0" w14:textId="4305EE76" w:rsidR="00936F8F" w:rsidRPr="0011049D" w:rsidRDefault="00725070" w:rsidP="00DE1293">
      <w:pPr>
        <w:ind w:left="1440"/>
        <w:rPr>
          <w:i/>
          <w:iCs/>
        </w:rPr>
      </w:pPr>
      <w:r>
        <w:rPr>
          <w:i/>
          <w:iCs/>
        </w:rPr>
        <w:t>—</w:t>
      </w:r>
      <w:r w:rsidR="00BF4165">
        <w:rPr>
          <w:rFonts w:eastAsia="Times New Roman" w:cs="Arial"/>
          <w:lang w:eastAsia="en-AU"/>
        </w:rPr>
        <w:t>P</w:t>
      </w:r>
      <w:r w:rsidR="00392FBB">
        <w:rPr>
          <w:rFonts w:eastAsia="Times New Roman" w:cs="Arial"/>
          <w:lang w:eastAsia="en-AU"/>
        </w:rPr>
        <w:t>articipant</w:t>
      </w:r>
      <w:r>
        <w:rPr>
          <w:rFonts w:eastAsia="Times New Roman" w:cs="Arial"/>
          <w:lang w:eastAsia="en-AU"/>
        </w:rPr>
        <w:t>, Australia’s Disability Strategy consultation, 2022</w:t>
      </w:r>
    </w:p>
    <w:p w14:paraId="57863FE0" w14:textId="77777777" w:rsidR="00936F8F" w:rsidRDefault="00936F8F">
      <w:pPr>
        <w:spacing w:before="0" w:line="259" w:lineRule="auto"/>
        <w:rPr>
          <w:rFonts w:eastAsia="Times New Roman" w:cs="Arial"/>
          <w:lang w:eastAsia="en-AU"/>
        </w:rPr>
      </w:pPr>
      <w:r>
        <w:rPr>
          <w:rFonts w:eastAsia="Times New Roman" w:cs="Arial"/>
          <w:lang w:eastAsia="en-AU"/>
        </w:rPr>
        <w:br w:type="page"/>
      </w:r>
    </w:p>
    <w:p w14:paraId="0F834176" w14:textId="3AE7A923" w:rsidR="00683BF5" w:rsidRPr="00683BF5" w:rsidRDefault="00B23678" w:rsidP="00F26E94">
      <w:pPr>
        <w:rPr>
          <w:b/>
          <w:bCs/>
        </w:rPr>
      </w:pPr>
      <w:r>
        <w:rPr>
          <w:b/>
          <w:bCs/>
        </w:rPr>
        <w:lastRenderedPageBreak/>
        <w:t xml:space="preserve">2.3 </w:t>
      </w:r>
      <w:r w:rsidR="00683BF5" w:rsidRPr="00683BF5">
        <w:rPr>
          <w:b/>
          <w:bCs/>
        </w:rPr>
        <w:t>Maximising</w:t>
      </w:r>
      <w:r w:rsidR="00683BF5" w:rsidRPr="00683BF5">
        <w:rPr>
          <w:b/>
          <w:bCs/>
        </w:rPr>
        <w:t xml:space="preserve"> the application of co-design to </w:t>
      </w:r>
      <w:r w:rsidR="002A4B47">
        <w:rPr>
          <w:b/>
          <w:bCs/>
        </w:rPr>
        <w:t>T</w:t>
      </w:r>
      <w:r w:rsidR="00683BF5" w:rsidRPr="00683BF5">
        <w:rPr>
          <w:b/>
          <w:bCs/>
        </w:rPr>
        <w:t>he Strategy</w:t>
      </w:r>
    </w:p>
    <w:p w14:paraId="511054F1" w14:textId="19122563" w:rsidR="00F26E94" w:rsidRDefault="00F26E94" w:rsidP="00F26E94">
      <w:r>
        <w:t xml:space="preserve">In the context of the drafting of an Early Years Strategy, </w:t>
      </w:r>
      <w:r w:rsidR="000E0E3A">
        <w:t xml:space="preserve">the first step for the government </w:t>
      </w:r>
      <w:r w:rsidR="00D138DA">
        <w:t>to</w:t>
      </w:r>
      <w:r w:rsidR="000E0E3A">
        <w:t xml:space="preserve"> </w:t>
      </w:r>
      <w:r w:rsidR="00683BF5">
        <w:t xml:space="preserve">building a co-design approach </w:t>
      </w:r>
      <w:r w:rsidR="00D138DA">
        <w:t>is</w:t>
      </w:r>
      <w:r>
        <w:t xml:space="preserve"> to set up a co-design working group to ensure the remainder of The Strategy implementation </w:t>
      </w:r>
      <w:r w:rsidR="00A96A76">
        <w:t>i</w:t>
      </w:r>
      <w:r>
        <w:t xml:space="preserve">s carried out in partnership with people with disability. Additionally, it is imperative that any proposal impacting young people with disability have representatives from this cohort in the working group. Ideally, people with disability would already be part of a reference group (or similar) for larger or more substantial ongoing projects. </w:t>
      </w:r>
    </w:p>
    <w:p w14:paraId="267943F9" w14:textId="6170B0D7" w:rsidR="00611F08" w:rsidRDefault="002B2C28" w:rsidP="005F6DAF">
      <w:pPr>
        <w:pStyle w:val="Heading2"/>
        <w:numPr>
          <w:ilvl w:val="0"/>
          <w:numId w:val="16"/>
        </w:numPr>
      </w:pPr>
      <w:bookmarkStart w:id="25" w:name="_Toc133675144"/>
      <w:r w:rsidRPr="002B2C28">
        <w:t>Prioritising the needs of diverse groups through universal design/thinking</w:t>
      </w:r>
      <w:bookmarkEnd w:id="25"/>
    </w:p>
    <w:p w14:paraId="6CC88B56" w14:textId="77777777" w:rsidR="00846C3E" w:rsidRPr="00846C3E" w:rsidRDefault="00846C3E" w:rsidP="0005515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611F08" w14:paraId="79730EB3" w14:textId="77777777" w:rsidTr="0017208A">
        <w:trPr>
          <w:trHeight w:val="1984"/>
        </w:trPr>
        <w:tc>
          <w:tcPr>
            <w:tcW w:w="9026" w:type="dxa"/>
            <w:shd w:val="clear" w:color="auto" w:fill="C5E0B3" w:themeFill="accent6" w:themeFillTint="66"/>
          </w:tcPr>
          <w:p w14:paraId="6E9B54E5" w14:textId="14484BCC" w:rsidR="00611F08" w:rsidRDefault="00611F08" w:rsidP="00001939">
            <w:pPr>
              <w:spacing w:before="0"/>
              <w:rPr>
                <w:b/>
                <w:bCs/>
              </w:rPr>
            </w:pPr>
            <w:r w:rsidRPr="3EBB20C0">
              <w:rPr>
                <w:b/>
                <w:bCs/>
              </w:rPr>
              <w:t xml:space="preserve">Recommendation </w:t>
            </w:r>
            <w:r>
              <w:rPr>
                <w:b/>
                <w:bCs/>
              </w:rPr>
              <w:t>3</w:t>
            </w:r>
          </w:p>
          <w:p w14:paraId="208DFF5B" w14:textId="77777777" w:rsidR="00D650D7" w:rsidRPr="003A25F1" w:rsidRDefault="00D650D7" w:rsidP="00D650D7">
            <w:pPr>
              <w:shd w:val="clear" w:color="auto" w:fill="C5E0B3" w:themeFill="accent6" w:themeFillTint="66"/>
              <w:ind w:left="720" w:hanging="720"/>
              <w:jc w:val="both"/>
            </w:pPr>
            <w:r w:rsidRPr="00981D27">
              <w:t>•</w:t>
            </w:r>
            <w:r w:rsidRPr="00981D27">
              <w:tab/>
            </w:r>
            <w:r w:rsidRPr="00B4693A">
              <w:t>We urge the Australian government to incorporate a universal design approach to the design, delivery, monitoring and evaluation of the strategy framework, to make The Strategy accessible for all</w:t>
            </w:r>
            <w:r>
              <w:t xml:space="preserve">, including </w:t>
            </w:r>
            <w:r w:rsidRPr="00B4693A">
              <w:t>children and young people with disability.</w:t>
            </w:r>
          </w:p>
          <w:p w14:paraId="323A1637" w14:textId="0AE75787" w:rsidR="00611F08" w:rsidRPr="002B2C28" w:rsidRDefault="00611F08" w:rsidP="002B2C28">
            <w:pPr>
              <w:rPr>
                <w:rFonts w:eastAsiaTheme="minorEastAsia" w:cs="Arial"/>
              </w:rPr>
            </w:pPr>
          </w:p>
        </w:tc>
      </w:tr>
    </w:tbl>
    <w:p w14:paraId="2E4F8E38" w14:textId="57D79FAA" w:rsidR="00611F08" w:rsidRPr="00594C8D" w:rsidRDefault="00611F08" w:rsidP="00594C8D">
      <w:pPr>
        <w:rPr>
          <w:lang w:val="en-US"/>
        </w:rPr>
      </w:pPr>
      <w:r w:rsidRPr="00594C8D">
        <w:rPr>
          <w:lang w:val="en-US"/>
        </w:rPr>
        <w:t xml:space="preserve">CYDA acknowledges the commitment of the Australian government to ensure that The Early Years Strategy will be built on the foundation that every child deserves the opportunity for the best start to life, a chance to achieve their goals and dreams while ensuring that no child or family is held back or left behind. To best accomplish this, CYDA recommends the government </w:t>
      </w:r>
      <w:r w:rsidR="00456A31">
        <w:t>consider</w:t>
      </w:r>
      <w:r w:rsidRPr="00594C8D">
        <w:rPr>
          <w:lang w:val="en-US"/>
        </w:rPr>
        <w:t xml:space="preserve"> </w:t>
      </w:r>
      <w:r w:rsidR="00694AFF">
        <w:rPr>
          <w:lang w:val="en-US"/>
        </w:rPr>
        <w:t xml:space="preserve">the </w:t>
      </w:r>
      <w:r w:rsidR="001F5672">
        <w:rPr>
          <w:lang w:val="en-US"/>
        </w:rPr>
        <w:t xml:space="preserve">diverse </w:t>
      </w:r>
      <w:r w:rsidR="00694AFF">
        <w:rPr>
          <w:lang w:val="en-US"/>
        </w:rPr>
        <w:t xml:space="preserve">needs of </w:t>
      </w:r>
      <w:r w:rsidRPr="00594C8D">
        <w:rPr>
          <w:lang w:val="en-US"/>
        </w:rPr>
        <w:t xml:space="preserve">children and young people with disability and their families </w:t>
      </w:r>
      <w:r w:rsidR="00694AFF">
        <w:rPr>
          <w:lang w:val="en-US"/>
        </w:rPr>
        <w:t>in the design</w:t>
      </w:r>
      <w:r w:rsidRPr="00594C8D">
        <w:rPr>
          <w:lang w:val="en-US"/>
        </w:rPr>
        <w:t>.</w:t>
      </w:r>
      <w:r w:rsidR="005F6CB3">
        <w:rPr>
          <w:lang w:val="en-US"/>
        </w:rPr>
        <w:t xml:space="preserve"> </w:t>
      </w:r>
      <w:r w:rsidR="005F6CB3" w:rsidRPr="005F6CB3">
        <w:rPr>
          <w:lang w:val="en-US"/>
        </w:rPr>
        <w:t xml:space="preserve">By considering the </w:t>
      </w:r>
      <w:r w:rsidR="001624A3">
        <w:rPr>
          <w:lang w:val="en-US"/>
        </w:rPr>
        <w:t>various</w:t>
      </w:r>
      <w:r w:rsidR="005F6CB3" w:rsidRPr="005F6CB3">
        <w:rPr>
          <w:lang w:val="en-US"/>
        </w:rPr>
        <w:t xml:space="preserve"> </w:t>
      </w:r>
      <w:r w:rsidR="0038550A">
        <w:rPr>
          <w:lang w:val="en-US"/>
        </w:rPr>
        <w:t>requirements</w:t>
      </w:r>
      <w:r w:rsidR="005F6CB3" w:rsidRPr="005F6CB3">
        <w:rPr>
          <w:lang w:val="en-US"/>
        </w:rPr>
        <w:t xml:space="preserve"> and abilities of </w:t>
      </w:r>
      <w:r w:rsidR="005F6CB3" w:rsidRPr="008D7CDB">
        <w:rPr>
          <w:i/>
          <w:iCs/>
          <w:lang w:val="en-US"/>
        </w:rPr>
        <w:t>all</w:t>
      </w:r>
      <w:r w:rsidR="005F6CB3" w:rsidRPr="005F6CB3">
        <w:rPr>
          <w:lang w:val="en-US"/>
        </w:rPr>
        <w:t xml:space="preserve"> throughout the design </w:t>
      </w:r>
      <w:r w:rsidR="00AE5C84">
        <w:rPr>
          <w:lang w:val="en-US"/>
        </w:rPr>
        <w:t xml:space="preserve">of The </w:t>
      </w:r>
      <w:r w:rsidR="00FC5E4D">
        <w:rPr>
          <w:lang w:val="en-US"/>
        </w:rPr>
        <w:t>Strategy</w:t>
      </w:r>
      <w:r w:rsidR="005F6CB3" w:rsidRPr="005F6CB3">
        <w:rPr>
          <w:lang w:val="en-US"/>
        </w:rPr>
        <w:t xml:space="preserve">, </w:t>
      </w:r>
      <w:r w:rsidR="005C5727">
        <w:rPr>
          <w:lang w:val="en-US"/>
        </w:rPr>
        <w:t xml:space="preserve">a </w:t>
      </w:r>
      <w:r w:rsidR="005F6CB3" w:rsidRPr="005F6CB3">
        <w:rPr>
          <w:lang w:val="en-US"/>
        </w:rPr>
        <w:t xml:space="preserve">universal design </w:t>
      </w:r>
      <w:r w:rsidR="005C5727">
        <w:rPr>
          <w:lang w:val="en-US"/>
        </w:rPr>
        <w:t xml:space="preserve">approach </w:t>
      </w:r>
      <w:r w:rsidR="00E96EC1">
        <w:rPr>
          <w:lang w:val="en-US"/>
        </w:rPr>
        <w:t>must</w:t>
      </w:r>
      <w:r w:rsidR="008D1023">
        <w:rPr>
          <w:lang w:val="en-US"/>
        </w:rPr>
        <w:t xml:space="preserve"> </w:t>
      </w:r>
      <w:r w:rsidR="005F6CB3" w:rsidRPr="005F6CB3">
        <w:rPr>
          <w:lang w:val="en-US"/>
        </w:rPr>
        <w:t xml:space="preserve">create </w:t>
      </w:r>
      <w:r w:rsidR="00FB75C9">
        <w:rPr>
          <w:lang w:val="en-US"/>
        </w:rPr>
        <w:t xml:space="preserve">policy, </w:t>
      </w:r>
      <w:r w:rsidR="005F6CB3" w:rsidRPr="005F6CB3">
        <w:rPr>
          <w:lang w:val="en-US"/>
        </w:rPr>
        <w:t>products</w:t>
      </w:r>
      <w:r w:rsidR="00CA6ABB">
        <w:rPr>
          <w:lang w:val="en-US"/>
        </w:rPr>
        <w:t xml:space="preserve"> and</w:t>
      </w:r>
      <w:r w:rsidR="005F6CB3" w:rsidRPr="005F6CB3">
        <w:rPr>
          <w:lang w:val="en-US"/>
        </w:rPr>
        <w:t xml:space="preserve"> services that meet peoples' </w:t>
      </w:r>
      <w:r w:rsidR="00D90ABC">
        <w:rPr>
          <w:lang w:val="en-US"/>
        </w:rPr>
        <w:t xml:space="preserve">diverse </w:t>
      </w:r>
      <w:r w:rsidR="005F6CB3" w:rsidRPr="005F6CB3">
        <w:rPr>
          <w:lang w:val="en-US"/>
        </w:rPr>
        <w:t xml:space="preserve">needs. </w:t>
      </w:r>
      <w:r w:rsidR="00DB5A9E">
        <w:rPr>
          <w:lang w:val="en-US"/>
        </w:rPr>
        <w:t>If The Strategy and underlying framework is universally designed at the outset</w:t>
      </w:r>
      <w:r w:rsidR="00DB5A9E" w:rsidRPr="005F6CB3">
        <w:rPr>
          <w:lang w:val="en-US"/>
        </w:rPr>
        <w:t xml:space="preserve"> </w:t>
      </w:r>
      <w:r w:rsidR="00001A8D">
        <w:rPr>
          <w:lang w:val="en-US"/>
        </w:rPr>
        <w:t xml:space="preserve">to be </w:t>
      </w:r>
      <w:r w:rsidR="00DB5A9E" w:rsidRPr="005F6CB3">
        <w:rPr>
          <w:lang w:val="en-US"/>
        </w:rPr>
        <w:t>accessible</w:t>
      </w:r>
      <w:r w:rsidR="007935B9">
        <w:rPr>
          <w:lang w:val="en-US"/>
        </w:rPr>
        <w:t xml:space="preserve"> and </w:t>
      </w:r>
      <w:r w:rsidR="00DB5A9E" w:rsidRPr="005F6CB3">
        <w:rPr>
          <w:lang w:val="en-US"/>
        </w:rPr>
        <w:t>usable, everyone benefits.</w:t>
      </w:r>
      <w:r w:rsidR="00001A8D">
        <w:rPr>
          <w:lang w:val="en-US"/>
        </w:rPr>
        <w:t xml:space="preserve"> </w:t>
      </w:r>
      <w:r w:rsidR="005F6CB3" w:rsidRPr="005F6CB3">
        <w:rPr>
          <w:lang w:val="en-US"/>
        </w:rPr>
        <w:t>Simply put, universal design is good design</w:t>
      </w:r>
      <w:r w:rsidR="001F5672">
        <w:rPr>
          <w:rStyle w:val="FootnoteReference"/>
          <w:lang w:val="en-US"/>
        </w:rPr>
        <w:footnoteReference w:id="25"/>
      </w:r>
      <w:r w:rsidR="005F6CB3" w:rsidRPr="005F6CB3">
        <w:rPr>
          <w:lang w:val="en-US"/>
        </w:rPr>
        <w:t>.</w:t>
      </w:r>
    </w:p>
    <w:p w14:paraId="4F7CB133" w14:textId="636F5B4C" w:rsidR="00C459A8" w:rsidRPr="00C459A8" w:rsidRDefault="00D9310A" w:rsidP="00BF3876">
      <w:pPr>
        <w:rPr>
          <w:b/>
          <w:bCs/>
          <w:lang w:val="en-US"/>
        </w:rPr>
      </w:pPr>
      <w:r>
        <w:rPr>
          <w:b/>
          <w:bCs/>
          <w:lang w:val="en-US"/>
        </w:rPr>
        <w:t xml:space="preserve">3.1 </w:t>
      </w:r>
      <w:r w:rsidR="007A3C3F">
        <w:rPr>
          <w:b/>
          <w:bCs/>
          <w:lang w:val="en-US"/>
        </w:rPr>
        <w:t>The case for</w:t>
      </w:r>
      <w:r w:rsidR="00C459A8">
        <w:rPr>
          <w:b/>
          <w:bCs/>
          <w:lang w:val="en-US"/>
        </w:rPr>
        <w:t xml:space="preserve"> universal design</w:t>
      </w:r>
    </w:p>
    <w:p w14:paraId="54BD519C" w14:textId="5C4A55C6" w:rsidR="00BF3876" w:rsidRPr="009F03C2" w:rsidRDefault="00BF3876" w:rsidP="00BF3876">
      <w:pPr>
        <w:rPr>
          <w:lang w:val="en-US"/>
        </w:rPr>
      </w:pPr>
      <w:r w:rsidRPr="00594C8D">
        <w:rPr>
          <w:lang w:val="en-US"/>
        </w:rPr>
        <w:t xml:space="preserve">Universal design refers to the </w:t>
      </w:r>
      <w:r>
        <w:rPr>
          <w:lang w:val="en-US"/>
        </w:rPr>
        <w:t>“</w:t>
      </w:r>
      <w:r w:rsidRPr="00594C8D">
        <w:rPr>
          <w:lang w:val="en-US"/>
        </w:rPr>
        <w:t xml:space="preserve">design of products and environments to be usable by all people to the greatest extent possible, without the need for </w:t>
      </w:r>
      <w:r w:rsidR="001D1734">
        <w:rPr>
          <w:lang w:val="en-US"/>
        </w:rPr>
        <w:t xml:space="preserve">future </w:t>
      </w:r>
      <w:r w:rsidRPr="00594C8D">
        <w:rPr>
          <w:lang w:val="en-US"/>
        </w:rPr>
        <w:t xml:space="preserve">adaptation or </w:t>
      </w:r>
      <w:r w:rsidRPr="00594C8D">
        <w:t>specialised</w:t>
      </w:r>
      <w:r w:rsidRPr="00594C8D">
        <w:rPr>
          <w:lang w:val="en-US"/>
        </w:rPr>
        <w:t xml:space="preserve"> design</w:t>
      </w:r>
      <w:r>
        <w:rPr>
          <w:lang w:val="en-US"/>
        </w:rPr>
        <w:t>”</w:t>
      </w:r>
      <w:r w:rsidRPr="00594C8D">
        <w:rPr>
          <w:vertAlign w:val="superscript"/>
          <w:lang w:val="en-US"/>
        </w:rPr>
        <w:footnoteReference w:id="26"/>
      </w:r>
      <w:r w:rsidRPr="00594C8D">
        <w:rPr>
          <w:lang w:val="en-US"/>
        </w:rPr>
        <w:t xml:space="preserve">. In the context of an </w:t>
      </w:r>
      <w:r>
        <w:rPr>
          <w:lang w:val="en-US"/>
        </w:rPr>
        <w:t>E</w:t>
      </w:r>
      <w:r w:rsidRPr="00594C8D">
        <w:rPr>
          <w:lang w:val="en-US"/>
        </w:rPr>
        <w:t xml:space="preserve">arly </w:t>
      </w:r>
      <w:r>
        <w:rPr>
          <w:lang w:val="en-US"/>
        </w:rPr>
        <w:t>Y</w:t>
      </w:r>
      <w:r w:rsidRPr="00594C8D">
        <w:rPr>
          <w:lang w:val="en-US"/>
        </w:rPr>
        <w:t xml:space="preserve">ears </w:t>
      </w:r>
      <w:r>
        <w:rPr>
          <w:lang w:val="en-US"/>
        </w:rPr>
        <w:t>S</w:t>
      </w:r>
      <w:r w:rsidRPr="00594C8D">
        <w:rPr>
          <w:lang w:val="en-US"/>
        </w:rPr>
        <w:t xml:space="preserve">trategy, this means designing, delivering, monitoring and evaluating </w:t>
      </w:r>
      <w:r>
        <w:rPr>
          <w:lang w:val="en-US"/>
        </w:rPr>
        <w:t>T</w:t>
      </w:r>
      <w:r w:rsidRPr="00594C8D">
        <w:rPr>
          <w:lang w:val="en-US"/>
        </w:rPr>
        <w:t xml:space="preserve">he </w:t>
      </w:r>
      <w:r>
        <w:rPr>
          <w:lang w:val="en-US"/>
        </w:rPr>
        <w:t>S</w:t>
      </w:r>
      <w:r w:rsidRPr="00594C8D">
        <w:rPr>
          <w:lang w:val="en-US"/>
        </w:rPr>
        <w:t>trategy</w:t>
      </w:r>
      <w:r>
        <w:rPr>
          <w:lang w:val="en-US"/>
        </w:rPr>
        <w:t>’s</w:t>
      </w:r>
      <w:r w:rsidRPr="00594C8D">
        <w:rPr>
          <w:lang w:val="en-US"/>
        </w:rPr>
        <w:t xml:space="preserve"> framework, action and policy priorities to be accessible, usable and meaningful to children and young people across the broadest diversity ranges. An inclusive strategy facilitates access, participation</w:t>
      </w:r>
      <w:r>
        <w:rPr>
          <w:lang w:val="en-US"/>
        </w:rPr>
        <w:t>,</w:t>
      </w:r>
      <w:r w:rsidRPr="00594C8D">
        <w:rPr>
          <w:lang w:val="en-US"/>
        </w:rPr>
        <w:t xml:space="preserve"> and success across all domains of a child's early years. This approach acknowledges that </w:t>
      </w:r>
      <w:r>
        <w:rPr>
          <w:lang w:val="en-US"/>
        </w:rPr>
        <w:t>T</w:t>
      </w:r>
      <w:r w:rsidRPr="00594C8D">
        <w:rPr>
          <w:lang w:val="en-US"/>
        </w:rPr>
        <w:t xml:space="preserve">he </w:t>
      </w:r>
      <w:r>
        <w:rPr>
          <w:lang w:val="en-US"/>
        </w:rPr>
        <w:t>S</w:t>
      </w:r>
      <w:r w:rsidRPr="00594C8D">
        <w:rPr>
          <w:lang w:val="en-US"/>
        </w:rPr>
        <w:t xml:space="preserve">trategy would meet the needs of all people who wish to use it. A universal design strategy is not a special requirement for the </w:t>
      </w:r>
      <w:r>
        <w:rPr>
          <w:lang w:val="en-US"/>
        </w:rPr>
        <w:t>advancement</w:t>
      </w:r>
      <w:r w:rsidRPr="00594C8D">
        <w:rPr>
          <w:lang w:val="en-US"/>
        </w:rPr>
        <w:t xml:space="preserve"> of only a minority of the population. It is a fundamental condition of good design</w:t>
      </w:r>
      <w:r>
        <w:rPr>
          <w:lang w:val="en-US"/>
        </w:rPr>
        <w:t xml:space="preserve"> for the benefit of all</w:t>
      </w:r>
      <w:r w:rsidRPr="00594C8D">
        <w:rPr>
          <w:lang w:val="en-US"/>
        </w:rPr>
        <w:t xml:space="preserve">. </w:t>
      </w:r>
    </w:p>
    <w:p w14:paraId="3D0FC965" w14:textId="5C3EE6EF" w:rsidR="00611F08" w:rsidRDefault="00611F08" w:rsidP="00594C8D">
      <w:pPr>
        <w:rPr>
          <w:lang w:val="en-US"/>
        </w:rPr>
      </w:pPr>
      <w:r w:rsidRPr="00594C8D">
        <w:rPr>
          <w:lang w:val="en-US"/>
        </w:rPr>
        <w:t xml:space="preserve">Policy responses and strategies which assume the experience and impact of disability is the same can fail to take into account intersectional impacts disproportionately affecting groups </w:t>
      </w:r>
      <w:r w:rsidRPr="00594C8D">
        <w:rPr>
          <w:lang w:val="en-US"/>
        </w:rPr>
        <w:lastRenderedPageBreak/>
        <w:t>of people with disability.</w:t>
      </w:r>
      <w:r w:rsidRPr="00594C8D">
        <w:rPr>
          <w:vertAlign w:val="superscript"/>
          <w:lang w:val="en-US"/>
        </w:rPr>
        <w:footnoteReference w:id="27"/>
      </w:r>
      <w:r w:rsidRPr="00594C8D">
        <w:rPr>
          <w:lang w:val="en-US"/>
        </w:rPr>
        <w:t xml:space="preserve"> Therefore, the Early </w:t>
      </w:r>
      <w:r w:rsidR="003B4C8C">
        <w:rPr>
          <w:lang w:val="en-US"/>
        </w:rPr>
        <w:t>Years</w:t>
      </w:r>
      <w:r w:rsidRPr="00594C8D">
        <w:rPr>
          <w:lang w:val="en-US"/>
        </w:rPr>
        <w:t xml:space="preserve"> Strategy should consider incorporating a targeted approach to engage with children, young people with disability and their families who face intersectional barriers, especially those from First Nations communities, Culturally and Linguistically </w:t>
      </w:r>
      <w:r w:rsidR="00ED23D2">
        <w:rPr>
          <w:lang w:val="en-US"/>
        </w:rPr>
        <w:t xml:space="preserve">Diverse </w:t>
      </w:r>
      <w:r w:rsidRPr="00594C8D">
        <w:rPr>
          <w:lang w:val="en-US"/>
        </w:rPr>
        <w:t xml:space="preserve">communities, </w:t>
      </w:r>
      <w:r w:rsidR="00DA75A4">
        <w:rPr>
          <w:lang w:val="en-US"/>
        </w:rPr>
        <w:t xml:space="preserve">the </w:t>
      </w:r>
      <w:r w:rsidRPr="00594C8D">
        <w:rPr>
          <w:lang w:val="en-US"/>
        </w:rPr>
        <w:t xml:space="preserve">LGBTQIA+ community, </w:t>
      </w:r>
      <w:r w:rsidR="00DA75A4">
        <w:rPr>
          <w:lang w:val="en-US"/>
        </w:rPr>
        <w:t xml:space="preserve">those </w:t>
      </w:r>
      <w:r w:rsidRPr="00594C8D">
        <w:rPr>
          <w:lang w:val="en-US"/>
        </w:rPr>
        <w:t>living in rural</w:t>
      </w:r>
      <w:r w:rsidR="00DA75A4">
        <w:rPr>
          <w:lang w:val="en-US"/>
        </w:rPr>
        <w:t>/</w:t>
      </w:r>
      <w:r w:rsidRPr="00594C8D">
        <w:rPr>
          <w:lang w:val="en-US"/>
        </w:rPr>
        <w:t>remote Australia, disadvantaged socio-economic areas etc.</w:t>
      </w:r>
      <w:r w:rsidR="001A6669">
        <w:rPr>
          <w:lang w:val="en-US"/>
        </w:rPr>
        <w:t>,</w:t>
      </w:r>
      <w:r w:rsidRPr="00594C8D">
        <w:rPr>
          <w:lang w:val="en-US"/>
        </w:rPr>
        <w:t xml:space="preserve"> and include them at the heart of the design process.</w:t>
      </w:r>
    </w:p>
    <w:p w14:paraId="21ADF35F" w14:textId="29E653AA" w:rsidR="00611F08" w:rsidRPr="00594C8D" w:rsidRDefault="00CB2193" w:rsidP="00594C8D">
      <w:pPr>
        <w:rPr>
          <w:lang w:val="en-US"/>
        </w:rPr>
      </w:pPr>
      <w:r>
        <w:rPr>
          <w:lang w:val="en-US"/>
        </w:rPr>
        <w:t>Several</w:t>
      </w:r>
      <w:r w:rsidR="00611F08" w:rsidRPr="00594C8D">
        <w:rPr>
          <w:lang w:val="en-US"/>
        </w:rPr>
        <w:t xml:space="preserve"> national strategies and policies have adopted various mechanisms to include these priority groups in recent years. For example, the Australian Disability Strategy acknowledges the intersectionality and diversity of children and young people with disability, and the Early Childhood Targeted Action Plan sets out actions to ensure these children are supported to reach their full potential. Similarly, the NDIS is co-designing a specific First National Strategy</w:t>
      </w:r>
      <w:r w:rsidR="00611F08" w:rsidRPr="00594C8D">
        <w:rPr>
          <w:vertAlign w:val="superscript"/>
          <w:lang w:val="en-US"/>
        </w:rPr>
        <w:footnoteReference w:id="28"/>
      </w:r>
      <w:r w:rsidR="00611F08" w:rsidRPr="00594C8D">
        <w:rPr>
          <w:lang w:val="en-US"/>
        </w:rPr>
        <w:t xml:space="preserve"> and a new CaLD strategy</w:t>
      </w:r>
      <w:r w:rsidR="00611F08" w:rsidRPr="00594C8D">
        <w:rPr>
          <w:vertAlign w:val="superscript"/>
          <w:lang w:val="en-US"/>
        </w:rPr>
        <w:footnoteReference w:id="29"/>
      </w:r>
      <w:r w:rsidR="00611F08" w:rsidRPr="00594C8D">
        <w:rPr>
          <w:lang w:val="en-US"/>
        </w:rPr>
        <w:t xml:space="preserve"> to deliver better outcomes to participants from these backgrounds. However, whether these segmented approaches have a meaningful impact on children and young people from the priority groups remains </w:t>
      </w:r>
      <w:r w:rsidR="00533031">
        <w:rPr>
          <w:lang w:val="en-US"/>
        </w:rPr>
        <w:t>to be seen</w:t>
      </w:r>
      <w:r w:rsidR="00611F08" w:rsidRPr="00594C8D">
        <w:rPr>
          <w:lang w:val="en-US"/>
        </w:rPr>
        <w:t>.</w:t>
      </w:r>
    </w:p>
    <w:p w14:paraId="295E4886" w14:textId="25A9A62C" w:rsidR="00611F08" w:rsidRPr="00594C8D" w:rsidRDefault="00611F08" w:rsidP="00594C8D">
      <w:pPr>
        <w:rPr>
          <w:lang w:val="en-US"/>
        </w:rPr>
      </w:pPr>
      <w:r w:rsidRPr="00594C8D">
        <w:rPr>
          <w:lang w:val="en-US"/>
        </w:rPr>
        <w:t>A recent report</w:t>
      </w:r>
      <w:r w:rsidRPr="00594C8D">
        <w:rPr>
          <w:vertAlign w:val="superscript"/>
          <w:lang w:val="en-US"/>
        </w:rPr>
        <w:footnoteReference w:id="30"/>
      </w:r>
      <w:r w:rsidRPr="00594C8D">
        <w:rPr>
          <w:lang w:val="en-US"/>
        </w:rPr>
        <w:t xml:space="preserve"> on child development – including developmental vulnerability</w:t>
      </w:r>
      <w:r w:rsidRPr="00594C8D">
        <w:rPr>
          <w:vertAlign w:val="superscript"/>
          <w:lang w:val="en-US"/>
        </w:rPr>
        <w:footnoteReference w:id="31"/>
      </w:r>
      <w:r w:rsidRPr="00594C8D">
        <w:rPr>
          <w:lang w:val="en-US"/>
        </w:rPr>
        <w:t xml:space="preserve"> and the domains that make up child development based on the Australian Early Development Census (AEDC) found that</w:t>
      </w:r>
      <w:r w:rsidR="001B75E1">
        <w:rPr>
          <w:lang w:val="en-US"/>
        </w:rPr>
        <w:t>:</w:t>
      </w:r>
    </w:p>
    <w:p w14:paraId="2110FB52" w14:textId="7B72035E" w:rsidR="00611F08" w:rsidRPr="00594C8D" w:rsidRDefault="00611F08" w:rsidP="00594C8D">
      <w:pPr>
        <w:numPr>
          <w:ilvl w:val="0"/>
          <w:numId w:val="24"/>
        </w:numPr>
        <w:rPr>
          <w:lang w:val="en-US"/>
        </w:rPr>
      </w:pPr>
      <w:r w:rsidRPr="00594C8D">
        <w:rPr>
          <w:lang w:val="en-US"/>
        </w:rPr>
        <w:t>Aboriginal and Torres Strait Islander children have high levels of vulnerability: 42.3</w:t>
      </w:r>
      <w:r w:rsidR="001B75E1">
        <w:rPr>
          <w:lang w:val="en-US"/>
        </w:rPr>
        <w:t>%</w:t>
      </w:r>
      <w:r w:rsidRPr="00594C8D">
        <w:rPr>
          <w:lang w:val="en-US"/>
        </w:rPr>
        <w:t>are vulnerable in one or more domains</w:t>
      </w:r>
      <w:r w:rsidR="001B75E1">
        <w:rPr>
          <w:lang w:val="en-US"/>
        </w:rPr>
        <w:t>,</w:t>
      </w:r>
      <w:r w:rsidRPr="00594C8D">
        <w:rPr>
          <w:lang w:val="en-US"/>
        </w:rPr>
        <w:t xml:space="preserve"> compared to 20.6</w:t>
      </w:r>
      <w:r w:rsidR="00883209">
        <w:rPr>
          <w:lang w:val="en-US"/>
        </w:rPr>
        <w:t xml:space="preserve">% </w:t>
      </w:r>
      <w:r w:rsidRPr="00594C8D">
        <w:rPr>
          <w:lang w:val="en-US"/>
        </w:rPr>
        <w:t>for non-Aboriginal or Torres Strait Islander children.</w:t>
      </w:r>
    </w:p>
    <w:p w14:paraId="23864CF0" w14:textId="60B2E2DC" w:rsidR="00611F08" w:rsidRPr="00594C8D" w:rsidRDefault="00611F08" w:rsidP="00594C8D">
      <w:pPr>
        <w:numPr>
          <w:ilvl w:val="0"/>
          <w:numId w:val="24"/>
        </w:numPr>
        <w:rPr>
          <w:lang w:val="en-US"/>
        </w:rPr>
      </w:pPr>
      <w:r w:rsidRPr="00594C8D">
        <w:rPr>
          <w:lang w:val="en-US"/>
        </w:rPr>
        <w:t>Children in the most disadvantaged socio-economic areas are twice as likely to be developmentally vulnerable (33.2</w:t>
      </w:r>
      <w:r w:rsidR="00055438">
        <w:rPr>
          <w:lang w:val="en-US"/>
        </w:rPr>
        <w:t>%</w:t>
      </w:r>
      <w:r w:rsidRPr="00594C8D">
        <w:rPr>
          <w:lang w:val="en-US"/>
        </w:rPr>
        <w:t xml:space="preserve"> compared to 14.9</w:t>
      </w:r>
      <w:r w:rsidR="00055438">
        <w:rPr>
          <w:lang w:val="en-US"/>
        </w:rPr>
        <w:t>%</w:t>
      </w:r>
      <w:r w:rsidRPr="00594C8D">
        <w:rPr>
          <w:lang w:val="en-US"/>
        </w:rPr>
        <w:t>) and three times more likely to be vulnerable in more than one domain (19.1</w:t>
      </w:r>
      <w:r w:rsidR="00055438">
        <w:rPr>
          <w:lang w:val="en-US"/>
        </w:rPr>
        <w:t xml:space="preserve">% </w:t>
      </w:r>
      <w:r w:rsidRPr="00594C8D">
        <w:rPr>
          <w:lang w:val="en-US"/>
        </w:rPr>
        <w:t>compared to 6.7</w:t>
      </w:r>
      <w:r w:rsidR="00055438">
        <w:rPr>
          <w:lang w:val="en-US"/>
        </w:rPr>
        <w:t>%</w:t>
      </w:r>
      <w:r w:rsidRPr="00594C8D">
        <w:rPr>
          <w:lang w:val="en-US"/>
        </w:rPr>
        <w:t>) than children in the most advantaged socio-economic areas.</w:t>
      </w:r>
    </w:p>
    <w:p w14:paraId="724245FC" w14:textId="66C5BF9C" w:rsidR="00611F08" w:rsidRPr="00594C8D" w:rsidRDefault="00611F08" w:rsidP="00594C8D">
      <w:pPr>
        <w:numPr>
          <w:ilvl w:val="0"/>
          <w:numId w:val="24"/>
        </w:numPr>
        <w:rPr>
          <w:lang w:val="en-US"/>
        </w:rPr>
      </w:pPr>
      <w:r w:rsidRPr="00594C8D">
        <w:rPr>
          <w:lang w:val="en-US"/>
        </w:rPr>
        <w:t>In very remote areas, nearly one in two children are vulnerable in one domain (46.2</w:t>
      </w:r>
      <w:r w:rsidR="00055438">
        <w:rPr>
          <w:lang w:val="en-US"/>
        </w:rPr>
        <w:t>%</w:t>
      </w:r>
      <w:r w:rsidRPr="00594C8D">
        <w:rPr>
          <w:lang w:val="en-US"/>
        </w:rPr>
        <w:t>) compared to one in five children (20.8</w:t>
      </w:r>
      <w:r w:rsidR="00055438">
        <w:rPr>
          <w:lang w:val="en-US"/>
        </w:rPr>
        <w:t>%</w:t>
      </w:r>
      <w:r w:rsidRPr="00594C8D">
        <w:rPr>
          <w:lang w:val="en-US"/>
        </w:rPr>
        <w:t>) in major cities.</w:t>
      </w:r>
    </w:p>
    <w:p w14:paraId="7383DA97" w14:textId="0939B01C" w:rsidR="00611F08" w:rsidRPr="00594C8D" w:rsidRDefault="00611F08" w:rsidP="00594C8D">
      <w:pPr>
        <w:numPr>
          <w:ilvl w:val="0"/>
          <w:numId w:val="24"/>
        </w:numPr>
        <w:rPr>
          <w:lang w:val="en-US"/>
        </w:rPr>
      </w:pPr>
      <w:r w:rsidRPr="00594C8D">
        <w:rPr>
          <w:lang w:val="en-US"/>
        </w:rPr>
        <w:t>More than 90</w:t>
      </w:r>
      <w:r w:rsidR="00055438">
        <w:rPr>
          <w:lang w:val="en-US"/>
        </w:rPr>
        <w:t>%</w:t>
      </w:r>
      <w:r w:rsidRPr="00594C8D">
        <w:rPr>
          <w:lang w:val="en-US"/>
        </w:rPr>
        <w:t xml:space="preserve"> of children who are not proficient in English are developmentally vulnerable, with 60.5</w:t>
      </w:r>
      <w:r w:rsidR="00055438">
        <w:rPr>
          <w:lang w:val="en-US"/>
        </w:rPr>
        <w:t>%</w:t>
      </w:r>
      <w:r w:rsidRPr="00594C8D">
        <w:rPr>
          <w:lang w:val="en-US"/>
        </w:rPr>
        <w:t xml:space="preserve"> of these children vulnerable in more than one domain.</w:t>
      </w:r>
    </w:p>
    <w:p w14:paraId="2465D169" w14:textId="16E11A39" w:rsidR="00611F08" w:rsidRDefault="00611F08" w:rsidP="00594C8D">
      <w:pPr>
        <w:rPr>
          <w:lang w:val="en-US"/>
        </w:rPr>
      </w:pPr>
      <w:r w:rsidRPr="00594C8D">
        <w:rPr>
          <w:lang w:val="en-US"/>
        </w:rPr>
        <w:t xml:space="preserve">To address these gaps and increase accountability for the wellbeing, education, health (including mental health), safety and development of Australia's children and young people </w:t>
      </w:r>
      <w:r w:rsidRPr="00594C8D">
        <w:rPr>
          <w:lang w:val="en-US"/>
        </w:rPr>
        <w:lastRenderedPageBreak/>
        <w:t xml:space="preserve">with disability, CYDA recommends that </w:t>
      </w:r>
      <w:r w:rsidR="004074C1">
        <w:rPr>
          <w:lang w:val="en-US"/>
        </w:rPr>
        <w:t>T</w:t>
      </w:r>
      <w:r w:rsidRPr="00594C8D">
        <w:rPr>
          <w:lang w:val="en-US"/>
        </w:rPr>
        <w:t>he Early Years Strategy ensure that it is universally designed.</w:t>
      </w:r>
    </w:p>
    <w:p w14:paraId="1A0E6B9B" w14:textId="4BB09130" w:rsidR="00D23196" w:rsidRPr="00544B9D" w:rsidRDefault="00D9310A">
      <w:pPr>
        <w:spacing w:before="0" w:line="259" w:lineRule="auto"/>
        <w:rPr>
          <w:b/>
          <w:bCs/>
          <w:lang w:val="en-US"/>
        </w:rPr>
      </w:pPr>
      <w:r>
        <w:rPr>
          <w:b/>
          <w:bCs/>
          <w:lang w:val="en-US"/>
        </w:rPr>
        <w:t xml:space="preserve">3.2 </w:t>
      </w:r>
      <w:r w:rsidR="00544B9D" w:rsidRPr="00544B9D">
        <w:rPr>
          <w:b/>
          <w:bCs/>
          <w:lang w:val="en-US"/>
        </w:rPr>
        <w:t>What young people say about the benefits of universal design/thinking</w:t>
      </w:r>
    </w:p>
    <w:p w14:paraId="02382F5A" w14:textId="77777777" w:rsidR="00AC087E" w:rsidRDefault="00A54428" w:rsidP="00A54428">
      <w:pPr>
        <w:rPr>
          <w:lang w:val="en-US"/>
        </w:rPr>
      </w:pPr>
      <w:r>
        <w:rPr>
          <w:lang w:val="en-US"/>
        </w:rPr>
        <w:t>Young people from the CYDA community also identified u</w:t>
      </w:r>
      <w:r w:rsidRPr="00772A8E">
        <w:rPr>
          <w:lang w:val="en-US"/>
        </w:rPr>
        <w:t xml:space="preserve">niversal design </w:t>
      </w:r>
      <w:r>
        <w:rPr>
          <w:lang w:val="en-US"/>
        </w:rPr>
        <w:t>as</w:t>
      </w:r>
      <w:r w:rsidRPr="00772A8E">
        <w:rPr>
          <w:lang w:val="en-US"/>
        </w:rPr>
        <w:t xml:space="preserve"> a significant recurring theme </w:t>
      </w:r>
      <w:r>
        <w:rPr>
          <w:lang w:val="en-US"/>
        </w:rPr>
        <w:t>and design solution during the LivedX consultation series</w:t>
      </w:r>
      <w:r>
        <w:rPr>
          <w:rStyle w:val="FootnoteReference"/>
          <w:lang w:val="en-US"/>
        </w:rPr>
        <w:footnoteReference w:id="32"/>
      </w:r>
      <w:r>
        <w:rPr>
          <w:lang w:val="en-US"/>
        </w:rPr>
        <w:t xml:space="preserve">.  Although focusing on </w:t>
      </w:r>
      <w:r w:rsidR="003F4255">
        <w:rPr>
          <w:lang w:val="en-US"/>
        </w:rPr>
        <w:t xml:space="preserve">the </w:t>
      </w:r>
      <w:r>
        <w:rPr>
          <w:lang w:val="en-US"/>
        </w:rPr>
        <w:t xml:space="preserve">tertiary education </w:t>
      </w:r>
      <w:r w:rsidR="003F4255">
        <w:rPr>
          <w:lang w:val="en-US"/>
        </w:rPr>
        <w:t>sector</w:t>
      </w:r>
      <w:r>
        <w:rPr>
          <w:lang w:val="en-US"/>
        </w:rPr>
        <w:t>, the feedback from young people recommending the implementation of the universal design approach has applicability in the early years learning space as well</w:t>
      </w:r>
      <w:r w:rsidRPr="00772A8E">
        <w:rPr>
          <w:lang w:val="en-US"/>
        </w:rPr>
        <w:t xml:space="preserve">. </w:t>
      </w:r>
    </w:p>
    <w:p w14:paraId="77303E5D" w14:textId="3F1A5ADC" w:rsidR="003E3F34" w:rsidRDefault="0048682F" w:rsidP="00A54428">
      <w:pPr>
        <w:rPr>
          <w:lang w:val="en-US"/>
        </w:rPr>
      </w:pPr>
      <w:r>
        <w:rPr>
          <w:lang w:val="en-US"/>
        </w:rPr>
        <w:t xml:space="preserve">The comments about universal design from young people </w:t>
      </w:r>
      <w:r w:rsidR="007A1723">
        <w:rPr>
          <w:lang w:val="en-US"/>
        </w:rPr>
        <w:t>who participated in the consultations</w:t>
      </w:r>
      <w:r w:rsidR="00A54428">
        <w:rPr>
          <w:lang w:val="en-US"/>
        </w:rPr>
        <w:t xml:space="preserve"> spanned </w:t>
      </w:r>
      <w:r w:rsidR="00A54428" w:rsidRPr="00772A8E">
        <w:rPr>
          <w:lang w:val="en-US"/>
        </w:rPr>
        <w:t>the physical campuses</w:t>
      </w:r>
      <w:r w:rsidR="007A1723">
        <w:rPr>
          <w:lang w:val="en-US"/>
        </w:rPr>
        <w:t xml:space="preserve"> </w:t>
      </w:r>
      <w:r w:rsidR="007A1723" w:rsidRPr="00772A8E">
        <w:rPr>
          <w:lang w:val="en-US"/>
        </w:rPr>
        <w:t>to course delivery</w:t>
      </w:r>
      <w:r w:rsidR="001A0F5D">
        <w:rPr>
          <w:lang w:val="en-US"/>
        </w:rPr>
        <w:t>:</w:t>
      </w:r>
      <w:r w:rsidR="00A54428" w:rsidRPr="00772A8E">
        <w:rPr>
          <w:lang w:val="en-US"/>
        </w:rPr>
        <w:t xml:space="preserve"> </w:t>
      </w:r>
    </w:p>
    <w:p w14:paraId="3FF6E251" w14:textId="44AAEA44" w:rsidR="00D23196" w:rsidRDefault="00A54428" w:rsidP="00D23196">
      <w:pPr>
        <w:ind w:left="720"/>
        <w:rPr>
          <w:lang w:val="en-US"/>
        </w:rPr>
      </w:pPr>
      <w:r w:rsidRPr="00772A8E">
        <w:rPr>
          <w:lang w:val="en-US"/>
        </w:rPr>
        <w:t xml:space="preserve"> “</w:t>
      </w:r>
      <w:r w:rsidR="00384144">
        <w:rPr>
          <w:lang w:val="en-US"/>
        </w:rPr>
        <w:t>T</w:t>
      </w:r>
      <w:r w:rsidRPr="00772A8E">
        <w:rPr>
          <w:lang w:val="en-US"/>
        </w:rPr>
        <w:t>he architecture itself shoul</w:t>
      </w:r>
      <w:r w:rsidR="00D23196">
        <w:rPr>
          <w:lang w:val="en-US"/>
        </w:rPr>
        <w:t>d</w:t>
      </w:r>
      <w:r w:rsidRPr="00772A8E">
        <w:rPr>
          <w:lang w:val="en-US"/>
        </w:rPr>
        <w:t xml:space="preserve"> be designed with disability in mind.” </w:t>
      </w:r>
    </w:p>
    <w:p w14:paraId="0225F9A7" w14:textId="530C2E2D" w:rsidR="00A54428" w:rsidRPr="00BB707D" w:rsidRDefault="00A54428" w:rsidP="001A0F5D">
      <w:pPr>
        <w:ind w:left="720"/>
        <w:rPr>
          <w:i/>
          <w:iCs/>
          <w:lang w:val="en-US"/>
        </w:rPr>
      </w:pPr>
      <w:r w:rsidRPr="00BB707D">
        <w:rPr>
          <w:i/>
          <w:iCs/>
          <w:lang w:val="en-US"/>
        </w:rPr>
        <w:t xml:space="preserve">“Don't make accommodations for students, assume that there are students </w:t>
      </w:r>
      <w:r w:rsidR="00B951FE">
        <w:rPr>
          <w:i/>
          <w:iCs/>
          <w:lang w:val="en-US"/>
        </w:rPr>
        <w:t xml:space="preserve">[with disability] </w:t>
      </w:r>
      <w:r w:rsidRPr="00BB707D">
        <w:rPr>
          <w:i/>
          <w:iCs/>
          <w:lang w:val="en-US"/>
        </w:rPr>
        <w:t xml:space="preserve">are going to almost definitely be in those classes. And make it just a </w:t>
      </w:r>
      <w:r w:rsidR="002A39F2">
        <w:rPr>
          <w:i/>
          <w:iCs/>
          <w:lang w:val="en-US"/>
        </w:rPr>
        <w:t xml:space="preserve">[fundamental] </w:t>
      </w:r>
      <w:r w:rsidRPr="00BB707D">
        <w:rPr>
          <w:i/>
          <w:iCs/>
          <w:lang w:val="en-US"/>
        </w:rPr>
        <w:t>part</w:t>
      </w:r>
      <w:r w:rsidR="00CF32A4">
        <w:rPr>
          <w:i/>
          <w:iCs/>
          <w:lang w:val="en-US"/>
        </w:rPr>
        <w:t xml:space="preserve"> </w:t>
      </w:r>
      <w:r w:rsidR="007E7A70">
        <w:rPr>
          <w:i/>
          <w:iCs/>
          <w:lang w:val="en-US"/>
        </w:rPr>
        <w:t xml:space="preserve">[of the </w:t>
      </w:r>
      <w:r w:rsidR="002A39F2">
        <w:rPr>
          <w:i/>
          <w:iCs/>
          <w:lang w:val="en-US"/>
        </w:rPr>
        <w:t>design]</w:t>
      </w:r>
      <w:r w:rsidR="00B951FE">
        <w:rPr>
          <w:i/>
          <w:iCs/>
          <w:lang w:val="en-US"/>
        </w:rPr>
        <w:t>.</w:t>
      </w:r>
      <w:r w:rsidR="002A39F2">
        <w:rPr>
          <w:i/>
          <w:iCs/>
          <w:lang w:val="en-US"/>
        </w:rPr>
        <w:t xml:space="preserve"> </w:t>
      </w:r>
      <w:r w:rsidR="002A39F2" w:rsidRPr="002A39F2">
        <w:t xml:space="preserve"> </w:t>
      </w:r>
      <w:r w:rsidR="002A39F2" w:rsidRPr="002A39F2">
        <w:rPr>
          <w:i/>
          <w:iCs/>
          <w:lang w:val="en-US"/>
        </w:rPr>
        <w:t>Just assume we’re going to be there</w:t>
      </w:r>
      <w:r w:rsidRPr="00BB707D">
        <w:rPr>
          <w:i/>
          <w:iCs/>
          <w:lang w:val="en-US"/>
        </w:rPr>
        <w:t>.”</w:t>
      </w:r>
    </w:p>
    <w:p w14:paraId="05E71D04" w14:textId="77777777" w:rsidR="00A54428" w:rsidRPr="00BB707D" w:rsidRDefault="00A54428" w:rsidP="00A54428">
      <w:pPr>
        <w:ind w:left="720"/>
        <w:rPr>
          <w:i/>
          <w:iCs/>
          <w:lang w:val="en-US"/>
        </w:rPr>
      </w:pPr>
      <w:r w:rsidRPr="00BB707D">
        <w:rPr>
          <w:i/>
          <w:iCs/>
          <w:lang w:val="en-US"/>
        </w:rPr>
        <w:t>“I think a lot of the supports and accommodations should benefit all [...] not just people with accessibility needs.”</w:t>
      </w:r>
    </w:p>
    <w:p w14:paraId="0E50CF6A" w14:textId="77777777" w:rsidR="00A54428" w:rsidRDefault="00A54428" w:rsidP="00261F0B">
      <w:pPr>
        <w:ind w:left="1440"/>
      </w:pPr>
      <w:bookmarkStart w:id="26" w:name="_Hlk133650296"/>
      <w:r>
        <w:t>– participants in LivedX consultation, tertiary education (2021)</w:t>
      </w:r>
    </w:p>
    <w:bookmarkEnd w:id="26"/>
    <w:p w14:paraId="4D31DF61" w14:textId="77777777" w:rsidR="00A54428" w:rsidRPr="00594C8D" w:rsidRDefault="00A54428" w:rsidP="00A54428">
      <w:pPr>
        <w:rPr>
          <w:lang w:val="en-US"/>
        </w:rPr>
      </w:pPr>
    </w:p>
    <w:p w14:paraId="6BE7FB7B" w14:textId="7C1307EB" w:rsidR="006C777F" w:rsidRDefault="006C777F">
      <w:pPr>
        <w:spacing w:before="0" w:line="259" w:lineRule="auto"/>
      </w:pPr>
      <w:r>
        <w:br w:type="page"/>
      </w:r>
    </w:p>
    <w:p w14:paraId="0372B9BA" w14:textId="6CCE3102" w:rsidR="00611F08" w:rsidRPr="0035058A" w:rsidRDefault="00611F08" w:rsidP="0035058A">
      <w:pPr>
        <w:pStyle w:val="Heading1"/>
        <w:rPr>
          <w:color w:val="auto"/>
        </w:rPr>
      </w:pPr>
      <w:bookmarkStart w:id="27" w:name="_Toc133675145"/>
      <w:r>
        <w:lastRenderedPageBreak/>
        <w:t>CYDA’s response to the discussion questions</w:t>
      </w:r>
      <w:bookmarkEnd w:id="27"/>
    </w:p>
    <w:p w14:paraId="33029D14" w14:textId="16B3CDE8" w:rsidR="00611F08" w:rsidRPr="00AF04DE" w:rsidRDefault="003C7157" w:rsidP="0036341B">
      <w:r>
        <w:t>In the following section</w:t>
      </w:r>
      <w:r w:rsidR="00D73A3E">
        <w:t>,</w:t>
      </w:r>
      <w:r>
        <w:t xml:space="preserve"> we </w:t>
      </w:r>
      <w:r w:rsidR="00D73A3E">
        <w:t>draw even further</w:t>
      </w:r>
      <w:r>
        <w:t xml:space="preserve"> on the data collected from families, children and young people with disability to respond to the </w:t>
      </w:r>
      <w:r w:rsidR="007D1E9F">
        <w:t>questions outlined in the Discussion Paper.</w:t>
      </w:r>
      <w:r w:rsidR="00D7036C">
        <w:t xml:space="preserve"> </w:t>
      </w:r>
      <w:r w:rsidR="00D73A3E">
        <w:t>Focusing</w:t>
      </w:r>
      <w:r w:rsidR="00F55469">
        <w:t xml:space="preserve"> </w:t>
      </w:r>
      <w:r w:rsidR="00443C48">
        <w:t xml:space="preserve">our expertise, on content rather than format, we </w:t>
      </w:r>
      <w:r w:rsidR="00D7036C">
        <w:t xml:space="preserve">respond to all questions, </w:t>
      </w:r>
      <w:r w:rsidR="00FB51D4">
        <w:t xml:space="preserve">excluding the questions </w:t>
      </w:r>
      <w:r w:rsidR="00D7036C">
        <w:t>about structure</w:t>
      </w:r>
      <w:r w:rsidR="00FB51D4">
        <w:t>.</w:t>
      </w:r>
    </w:p>
    <w:p w14:paraId="6829F1ED" w14:textId="52C0732B" w:rsidR="00611F08" w:rsidRPr="00AF04DE" w:rsidRDefault="00611F08" w:rsidP="0036341B">
      <w:pPr>
        <w:pStyle w:val="Heading2"/>
        <w:numPr>
          <w:ilvl w:val="0"/>
          <w:numId w:val="15"/>
        </w:numPr>
      </w:pPr>
      <w:bookmarkStart w:id="28" w:name="_Toc133675146"/>
      <w:r w:rsidRPr="00186B2B">
        <w:t>Vision</w:t>
      </w:r>
      <w:r w:rsidR="001E57F3">
        <w:t>/Outcomes</w:t>
      </w:r>
      <w:bookmarkEnd w:id="28"/>
      <w:r>
        <w:t xml:space="preserve"> </w:t>
      </w:r>
    </w:p>
    <w:p w14:paraId="0DD7D2FF" w14:textId="77777777" w:rsidR="00DE14F7" w:rsidRPr="00907F91" w:rsidRDefault="00DE14F7" w:rsidP="0036341B">
      <w:pPr>
        <w:widowControl w:val="0"/>
        <w:autoSpaceDE w:val="0"/>
        <w:autoSpaceDN w:val="0"/>
        <w:spacing w:before="0" w:after="0" w:line="240" w:lineRule="auto"/>
        <w:ind w:left="108"/>
        <w:rPr>
          <w:rFonts w:ascii="Calibri" w:eastAsia="Calibri" w:hAnsi="Calibri" w:cs="Calibri"/>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611F08" w:rsidRPr="004B4AD8" w14:paraId="2139FBC3" w14:textId="77777777">
        <w:trPr>
          <w:trHeight w:val="1116"/>
        </w:trPr>
        <w:tc>
          <w:tcPr>
            <w:tcW w:w="9026" w:type="dxa"/>
            <w:shd w:val="clear" w:color="auto" w:fill="C5E0B3" w:themeFill="accent6" w:themeFillTint="66"/>
          </w:tcPr>
          <w:p w14:paraId="59492744" w14:textId="722A0E26" w:rsidR="00611F08" w:rsidRPr="004B4AD8" w:rsidRDefault="00611F08">
            <w:pPr>
              <w:spacing w:after="160"/>
              <w:rPr>
                <w:b/>
                <w:bCs/>
              </w:rPr>
            </w:pPr>
            <w:r w:rsidRPr="004B4AD8">
              <w:rPr>
                <w:b/>
                <w:bCs/>
              </w:rPr>
              <w:t>Recommendation</w:t>
            </w:r>
            <w:r w:rsidR="00D63630">
              <w:rPr>
                <w:b/>
                <w:bCs/>
              </w:rPr>
              <w:t xml:space="preserve"> 5</w:t>
            </w:r>
            <w:r w:rsidR="005D11ED">
              <w:rPr>
                <w:b/>
                <w:bCs/>
              </w:rPr>
              <w:t>:</w:t>
            </w:r>
            <w:r w:rsidR="007F702F">
              <w:rPr>
                <w:b/>
                <w:bCs/>
              </w:rPr>
              <w:t xml:space="preserve"> Realise </w:t>
            </w:r>
            <w:r w:rsidR="006321EB">
              <w:rPr>
                <w:b/>
                <w:bCs/>
              </w:rPr>
              <w:t>a</w:t>
            </w:r>
            <w:r w:rsidR="00EA6360">
              <w:rPr>
                <w:b/>
                <w:bCs/>
              </w:rPr>
              <w:t>n aspirational</w:t>
            </w:r>
            <w:r w:rsidR="007F702F">
              <w:rPr>
                <w:b/>
                <w:bCs/>
              </w:rPr>
              <w:t xml:space="preserve"> </w:t>
            </w:r>
            <w:r w:rsidR="007F702F" w:rsidRPr="007F702F">
              <w:rPr>
                <w:b/>
                <w:bCs/>
              </w:rPr>
              <w:t xml:space="preserve">vision </w:t>
            </w:r>
            <w:r w:rsidR="006321EB" w:rsidRPr="007F702F">
              <w:rPr>
                <w:b/>
                <w:bCs/>
              </w:rPr>
              <w:t>of early childhood for children with disability</w:t>
            </w:r>
          </w:p>
          <w:p w14:paraId="667451CA" w14:textId="289494EF" w:rsidR="00611F08" w:rsidRDefault="00012029" w:rsidP="001724FF">
            <w:pPr>
              <w:pStyle w:val="ListParagraph"/>
              <w:numPr>
                <w:ilvl w:val="0"/>
                <w:numId w:val="9"/>
              </w:numPr>
            </w:pPr>
            <w:r>
              <w:t>I</w:t>
            </w:r>
            <w:r w:rsidR="00BD5415">
              <w:t>ncorporate</w:t>
            </w:r>
            <w:r>
              <w:t xml:space="preserve"> the </w:t>
            </w:r>
            <w:r w:rsidR="00F32745">
              <w:t>five</w:t>
            </w:r>
            <w:r w:rsidR="00C80F7C">
              <w:t xml:space="preserve"> </w:t>
            </w:r>
            <w:r>
              <w:t xml:space="preserve">key elements of CYDA’s vision </w:t>
            </w:r>
            <w:r w:rsidR="0013505D">
              <w:t>of early childhood for children with disability</w:t>
            </w:r>
            <w:r w:rsidR="00C80F7C">
              <w:t>; Activate child voice, support the workforce, calibrate funding</w:t>
            </w:r>
            <w:r w:rsidR="00093AE5">
              <w:t>, enhance and support adjustments, collaborate</w:t>
            </w:r>
            <w:r w:rsidR="00EE1340">
              <w:t>. (See Table 1- below)</w:t>
            </w:r>
          </w:p>
          <w:p w14:paraId="220126CB" w14:textId="77777777" w:rsidR="00611F08" w:rsidRPr="004B4AD8" w:rsidRDefault="00611F08" w:rsidP="00093AE5">
            <w:pPr>
              <w:pStyle w:val="ListParagraph"/>
            </w:pPr>
          </w:p>
        </w:tc>
      </w:tr>
    </w:tbl>
    <w:p w14:paraId="30D74367" w14:textId="79E981CF" w:rsidR="0041704E" w:rsidRPr="001259FF" w:rsidRDefault="00E463FA" w:rsidP="001259FF">
      <w:pPr>
        <w:rPr>
          <w:b/>
          <w:bCs/>
        </w:rPr>
      </w:pPr>
      <w:bookmarkStart w:id="29" w:name="_Toc119931760"/>
      <w:bookmarkStart w:id="30" w:name="_Toc131680317"/>
      <w:bookmarkStart w:id="31" w:name="_Toc119931794"/>
      <w:bookmarkStart w:id="32" w:name="_Toc119931779"/>
      <w:bookmarkStart w:id="33" w:name="_Toc113439229"/>
      <w:bookmarkStart w:id="34" w:name="_Toc113450612"/>
      <w:bookmarkStart w:id="35" w:name="_Toc113450850"/>
      <w:r>
        <w:rPr>
          <w:b/>
          <w:bCs/>
        </w:rPr>
        <w:t>1.1</w:t>
      </w:r>
      <w:r>
        <w:rPr>
          <w:b/>
          <w:bCs/>
        </w:rPr>
        <w:tab/>
      </w:r>
      <w:r w:rsidR="0041704E" w:rsidRPr="001259FF">
        <w:rPr>
          <w:b/>
          <w:bCs/>
        </w:rPr>
        <w:t>CYDA’s vision of early childhood for children with disability</w:t>
      </w:r>
      <w:bookmarkEnd w:id="29"/>
      <w:bookmarkEnd w:id="30"/>
    </w:p>
    <w:p w14:paraId="4D41A38E" w14:textId="305C1C6E" w:rsidR="0041704E" w:rsidRPr="00683904" w:rsidRDefault="0041704E" w:rsidP="0041704E">
      <w:pPr>
        <w:spacing w:before="240" w:line="256" w:lineRule="auto"/>
        <w:jc w:val="both"/>
      </w:pPr>
      <w:r w:rsidRPr="00683904">
        <w:t xml:space="preserve">The early years of a child’s development can impact their entire lives. </w:t>
      </w:r>
      <w:r w:rsidRPr="00683904">
        <w:rPr>
          <w:rFonts w:cs="Arial"/>
          <w:lang w:val="en-US"/>
        </w:rPr>
        <w:t>Accessible and inclusive early childhood experiences – play, learning, care, education, and development -  are the surest and most sustainable pathways to an inclusive life and all the benefits that brings to the child, their family, peers</w:t>
      </w:r>
      <w:r w:rsidRPr="00683904">
        <w:t>, and their community.</w:t>
      </w:r>
      <w:r>
        <w:t xml:space="preserve"> </w:t>
      </w:r>
    </w:p>
    <w:p w14:paraId="41044DE2" w14:textId="1222EF37" w:rsidR="0041704E" w:rsidRPr="00B24C11" w:rsidRDefault="0041704E" w:rsidP="001D04D1">
      <w:pPr>
        <w:pStyle w:val="Quote"/>
        <w:rPr>
          <w:b/>
          <w:bCs/>
          <w:sz w:val="24"/>
          <w:szCs w:val="24"/>
        </w:rPr>
      </w:pPr>
      <w:r w:rsidRPr="00AE3B11">
        <w:t>“Inclusion means that every child has access to, participates meaningfully in, and experiences positive outcomes from early childhood education and care programs.”</w:t>
      </w:r>
      <w:r w:rsidRPr="001C5A02">
        <w:rPr>
          <w:sz w:val="14"/>
          <w:szCs w:val="14"/>
        </w:rPr>
        <w:footnoteReference w:id="33"/>
      </w:r>
      <w:r w:rsidRPr="001C5A02">
        <w:rPr>
          <w:noProof/>
          <w:sz w:val="20"/>
          <w:szCs w:val="20"/>
        </w:rPr>
        <w:cr/>
      </w:r>
      <w:r w:rsidR="00090E04">
        <w:rPr>
          <w:b/>
          <w:bCs/>
          <w:sz w:val="24"/>
          <w:szCs w:val="24"/>
        </w:rPr>
        <w:t xml:space="preserve"> </w:t>
      </w:r>
    </w:p>
    <w:p w14:paraId="72C8F92B" w14:textId="6AF79063" w:rsidR="00196C0E" w:rsidRDefault="0002731E" w:rsidP="00D404D4">
      <w:pPr>
        <w:pStyle w:val="Heading3"/>
      </w:pPr>
      <w:bookmarkStart w:id="36" w:name="_Toc133675147"/>
      <w:r w:rsidRPr="0002731E">
        <w:t>Table 1 The five elements of a vision of early childhood for children with disability</w:t>
      </w:r>
      <w:bookmarkEnd w:id="36"/>
    </w:p>
    <w:p w14:paraId="4DFB7666" w14:textId="77777777" w:rsidR="00D404D4" w:rsidRPr="00D404D4" w:rsidRDefault="00D404D4" w:rsidP="002D0B9B">
      <w:pPr>
        <w:spacing w:before="0" w:after="0" w:line="360" w:lineRule="auto"/>
      </w:pPr>
    </w:p>
    <w:tbl>
      <w:tblPr>
        <w:tblStyle w:val="TableGrid"/>
        <w:tblW w:w="8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2700"/>
        <w:gridCol w:w="6252"/>
      </w:tblGrid>
      <w:tr w:rsidR="0041704E" w14:paraId="0B4C557E" w14:textId="77777777" w:rsidTr="00EE1340">
        <w:trPr>
          <w:trHeight w:val="1006"/>
        </w:trPr>
        <w:tc>
          <w:tcPr>
            <w:tcW w:w="2700" w:type="dxa"/>
            <w:shd w:val="clear" w:color="auto" w:fill="FBE4D5" w:themeFill="accent2" w:themeFillTint="33"/>
          </w:tcPr>
          <w:p w14:paraId="5D2CB5CF" w14:textId="77777777" w:rsidR="0041704E" w:rsidRPr="00B24C11" w:rsidRDefault="0041704E">
            <w:pPr>
              <w:spacing w:before="240" w:line="276" w:lineRule="auto"/>
              <w:rPr>
                <w:rFonts w:ascii="Helvetica" w:hAnsi="Helvetica" w:cs="Helvetica"/>
                <w:b/>
                <w:bCs/>
                <w:color w:val="000000" w:themeColor="text1"/>
                <w:sz w:val="24"/>
                <w:szCs w:val="24"/>
              </w:rPr>
            </w:pPr>
            <w:r>
              <w:rPr>
                <w:rFonts w:ascii="Helvetica" w:hAnsi="Helvetica" w:cs="Helvetica"/>
                <w:b/>
                <w:bCs/>
                <w:color w:val="000000" w:themeColor="text1"/>
              </w:rPr>
              <w:t xml:space="preserve">1. </w:t>
            </w:r>
            <w:r w:rsidRPr="006F2B08">
              <w:rPr>
                <w:rFonts w:ascii="Helvetica" w:hAnsi="Helvetica" w:cs="Helvetica"/>
                <w:b/>
                <w:bCs/>
                <w:color w:val="000000" w:themeColor="text1"/>
              </w:rPr>
              <w:t>Activate our children’s voices</w:t>
            </w:r>
          </w:p>
        </w:tc>
        <w:tc>
          <w:tcPr>
            <w:tcW w:w="6252" w:type="dxa"/>
            <w:shd w:val="clear" w:color="auto" w:fill="FBE4D5" w:themeFill="accent2" w:themeFillTint="33"/>
          </w:tcPr>
          <w:p w14:paraId="1747B6D2" w14:textId="48F3ECF0" w:rsidR="0041704E" w:rsidRDefault="009B7419" w:rsidP="0041704E">
            <w:pPr>
              <w:pStyle w:val="ListParagraph"/>
              <w:numPr>
                <w:ilvl w:val="0"/>
                <w:numId w:val="26"/>
              </w:numPr>
              <w:spacing w:before="240" w:line="276" w:lineRule="auto"/>
            </w:pPr>
            <w:r>
              <w:t>A</w:t>
            </w:r>
            <w:r w:rsidR="0041704E" w:rsidRPr="008F27F8">
              <w:t>ctivating and collecting input from young children on their experiences and goals</w:t>
            </w:r>
          </w:p>
          <w:p w14:paraId="353D49FE" w14:textId="50D58F6C" w:rsidR="0041704E" w:rsidRPr="008F27F8" w:rsidRDefault="009B7419" w:rsidP="0041704E">
            <w:pPr>
              <w:pStyle w:val="ListParagraph"/>
              <w:numPr>
                <w:ilvl w:val="0"/>
                <w:numId w:val="26"/>
              </w:numPr>
              <w:spacing w:before="240" w:after="160" w:line="276" w:lineRule="auto"/>
            </w:pPr>
            <w:r>
              <w:t>F</w:t>
            </w:r>
            <w:r w:rsidR="0041704E" w:rsidRPr="008F27F8">
              <w:t xml:space="preserve">amilies, caregivers, communities and systems have high expectations and aspirations for children </w:t>
            </w:r>
          </w:p>
        </w:tc>
      </w:tr>
      <w:tr w:rsidR="0041704E" w14:paraId="4E6DE9D2" w14:textId="77777777" w:rsidTr="00EE1340">
        <w:trPr>
          <w:trHeight w:val="1464"/>
        </w:trPr>
        <w:tc>
          <w:tcPr>
            <w:tcW w:w="2700" w:type="dxa"/>
            <w:shd w:val="clear" w:color="auto" w:fill="FBE4D5" w:themeFill="accent2" w:themeFillTint="33"/>
          </w:tcPr>
          <w:p w14:paraId="0A786971" w14:textId="77777777" w:rsidR="0041704E" w:rsidRPr="00B24C11" w:rsidRDefault="0041704E">
            <w:pPr>
              <w:spacing w:before="240" w:line="276" w:lineRule="auto"/>
              <w:rPr>
                <w:rFonts w:ascii="Helvetica" w:hAnsi="Helvetica" w:cs="Helvetica"/>
                <w:b/>
                <w:bCs/>
                <w:color w:val="000000" w:themeColor="text1"/>
                <w:sz w:val="24"/>
                <w:szCs w:val="24"/>
              </w:rPr>
            </w:pPr>
            <w:r>
              <w:rPr>
                <w:rFonts w:ascii="Helvetica" w:hAnsi="Helvetica" w:cs="Helvetica"/>
                <w:b/>
                <w:bCs/>
                <w:color w:val="000000" w:themeColor="text1"/>
              </w:rPr>
              <w:t xml:space="preserve">2. </w:t>
            </w:r>
            <w:r w:rsidRPr="006F2B08">
              <w:rPr>
                <w:rFonts w:ascii="Helvetica" w:hAnsi="Helvetica" w:cs="Helvetica"/>
                <w:b/>
                <w:bCs/>
                <w:color w:val="000000" w:themeColor="text1"/>
              </w:rPr>
              <w:t>Support the workforce</w:t>
            </w:r>
          </w:p>
        </w:tc>
        <w:tc>
          <w:tcPr>
            <w:tcW w:w="6252" w:type="dxa"/>
            <w:shd w:val="clear" w:color="auto" w:fill="FBE4D5" w:themeFill="accent2" w:themeFillTint="33"/>
          </w:tcPr>
          <w:p w14:paraId="4871BD09" w14:textId="2BEC1314" w:rsidR="0041704E" w:rsidRPr="008F27F8" w:rsidRDefault="009B7419" w:rsidP="0041704E">
            <w:pPr>
              <w:pStyle w:val="ListParagraph"/>
              <w:numPr>
                <w:ilvl w:val="0"/>
                <w:numId w:val="26"/>
              </w:numPr>
              <w:spacing w:before="240" w:line="276" w:lineRule="auto"/>
            </w:pPr>
            <w:r>
              <w:t>A</w:t>
            </w:r>
            <w:r w:rsidR="0041704E" w:rsidRPr="008F27F8">
              <w:t>ll stakeholders drive inclusion from the earliest age, focusing on access, engagement and development</w:t>
            </w:r>
          </w:p>
        </w:tc>
      </w:tr>
      <w:tr w:rsidR="0041704E" w14:paraId="48E9BD41" w14:textId="77777777" w:rsidTr="00EE1340">
        <w:trPr>
          <w:trHeight w:val="1326"/>
        </w:trPr>
        <w:tc>
          <w:tcPr>
            <w:tcW w:w="2700" w:type="dxa"/>
            <w:shd w:val="clear" w:color="auto" w:fill="FBE4D5" w:themeFill="accent2" w:themeFillTint="33"/>
          </w:tcPr>
          <w:p w14:paraId="69AFF82D" w14:textId="77777777" w:rsidR="0041704E" w:rsidRPr="00B24C11" w:rsidRDefault="0041704E">
            <w:pPr>
              <w:spacing w:before="240" w:line="276" w:lineRule="auto"/>
              <w:rPr>
                <w:rFonts w:ascii="Helvetica" w:hAnsi="Helvetica" w:cs="Helvetica"/>
                <w:b/>
                <w:bCs/>
                <w:color w:val="000000" w:themeColor="text1"/>
                <w:sz w:val="24"/>
                <w:szCs w:val="24"/>
              </w:rPr>
            </w:pPr>
            <w:r>
              <w:rPr>
                <w:rFonts w:ascii="Helvetica" w:hAnsi="Helvetica" w:cs="Helvetica"/>
                <w:b/>
                <w:bCs/>
                <w:color w:val="000000" w:themeColor="text1"/>
              </w:rPr>
              <w:t xml:space="preserve">3. </w:t>
            </w:r>
            <w:r w:rsidRPr="006F2B08">
              <w:rPr>
                <w:rFonts w:ascii="Helvetica" w:hAnsi="Helvetica" w:cs="Helvetica"/>
                <w:b/>
                <w:bCs/>
                <w:color w:val="000000" w:themeColor="text1"/>
              </w:rPr>
              <w:t>Calibrate the funding</w:t>
            </w:r>
          </w:p>
        </w:tc>
        <w:tc>
          <w:tcPr>
            <w:tcW w:w="6252" w:type="dxa"/>
            <w:shd w:val="clear" w:color="auto" w:fill="FBE4D5" w:themeFill="accent2" w:themeFillTint="33"/>
          </w:tcPr>
          <w:p w14:paraId="1ED0BCDA" w14:textId="1AA4AEE0" w:rsidR="0041704E" w:rsidRPr="008F27F8" w:rsidRDefault="009B7419" w:rsidP="0041704E">
            <w:pPr>
              <w:pStyle w:val="ListParagraph"/>
              <w:numPr>
                <w:ilvl w:val="0"/>
                <w:numId w:val="26"/>
              </w:numPr>
              <w:spacing w:before="240" w:line="276" w:lineRule="auto"/>
            </w:pPr>
            <w:r>
              <w:t>I</w:t>
            </w:r>
            <w:r w:rsidR="0041704E" w:rsidRPr="008F27F8">
              <w:t>nvesting in inclusive and accessible environments where children are welcomed and valued</w:t>
            </w:r>
          </w:p>
        </w:tc>
      </w:tr>
      <w:tr w:rsidR="0041704E" w14:paraId="3DC5A33F" w14:textId="77777777" w:rsidTr="00EE1340">
        <w:trPr>
          <w:trHeight w:val="1696"/>
        </w:trPr>
        <w:tc>
          <w:tcPr>
            <w:tcW w:w="2700" w:type="dxa"/>
            <w:shd w:val="clear" w:color="auto" w:fill="FBE4D5" w:themeFill="accent2" w:themeFillTint="33"/>
          </w:tcPr>
          <w:p w14:paraId="4A0E3A15" w14:textId="77777777" w:rsidR="0041704E" w:rsidRPr="00B24C11" w:rsidRDefault="0041704E">
            <w:pPr>
              <w:spacing w:before="240" w:line="276" w:lineRule="auto"/>
              <w:rPr>
                <w:rFonts w:ascii="Helvetica" w:hAnsi="Helvetica" w:cs="Helvetica"/>
                <w:b/>
                <w:bCs/>
                <w:color w:val="000000" w:themeColor="text1"/>
                <w:sz w:val="24"/>
                <w:szCs w:val="24"/>
              </w:rPr>
            </w:pPr>
            <w:r>
              <w:rPr>
                <w:rFonts w:ascii="Helvetica" w:hAnsi="Helvetica" w:cs="Helvetica"/>
                <w:b/>
                <w:bCs/>
                <w:color w:val="000000" w:themeColor="text1"/>
              </w:rPr>
              <w:lastRenderedPageBreak/>
              <w:t xml:space="preserve">4. </w:t>
            </w:r>
            <w:r w:rsidRPr="006F2B08">
              <w:rPr>
                <w:rFonts w:ascii="Helvetica" w:hAnsi="Helvetica" w:cs="Helvetica"/>
                <w:b/>
                <w:bCs/>
                <w:color w:val="000000" w:themeColor="text1"/>
              </w:rPr>
              <w:t>Enhance support and adjustments</w:t>
            </w:r>
          </w:p>
        </w:tc>
        <w:tc>
          <w:tcPr>
            <w:tcW w:w="6252" w:type="dxa"/>
            <w:shd w:val="clear" w:color="auto" w:fill="FBE4D5" w:themeFill="accent2" w:themeFillTint="33"/>
          </w:tcPr>
          <w:p w14:paraId="1ED71ECF" w14:textId="3AD57B3A" w:rsidR="0041704E" w:rsidRPr="008F27F8" w:rsidRDefault="009B7419" w:rsidP="0041704E">
            <w:pPr>
              <w:pStyle w:val="ListParagraph"/>
              <w:numPr>
                <w:ilvl w:val="0"/>
                <w:numId w:val="26"/>
              </w:numPr>
              <w:spacing w:before="240" w:line="276" w:lineRule="auto"/>
            </w:pPr>
            <w:r>
              <w:t>I</w:t>
            </w:r>
            <w:r w:rsidR="0041704E" w:rsidRPr="008F27F8">
              <w:t>nvesting in support and adjustments for children and their families across local communities where they live, play and learn</w:t>
            </w:r>
          </w:p>
        </w:tc>
      </w:tr>
      <w:tr w:rsidR="0041704E" w14:paraId="1CC6995A" w14:textId="77777777" w:rsidTr="00EE1340">
        <w:trPr>
          <w:trHeight w:val="1350"/>
        </w:trPr>
        <w:tc>
          <w:tcPr>
            <w:tcW w:w="2700" w:type="dxa"/>
            <w:shd w:val="clear" w:color="auto" w:fill="FBE4D5" w:themeFill="accent2" w:themeFillTint="33"/>
          </w:tcPr>
          <w:p w14:paraId="62147CA1" w14:textId="77777777" w:rsidR="0041704E" w:rsidRPr="00B24C11" w:rsidRDefault="0041704E">
            <w:pPr>
              <w:spacing w:before="240" w:line="276" w:lineRule="auto"/>
              <w:rPr>
                <w:rFonts w:ascii="Helvetica" w:hAnsi="Helvetica" w:cs="Helvetica"/>
                <w:b/>
                <w:bCs/>
                <w:color w:val="000000" w:themeColor="text1"/>
                <w:sz w:val="24"/>
                <w:szCs w:val="24"/>
              </w:rPr>
            </w:pPr>
            <w:r>
              <w:rPr>
                <w:rFonts w:ascii="Helvetica" w:hAnsi="Helvetica" w:cs="Helvetica"/>
                <w:b/>
                <w:bCs/>
                <w:color w:val="000000" w:themeColor="text1"/>
              </w:rPr>
              <w:t xml:space="preserve">5. </w:t>
            </w:r>
            <w:r w:rsidRPr="006F2B08">
              <w:rPr>
                <w:rFonts w:ascii="Helvetica" w:hAnsi="Helvetica" w:cs="Helvetica"/>
                <w:b/>
                <w:bCs/>
                <w:color w:val="000000" w:themeColor="text1"/>
              </w:rPr>
              <w:t>Collaborate</w:t>
            </w:r>
          </w:p>
        </w:tc>
        <w:tc>
          <w:tcPr>
            <w:tcW w:w="6252" w:type="dxa"/>
            <w:shd w:val="clear" w:color="auto" w:fill="FBE4D5" w:themeFill="accent2" w:themeFillTint="33"/>
          </w:tcPr>
          <w:p w14:paraId="46FE1709" w14:textId="2AE52E39" w:rsidR="0041704E" w:rsidRPr="008F27F8" w:rsidRDefault="009B7419" w:rsidP="0041704E">
            <w:pPr>
              <w:pStyle w:val="ListParagraph"/>
              <w:numPr>
                <w:ilvl w:val="0"/>
                <w:numId w:val="26"/>
              </w:numPr>
              <w:spacing w:before="240" w:line="276" w:lineRule="auto"/>
            </w:pPr>
            <w:r>
              <w:t>C</w:t>
            </w:r>
            <w:r w:rsidR="0041704E" w:rsidRPr="008F27F8">
              <w:t>ollecting and sharing data to understand outcomes and drive investment and accountability</w:t>
            </w:r>
          </w:p>
        </w:tc>
      </w:tr>
    </w:tbl>
    <w:p w14:paraId="09F5C673" w14:textId="7D6DD2F8" w:rsidR="0041704E" w:rsidRPr="00EE2E16" w:rsidRDefault="00E463FA" w:rsidP="00EE2E16">
      <w:pPr>
        <w:rPr>
          <w:b/>
          <w:bCs/>
        </w:rPr>
      </w:pPr>
      <w:r>
        <w:rPr>
          <w:b/>
          <w:bCs/>
        </w:rPr>
        <w:t>1.2</w:t>
      </w:r>
      <w:r>
        <w:rPr>
          <w:b/>
          <w:bCs/>
        </w:rPr>
        <w:tab/>
      </w:r>
      <w:r w:rsidR="0041704E" w:rsidRPr="00EE2E16">
        <w:rPr>
          <w:b/>
          <w:bCs/>
        </w:rPr>
        <w:t xml:space="preserve">Expectations of children with disability </w:t>
      </w:r>
    </w:p>
    <w:p w14:paraId="34CAD875" w14:textId="352B057E" w:rsidR="0041704E" w:rsidRDefault="0041704E" w:rsidP="0041704E">
      <w:pPr>
        <w:jc w:val="both"/>
      </w:pPr>
      <w:r>
        <w:t>Young people with disability explain regularly to CYDA the impact of other people’s expectations on their everyday lives. These might be low expectations, over</w:t>
      </w:r>
      <w:r w:rsidR="00DB0E2B">
        <w:t>-</w:t>
      </w:r>
      <w:r>
        <w:t>protectiveness, overly high expectations</w:t>
      </w:r>
      <w:r w:rsidR="00A82E8A">
        <w:t>,</w:t>
      </w:r>
      <w:r>
        <w:t xml:space="preserve"> or a lack of willingness to understand that a child’s abilities and development can vary across time and environments. </w:t>
      </w:r>
    </w:p>
    <w:p w14:paraId="64DEE08F" w14:textId="77777777" w:rsidR="0041704E" w:rsidRDefault="0041704E" w:rsidP="0041704E">
      <w:pPr>
        <w:jc w:val="both"/>
      </w:pPr>
      <w:r>
        <w:t xml:space="preserve">Most commonly written about are low expectations and the tendency for diagnosis and disability to drive conversations and choices, not necessarily the natural rhythms and activities of childhood. There is also the influence and direction of the medical approach to disability tending to subvert a child’s human rights and a family’s (or caregiver’s) natural authority. </w:t>
      </w:r>
    </w:p>
    <w:p w14:paraId="5559C8E8" w14:textId="4E7E82DF" w:rsidR="0041704E" w:rsidRDefault="0041704E" w:rsidP="0041704E">
      <w:pPr>
        <w:jc w:val="both"/>
      </w:pPr>
      <w:r>
        <w:t xml:space="preserve">Young people who experience chronic or episodic disabilities or conditions speak to the fluctuating nature of their health, functional capacity and emotional wellbeing and the discrimination they face in their everyday lives. </w:t>
      </w:r>
    </w:p>
    <w:p w14:paraId="29EF7732" w14:textId="77777777" w:rsidR="002A58BA" w:rsidRDefault="002A58BA" w:rsidP="002A58BA">
      <w:pPr>
        <w:ind w:left="720"/>
        <w:jc w:val="both"/>
        <w:rPr>
          <w:i/>
          <w:iCs/>
        </w:rPr>
      </w:pPr>
      <w:r w:rsidRPr="002A58BA">
        <w:rPr>
          <w:i/>
          <w:iCs/>
        </w:rPr>
        <w:t>“I think it really is a big thing with the medical model of disability, and the way that we’re seen as impaired, without looking at the way that society is built to render us, when they’re inaccessible.”</w:t>
      </w:r>
    </w:p>
    <w:p w14:paraId="10F69B1B" w14:textId="5EEE58A6" w:rsidR="00A16528" w:rsidRDefault="00A16528" w:rsidP="00A16528">
      <w:pPr>
        <w:ind w:left="1440"/>
      </w:pPr>
      <w:r>
        <w:t xml:space="preserve">– </w:t>
      </w:r>
      <w:r w:rsidR="007A2245">
        <w:t xml:space="preserve">young </w:t>
      </w:r>
      <w:r>
        <w:t xml:space="preserve">participant in LivedX consultation, </w:t>
      </w:r>
      <w:r w:rsidR="000E4CF0" w:rsidRPr="000E4CF0">
        <w:t>Healthcare Settings for LGBTQIA+ Youth with Disability</w:t>
      </w:r>
      <w:r>
        <w:t xml:space="preserve"> (2021)</w:t>
      </w:r>
    </w:p>
    <w:p w14:paraId="707D48E4" w14:textId="7B261C03" w:rsidR="0041704E" w:rsidRPr="00EE2E16" w:rsidRDefault="00893C44" w:rsidP="00EE2E16">
      <w:pPr>
        <w:rPr>
          <w:b/>
          <w:bCs/>
        </w:rPr>
      </w:pPr>
      <w:r>
        <w:rPr>
          <w:b/>
          <w:bCs/>
        </w:rPr>
        <w:t>1.3</w:t>
      </w:r>
      <w:r>
        <w:rPr>
          <w:b/>
          <w:bCs/>
        </w:rPr>
        <w:tab/>
      </w:r>
      <w:r w:rsidR="0041704E" w:rsidRPr="00EE2E16">
        <w:rPr>
          <w:b/>
          <w:bCs/>
        </w:rPr>
        <w:t>Societal beliefs</w:t>
      </w:r>
    </w:p>
    <w:p w14:paraId="11624027" w14:textId="5126E84E" w:rsidR="0041704E" w:rsidRDefault="0041704E" w:rsidP="0041704E">
      <w:pPr>
        <w:spacing w:line="256" w:lineRule="auto"/>
        <w:jc w:val="both"/>
      </w:pPr>
      <w:r>
        <w:t>The Early Years Catalyst initiative reported in August 2022</w:t>
      </w:r>
      <w:r w:rsidR="003341B9">
        <w:t xml:space="preserve"> that</w:t>
      </w:r>
      <w:r>
        <w:t xml:space="preserve"> young children and their families face embedded narratives and deep systemic forces</w:t>
      </w:r>
      <w:r>
        <w:rPr>
          <w:rStyle w:val="FootnoteReference"/>
        </w:rPr>
        <w:footnoteReference w:id="34"/>
      </w:r>
      <w:r w:rsidR="003341B9">
        <w:t>.</w:t>
      </w:r>
      <w:r>
        <w:t xml:space="preserve"> The deeply held societal beliefs identified included:</w:t>
      </w:r>
    </w:p>
    <w:p w14:paraId="0143CC3F" w14:textId="77777777" w:rsidR="0041704E" w:rsidRPr="00090627" w:rsidRDefault="0041704E" w:rsidP="0041704E">
      <w:pPr>
        <w:numPr>
          <w:ilvl w:val="0"/>
          <w:numId w:val="23"/>
        </w:numPr>
        <w:spacing w:before="100" w:beforeAutospacing="1" w:after="100" w:afterAutospacing="1" w:line="240" w:lineRule="auto"/>
        <w:jc w:val="both"/>
        <w:rPr>
          <w:rFonts w:eastAsia="Times New Roman"/>
          <w:lang w:eastAsia="en-AU"/>
        </w:rPr>
      </w:pPr>
      <w:r w:rsidRPr="00090627">
        <w:rPr>
          <w:rFonts w:eastAsia="Times New Roman"/>
          <w:lang w:eastAsia="en-AU"/>
        </w:rPr>
        <w:t>We are a society that is prepared to live with poverty</w:t>
      </w:r>
    </w:p>
    <w:p w14:paraId="20FF4995" w14:textId="77777777" w:rsidR="0041704E" w:rsidRPr="00090627" w:rsidRDefault="0041704E" w:rsidP="0041704E">
      <w:pPr>
        <w:numPr>
          <w:ilvl w:val="0"/>
          <w:numId w:val="23"/>
        </w:numPr>
        <w:spacing w:before="100" w:beforeAutospacing="1" w:after="100" w:afterAutospacing="1" w:line="240" w:lineRule="auto"/>
        <w:jc w:val="both"/>
        <w:rPr>
          <w:rFonts w:eastAsia="Times New Roman"/>
          <w:lang w:eastAsia="en-AU"/>
        </w:rPr>
      </w:pPr>
      <w:r w:rsidRPr="00090627">
        <w:rPr>
          <w:rFonts w:eastAsia="Times New Roman"/>
          <w:lang w:eastAsia="en-AU"/>
        </w:rPr>
        <w:t>Families are a no-go zone</w:t>
      </w:r>
    </w:p>
    <w:p w14:paraId="7CB6918C" w14:textId="77777777" w:rsidR="0041704E" w:rsidRDefault="0041704E" w:rsidP="0041704E">
      <w:pPr>
        <w:numPr>
          <w:ilvl w:val="0"/>
          <w:numId w:val="23"/>
        </w:numPr>
        <w:spacing w:before="100" w:beforeAutospacing="1" w:after="100" w:afterAutospacing="1" w:line="240" w:lineRule="auto"/>
        <w:jc w:val="both"/>
        <w:rPr>
          <w:rFonts w:eastAsia="Times New Roman"/>
          <w:lang w:eastAsia="en-AU"/>
        </w:rPr>
      </w:pPr>
      <w:r w:rsidRPr="00090627">
        <w:rPr>
          <w:rFonts w:eastAsia="Times New Roman"/>
          <w:lang w:eastAsia="en-AU"/>
        </w:rPr>
        <w:t>Parenting comes naturally</w:t>
      </w:r>
    </w:p>
    <w:p w14:paraId="02FAAAF3" w14:textId="77777777" w:rsidR="0041704E" w:rsidRPr="00554151" w:rsidRDefault="0041704E" w:rsidP="0041704E">
      <w:pPr>
        <w:numPr>
          <w:ilvl w:val="0"/>
          <w:numId w:val="23"/>
        </w:numPr>
        <w:spacing w:before="100" w:beforeAutospacing="1" w:after="100" w:afterAutospacing="1" w:line="240" w:lineRule="auto"/>
        <w:jc w:val="both"/>
        <w:rPr>
          <w:rFonts w:eastAsia="Times New Roman"/>
          <w:lang w:eastAsia="en-AU"/>
        </w:rPr>
      </w:pPr>
      <w:r w:rsidRPr="00554151">
        <w:rPr>
          <w:rFonts w:eastAsia="Times New Roman"/>
          <w:lang w:eastAsia="en-AU"/>
        </w:rPr>
        <w:t>What’s not normal is ‘other’ (the exception)</w:t>
      </w:r>
    </w:p>
    <w:p w14:paraId="657CEA8A" w14:textId="77777777" w:rsidR="0041704E" w:rsidRDefault="0041704E" w:rsidP="0041704E">
      <w:pPr>
        <w:spacing w:line="256" w:lineRule="auto"/>
        <w:jc w:val="both"/>
      </w:pPr>
      <w:r>
        <w:t>Looking specifically at ‘What’s not normal is ‘other’ (the exception)’, The Early Years Catalyst reported what participants feel is holding the ‘current state’ in place, particularly in terms of undesirable outcomes. The feedback includes:</w:t>
      </w:r>
    </w:p>
    <w:p w14:paraId="043EAE2B" w14:textId="77777777" w:rsidR="0041704E" w:rsidRDefault="0041704E" w:rsidP="0041704E">
      <w:pPr>
        <w:numPr>
          <w:ilvl w:val="0"/>
          <w:numId w:val="23"/>
        </w:numPr>
        <w:spacing w:before="100" w:beforeAutospacing="1" w:after="100" w:afterAutospacing="1" w:line="240" w:lineRule="auto"/>
        <w:jc w:val="both"/>
        <w:rPr>
          <w:rFonts w:ascii="Calibri" w:eastAsia="Times New Roman" w:hAnsi="Calibri"/>
          <w:lang w:eastAsia="en-AU"/>
        </w:rPr>
      </w:pPr>
      <w:r>
        <w:rPr>
          <w:rFonts w:eastAsia="Times New Roman"/>
          <w:lang w:eastAsia="en-AU"/>
        </w:rPr>
        <w:lastRenderedPageBreak/>
        <w:t>Societal fear, aversion to disability and poverty</w:t>
      </w:r>
    </w:p>
    <w:p w14:paraId="73AC5FAA" w14:textId="77777777" w:rsidR="0041704E" w:rsidRDefault="0041704E" w:rsidP="0041704E">
      <w:pPr>
        <w:numPr>
          <w:ilvl w:val="0"/>
          <w:numId w:val="23"/>
        </w:numPr>
        <w:spacing w:before="100" w:beforeAutospacing="1" w:after="100" w:afterAutospacing="1" w:line="240" w:lineRule="auto"/>
        <w:jc w:val="both"/>
        <w:rPr>
          <w:rFonts w:eastAsia="Times New Roman"/>
          <w:lang w:eastAsia="en-AU"/>
        </w:rPr>
      </w:pPr>
      <w:r>
        <w:rPr>
          <w:rFonts w:eastAsia="Times New Roman"/>
          <w:lang w:eastAsia="en-AU"/>
        </w:rPr>
        <w:t>Disability, disadvantage is your problem not ours</w:t>
      </w:r>
    </w:p>
    <w:p w14:paraId="36DEF7DE" w14:textId="77777777" w:rsidR="0041704E" w:rsidRDefault="0041704E" w:rsidP="0041704E">
      <w:pPr>
        <w:numPr>
          <w:ilvl w:val="0"/>
          <w:numId w:val="23"/>
        </w:numPr>
        <w:spacing w:before="100" w:beforeAutospacing="1" w:after="100" w:afterAutospacing="1" w:line="240" w:lineRule="auto"/>
        <w:jc w:val="both"/>
        <w:rPr>
          <w:rFonts w:eastAsia="Times New Roman"/>
          <w:lang w:eastAsia="en-AU"/>
        </w:rPr>
      </w:pPr>
      <w:r>
        <w:rPr>
          <w:rFonts w:eastAsia="Times New Roman"/>
          <w:lang w:eastAsia="en-AU"/>
        </w:rPr>
        <w:t>Govt policies / programs are designed for the majority not the exception</w:t>
      </w:r>
    </w:p>
    <w:p w14:paraId="22D7C3E9" w14:textId="77777777" w:rsidR="0041704E" w:rsidRDefault="0041704E" w:rsidP="0041704E">
      <w:pPr>
        <w:numPr>
          <w:ilvl w:val="0"/>
          <w:numId w:val="23"/>
        </w:numPr>
        <w:spacing w:before="100" w:beforeAutospacing="1" w:after="100" w:afterAutospacing="1" w:line="240" w:lineRule="auto"/>
        <w:jc w:val="both"/>
        <w:rPr>
          <w:rFonts w:eastAsia="Times New Roman"/>
          <w:lang w:eastAsia="en-AU"/>
        </w:rPr>
      </w:pPr>
      <w:r>
        <w:rPr>
          <w:rFonts w:eastAsia="Times New Roman"/>
          <w:lang w:eastAsia="en-AU"/>
        </w:rPr>
        <w:t>Systems reward normal and punish those who don't fit the "norm”</w:t>
      </w:r>
    </w:p>
    <w:p w14:paraId="4A838754" w14:textId="7BFC99C4" w:rsidR="0041704E" w:rsidRDefault="0041704E" w:rsidP="0041704E">
      <w:pPr>
        <w:numPr>
          <w:ilvl w:val="0"/>
          <w:numId w:val="23"/>
        </w:numPr>
        <w:spacing w:before="100" w:beforeAutospacing="1" w:after="100" w:afterAutospacing="1" w:line="240" w:lineRule="auto"/>
        <w:jc w:val="both"/>
        <w:rPr>
          <w:rFonts w:eastAsia="Times New Roman"/>
          <w:lang w:eastAsia="en-AU"/>
        </w:rPr>
      </w:pPr>
      <w:r>
        <w:rPr>
          <w:rFonts w:eastAsia="Times New Roman"/>
          <w:lang w:eastAsia="en-AU"/>
        </w:rPr>
        <w:t xml:space="preserve">Something wrong with parents that produce a child with disability or </w:t>
      </w:r>
      <w:r w:rsidR="00F627D8">
        <w:rPr>
          <w:rFonts w:eastAsia="Times New Roman"/>
          <w:lang w:eastAsia="en-AU"/>
        </w:rPr>
        <w:t>‘</w:t>
      </w:r>
      <w:r>
        <w:rPr>
          <w:rFonts w:eastAsia="Times New Roman"/>
          <w:lang w:eastAsia="en-AU"/>
        </w:rPr>
        <w:t>special</w:t>
      </w:r>
      <w:r w:rsidR="00F627D8">
        <w:rPr>
          <w:rFonts w:eastAsia="Times New Roman"/>
          <w:lang w:eastAsia="en-AU"/>
        </w:rPr>
        <w:t>’</w:t>
      </w:r>
      <w:r>
        <w:rPr>
          <w:rFonts w:eastAsia="Times New Roman"/>
          <w:lang w:eastAsia="en-AU"/>
        </w:rPr>
        <w:t xml:space="preserve"> needs</w:t>
      </w:r>
    </w:p>
    <w:p w14:paraId="32EB7882" w14:textId="77777777" w:rsidR="0041704E" w:rsidRDefault="0041704E" w:rsidP="0041704E">
      <w:pPr>
        <w:numPr>
          <w:ilvl w:val="0"/>
          <w:numId w:val="23"/>
        </w:numPr>
        <w:spacing w:before="100" w:beforeAutospacing="1" w:after="100" w:afterAutospacing="1" w:line="240" w:lineRule="auto"/>
        <w:jc w:val="both"/>
        <w:rPr>
          <w:rFonts w:eastAsia="Times New Roman"/>
          <w:lang w:eastAsia="en-AU"/>
        </w:rPr>
      </w:pPr>
      <w:r>
        <w:rPr>
          <w:rFonts w:eastAsia="Times New Roman"/>
          <w:lang w:eastAsia="en-AU"/>
        </w:rPr>
        <w:t>Wider society/voters don’t care if something is unfair if they are 'the other'</w:t>
      </w:r>
    </w:p>
    <w:p w14:paraId="0E7AE8A6" w14:textId="77777777" w:rsidR="0041704E" w:rsidRDefault="0041704E" w:rsidP="0041704E">
      <w:pPr>
        <w:numPr>
          <w:ilvl w:val="0"/>
          <w:numId w:val="23"/>
        </w:numPr>
        <w:spacing w:before="100" w:beforeAutospacing="1" w:after="100" w:afterAutospacing="1" w:line="240" w:lineRule="auto"/>
        <w:jc w:val="both"/>
        <w:rPr>
          <w:rFonts w:eastAsia="Times New Roman"/>
          <w:lang w:eastAsia="en-AU"/>
        </w:rPr>
      </w:pPr>
      <w:r>
        <w:rPr>
          <w:rFonts w:eastAsia="Times New Roman"/>
          <w:lang w:eastAsia="en-AU"/>
        </w:rPr>
        <w:t>We support inclusion until it challenges our views of ourselves</w:t>
      </w:r>
    </w:p>
    <w:p w14:paraId="1C3BDE7B" w14:textId="77777777" w:rsidR="0041704E" w:rsidRDefault="0041704E" w:rsidP="0041704E">
      <w:pPr>
        <w:numPr>
          <w:ilvl w:val="0"/>
          <w:numId w:val="23"/>
        </w:numPr>
        <w:spacing w:before="100" w:beforeAutospacing="1" w:after="100" w:afterAutospacing="1" w:line="240" w:lineRule="auto"/>
        <w:jc w:val="both"/>
        <w:rPr>
          <w:rFonts w:eastAsia="Times New Roman"/>
          <w:lang w:eastAsia="en-AU"/>
        </w:rPr>
      </w:pPr>
      <w:r>
        <w:rPr>
          <w:rFonts w:eastAsia="Times New Roman"/>
          <w:lang w:eastAsia="en-AU"/>
        </w:rPr>
        <w:t>They don't need same standard of support as a normal person- should be grateful for what they get</w:t>
      </w:r>
    </w:p>
    <w:p w14:paraId="3FD2D4AC" w14:textId="77777777" w:rsidR="0041704E" w:rsidRDefault="0041704E" w:rsidP="0041704E">
      <w:pPr>
        <w:numPr>
          <w:ilvl w:val="0"/>
          <w:numId w:val="23"/>
        </w:numPr>
        <w:spacing w:before="100" w:beforeAutospacing="1" w:after="100" w:afterAutospacing="1" w:line="240" w:lineRule="auto"/>
        <w:jc w:val="both"/>
        <w:rPr>
          <w:rFonts w:eastAsia="Times New Roman"/>
          <w:lang w:eastAsia="en-AU"/>
        </w:rPr>
      </w:pPr>
      <w:r>
        <w:rPr>
          <w:rFonts w:eastAsia="Times New Roman"/>
          <w:lang w:eastAsia="en-AU"/>
        </w:rPr>
        <w:t>Poor people, disabled people are not normal or mainstream or common</w:t>
      </w:r>
    </w:p>
    <w:p w14:paraId="1635A8F9" w14:textId="5CAAE7E7" w:rsidR="0041704E" w:rsidRDefault="0041704E" w:rsidP="00E03653">
      <w:pPr>
        <w:spacing w:line="256" w:lineRule="auto"/>
        <w:rPr>
          <w:rFonts w:cs="Arial"/>
        </w:rPr>
      </w:pPr>
      <w:r>
        <w:rPr>
          <w:rFonts w:cs="Arial"/>
        </w:rPr>
        <w:t>Children and young people with disability look to their famil</w:t>
      </w:r>
      <w:r w:rsidR="0010462E">
        <w:rPr>
          <w:rFonts w:cs="Arial"/>
        </w:rPr>
        <w:t>ies (and/or caregiver/s)</w:t>
      </w:r>
      <w:r>
        <w:rPr>
          <w:rFonts w:cs="Arial"/>
        </w:rPr>
        <w:t xml:space="preserve"> first and foremost for protection from harm</w:t>
      </w:r>
      <w:r w:rsidR="00412F3E">
        <w:rPr>
          <w:rFonts w:cs="Arial"/>
        </w:rPr>
        <w:t>,</w:t>
      </w:r>
      <w:r>
        <w:rPr>
          <w:rFonts w:cs="Arial"/>
        </w:rPr>
        <w:t xml:space="preserve"> and for guidance to navigate their lives safely and securely. Where families must deal with ableism, structural inequity</w:t>
      </w:r>
      <w:r w:rsidR="00FE4DF2">
        <w:rPr>
          <w:rFonts w:cs="Arial"/>
        </w:rPr>
        <w:t>,</w:t>
      </w:r>
      <w:r>
        <w:rPr>
          <w:rFonts w:cs="Arial"/>
        </w:rPr>
        <w:t xml:space="preserve"> and deeply held societal beliefs about their own role as </w:t>
      </w:r>
      <w:r w:rsidR="00FE4DF2">
        <w:rPr>
          <w:rFonts w:cs="Arial"/>
        </w:rPr>
        <w:t xml:space="preserve">a </w:t>
      </w:r>
      <w:r>
        <w:rPr>
          <w:rFonts w:cs="Arial"/>
        </w:rPr>
        <w:t>family, children and young people with disability are immediately placed at a disadvantage. This disadvantage is not because of the nature of their disability</w:t>
      </w:r>
      <w:r w:rsidR="00FE4DF2">
        <w:rPr>
          <w:rFonts w:cs="Arial"/>
        </w:rPr>
        <w:t>,</w:t>
      </w:r>
      <w:r>
        <w:rPr>
          <w:rFonts w:cs="Arial"/>
        </w:rPr>
        <w:t xml:space="preserve"> but society’s inability to support and provide adjustments for their differences. </w:t>
      </w:r>
    </w:p>
    <w:p w14:paraId="23A00DCF" w14:textId="5FEA0612" w:rsidR="0041704E" w:rsidRPr="00EE2E16" w:rsidRDefault="00893C44" w:rsidP="00EE2E16">
      <w:pPr>
        <w:rPr>
          <w:b/>
          <w:bCs/>
        </w:rPr>
      </w:pPr>
      <w:r>
        <w:rPr>
          <w:b/>
          <w:bCs/>
        </w:rPr>
        <w:t>1.4</w:t>
      </w:r>
      <w:r>
        <w:rPr>
          <w:b/>
          <w:bCs/>
        </w:rPr>
        <w:tab/>
      </w:r>
      <w:r w:rsidR="0041704E" w:rsidRPr="00EE2E16">
        <w:rPr>
          <w:b/>
          <w:bCs/>
        </w:rPr>
        <w:t>Early childhood intervention and inclusion</w:t>
      </w:r>
    </w:p>
    <w:p w14:paraId="4E3E7E43" w14:textId="5175BF7F" w:rsidR="0041704E" w:rsidRDefault="0041704E" w:rsidP="00E03653">
      <w:pPr>
        <w:rPr>
          <w:rFonts w:asciiTheme="minorHAnsi" w:hAnsiTheme="minorHAnsi"/>
        </w:rPr>
      </w:pPr>
      <w:r>
        <w:t xml:space="preserve">Early childhood intervention, or </w:t>
      </w:r>
      <w:r w:rsidRPr="007A33FF">
        <w:rPr>
          <w:i/>
          <w:iCs/>
        </w:rPr>
        <w:t>‘</w:t>
      </w:r>
      <w:r w:rsidRPr="00FE4DF2">
        <w:rPr>
          <w:i/>
          <w:iCs/>
        </w:rPr>
        <w:t>therapy</w:t>
      </w:r>
      <w:r w:rsidRPr="007A33FF">
        <w:rPr>
          <w:i/>
          <w:iCs/>
        </w:rPr>
        <w:t>’</w:t>
      </w:r>
      <w:r>
        <w:t xml:space="preserve"> as it is often referred to, is a key ingredient when combined with the basics of childhood – fun, family and play. CYDA believes one does not replace or subvert the other. Early intervention is effective when it can be leveraged into everyday places and activities. Whether it</w:t>
      </w:r>
      <w:r w:rsidR="00192EA6">
        <w:t xml:space="preserve"> i</w:t>
      </w:r>
      <w:r>
        <w:t>s role modelling language, using physical techniques at the park</w:t>
      </w:r>
      <w:r w:rsidR="00192EA6">
        <w:t>,</w:t>
      </w:r>
      <w:r>
        <w:t xml:space="preserve"> or colouring in with a </w:t>
      </w:r>
      <w:r w:rsidR="005828FB">
        <w:t xml:space="preserve">more stable </w:t>
      </w:r>
      <w:r>
        <w:t>grip, early intervention continues to be a great enabler for inclusion</w:t>
      </w:r>
      <w:r w:rsidR="006E6BA4">
        <w:t>,</w:t>
      </w:r>
      <w:r>
        <w:t xml:space="preserve"> and helps create new pathways to ordinary places and experiences.   </w:t>
      </w:r>
    </w:p>
    <w:p w14:paraId="4E7EB5CB" w14:textId="65475F88" w:rsidR="0041704E" w:rsidRDefault="0041704E" w:rsidP="00E03653">
      <w:r>
        <w:t xml:space="preserve">At times, there is a risk that families divert most of their attention and effort to early childhood intervention. </w:t>
      </w:r>
      <w:r w:rsidR="00BD12DC">
        <w:t>It is crucial that t</w:t>
      </w:r>
      <w:r>
        <w:t>he places where it is delivered</w:t>
      </w:r>
      <w:r w:rsidR="00BD12DC">
        <w:t>,</w:t>
      </w:r>
      <w:r>
        <w:t xml:space="preserve"> </w:t>
      </w:r>
      <w:r w:rsidR="00BD12DC">
        <w:t>as well as the</w:t>
      </w:r>
      <w:r>
        <w:t xml:space="preserve"> people responsible for services and supports, feel welcoming, supportive and understanding. People and places in the child’s </w:t>
      </w:r>
      <w:r w:rsidR="004F6BD5">
        <w:t>(</w:t>
      </w:r>
      <w:r>
        <w:t>or their family’s</w:t>
      </w:r>
      <w:r w:rsidR="004F6BD5">
        <w:t>)</w:t>
      </w:r>
      <w:r>
        <w:t xml:space="preserve"> own local community may feel less so. Families tell CYDA t</w:t>
      </w:r>
      <w:r w:rsidR="004F6BD5">
        <w:t>hat t</w:t>
      </w:r>
      <w:r>
        <w:t>hey go where they and their child feel welcome and understood. Any exclusion or isolation does everyone harm</w:t>
      </w:r>
      <w:r w:rsidR="005D0D58">
        <w:t>;</w:t>
      </w:r>
      <w:r>
        <w:t xml:space="preserve"> Young children, disabled or non-disabled, miss out on formative experiences together. </w:t>
      </w:r>
    </w:p>
    <w:p w14:paraId="6E110456" w14:textId="7E1131CB" w:rsidR="0041704E" w:rsidRDefault="0041704E" w:rsidP="00E03653">
      <w:pPr>
        <w:spacing w:before="240" w:after="240"/>
      </w:pPr>
      <w:r w:rsidRPr="002614F6">
        <w:rPr>
          <w:rFonts w:cs="Arial"/>
        </w:rPr>
        <w:t>Many families of children and young people with disability share with CYDA their concerns about an over emphasis on the need for early intervention and therapy at the expense of childhood play and development experiences. This pressure or emphasis can come from families themselves, health professionals</w:t>
      </w:r>
      <w:r w:rsidR="00EE34EA">
        <w:rPr>
          <w:rFonts w:cs="Arial"/>
        </w:rPr>
        <w:t>,</w:t>
      </w:r>
      <w:r w:rsidRPr="002614F6">
        <w:rPr>
          <w:rFonts w:cs="Arial"/>
        </w:rPr>
        <w:t xml:space="preserve"> and</w:t>
      </w:r>
      <w:r w:rsidR="00EE34EA">
        <w:rPr>
          <w:rFonts w:cs="Arial"/>
        </w:rPr>
        <w:t>/or</w:t>
      </w:r>
      <w:r w:rsidRPr="002614F6">
        <w:rPr>
          <w:rFonts w:cs="Arial"/>
        </w:rPr>
        <w:t xml:space="preserve"> other members of their communities. It is therefore critical for the role of play and the importance of play to be recognised by all parties involved</w:t>
      </w:r>
      <w:r w:rsidR="0063449E">
        <w:rPr>
          <w:rFonts w:cs="Arial"/>
        </w:rPr>
        <w:t>.</w:t>
      </w:r>
      <w:r w:rsidRPr="002614F6">
        <w:rPr>
          <w:rFonts w:cs="Arial"/>
        </w:rPr>
        <w:t xml:space="preserve"> </w:t>
      </w:r>
    </w:p>
    <w:p w14:paraId="1DE03E0C" w14:textId="7B48168D" w:rsidR="0041704E" w:rsidRPr="00EE2E16" w:rsidRDefault="00893C44" w:rsidP="00EE2E16">
      <w:pPr>
        <w:rPr>
          <w:b/>
          <w:bCs/>
        </w:rPr>
      </w:pPr>
      <w:bookmarkStart w:id="37" w:name="_Toc119931782"/>
      <w:r>
        <w:rPr>
          <w:b/>
          <w:bCs/>
        </w:rPr>
        <w:t>1.5</w:t>
      </w:r>
      <w:r>
        <w:rPr>
          <w:b/>
          <w:bCs/>
        </w:rPr>
        <w:tab/>
      </w:r>
      <w:r w:rsidR="0041704E" w:rsidRPr="00EE2E16">
        <w:rPr>
          <w:b/>
          <w:bCs/>
        </w:rPr>
        <w:t>Disability pride and identity</w:t>
      </w:r>
      <w:bookmarkEnd w:id="37"/>
    </w:p>
    <w:p w14:paraId="3EB90DEE" w14:textId="76815755" w:rsidR="0041704E" w:rsidRDefault="0041704E" w:rsidP="00E03653">
      <w:r>
        <w:t xml:space="preserve">During CYDA’s 2020 National Youth Disability Summit, </w:t>
      </w:r>
      <w:r w:rsidRPr="00FA5F1D">
        <w:t>young participants expressed disability pride and a sense of community with other people with disability. Some young people also shared that being actively involved in the disability community can lead to feelings of disability pride.</w:t>
      </w:r>
      <w:r>
        <w:t xml:space="preserve"> Many families find it difficult to talk to their child about their disability or their diagnosis. Young people share with CYDA the power of role models who have disability and the need for representation of people disability in everyday situations, media and popular culture. </w:t>
      </w:r>
      <w:r w:rsidRPr="0010097E">
        <w:t xml:space="preserve">Young people value how role models present new options and </w:t>
      </w:r>
      <w:r w:rsidRPr="0010097E">
        <w:lastRenderedPageBreak/>
        <w:t xml:space="preserve">help pave the way for different life paths. One </w:t>
      </w:r>
      <w:r>
        <w:t xml:space="preserve">2020 Summit </w:t>
      </w:r>
      <w:r w:rsidRPr="0010097E">
        <w:t xml:space="preserve">participant shared that they wished they had role models earlier in life to show them </w:t>
      </w:r>
      <w:r w:rsidR="009D514C">
        <w:rPr>
          <w:i/>
          <w:iCs/>
        </w:rPr>
        <w:t>“</w:t>
      </w:r>
      <w:r w:rsidRPr="00EE5A1D">
        <w:rPr>
          <w:i/>
          <w:iCs/>
        </w:rPr>
        <w:t>that this life [that they are now living] is possible</w:t>
      </w:r>
      <w:r w:rsidRPr="0010097E">
        <w:t>.’’</w:t>
      </w:r>
      <w:r>
        <w:t xml:space="preserve"> </w:t>
      </w:r>
    </w:p>
    <w:p w14:paraId="5C582672" w14:textId="77777777" w:rsidR="0041704E" w:rsidRPr="00D648EF" w:rsidRDefault="0041704E" w:rsidP="00E03653">
      <w:r>
        <w:t>Many of the supportive and necessary conversations about disability and difference must start in early childhood both for children with and without disability. A range of adults in a child’s and family’s life can role model the language and approach to talking about a child’s disability in a way that supports their growth and development of their identity. There is no one way to approach this as the experience of disability varies – timing of diagnosis, nature of disability, need for functional support, nature of disability and the structural and environmental factors in a child’s life.</w:t>
      </w:r>
    </w:p>
    <w:p w14:paraId="0A3D361E" w14:textId="038E0BE7" w:rsidR="00611F08" w:rsidRPr="00DE6B25" w:rsidRDefault="00611F08" w:rsidP="00E2568C">
      <w:pPr>
        <w:pStyle w:val="Heading2"/>
        <w:numPr>
          <w:ilvl w:val="0"/>
          <w:numId w:val="15"/>
        </w:numPr>
      </w:pPr>
      <w:bookmarkStart w:id="38" w:name="_Toc133675148"/>
      <w:bookmarkEnd w:id="31"/>
      <w:bookmarkEnd w:id="32"/>
      <w:bookmarkEnd w:id="33"/>
      <w:bookmarkEnd w:id="34"/>
      <w:bookmarkEnd w:id="35"/>
      <w:r w:rsidRPr="00DE6B25">
        <w:t>Policy priorities</w:t>
      </w:r>
      <w:bookmarkEnd w:id="38"/>
    </w:p>
    <w:p w14:paraId="58B2BC31" w14:textId="77777777" w:rsidR="00611F08" w:rsidRDefault="00611F08" w:rsidP="002C11B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611F08" w:rsidRPr="004B4AD8" w14:paraId="18CC8198" w14:textId="77777777">
        <w:trPr>
          <w:trHeight w:val="1116"/>
        </w:trPr>
        <w:tc>
          <w:tcPr>
            <w:tcW w:w="9026" w:type="dxa"/>
            <w:shd w:val="clear" w:color="auto" w:fill="C5E0B3" w:themeFill="accent6" w:themeFillTint="66"/>
          </w:tcPr>
          <w:p w14:paraId="5BEA99A9" w14:textId="0E05DAFA" w:rsidR="00611F08" w:rsidRPr="004B4AD8" w:rsidRDefault="00611F08">
            <w:pPr>
              <w:spacing w:after="160"/>
              <w:rPr>
                <w:b/>
                <w:bCs/>
              </w:rPr>
            </w:pPr>
            <w:bookmarkStart w:id="39" w:name="_Hlk133388070"/>
            <w:r w:rsidRPr="004B4AD8">
              <w:rPr>
                <w:b/>
                <w:bCs/>
              </w:rPr>
              <w:t>Recommendation</w:t>
            </w:r>
            <w:r w:rsidR="00DD462D">
              <w:rPr>
                <w:b/>
                <w:bCs/>
              </w:rPr>
              <w:t>: Prioritise polices that give children with disability the best start in life</w:t>
            </w:r>
          </w:p>
          <w:p w14:paraId="73BB1BAD" w14:textId="77777777" w:rsidR="00611F08" w:rsidRDefault="00611F08" w:rsidP="009716F0">
            <w:pPr>
              <w:pStyle w:val="ListParagraph"/>
              <w:numPr>
                <w:ilvl w:val="0"/>
                <w:numId w:val="29"/>
              </w:numPr>
              <w:spacing w:before="0"/>
              <w:jc w:val="both"/>
              <w:rPr>
                <w:rFonts w:eastAsia="Calibri" w:cs="Arial"/>
                <w:lang w:val="en-US"/>
              </w:rPr>
            </w:pPr>
            <w:bookmarkStart w:id="40" w:name="_Hlk133388210"/>
            <w:r w:rsidRPr="00755BD0">
              <w:rPr>
                <w:rFonts w:eastAsia="Calibri" w:cs="Arial"/>
                <w:lang w:val="en-US"/>
              </w:rPr>
              <w:t xml:space="preserve">CYDA urges the Australian Government to align the policy priorities of the early childhood strategy closely to the </w:t>
            </w:r>
            <w:hyperlink r:id="rId43" w:history="1">
              <w:r w:rsidRPr="00755BD0">
                <w:rPr>
                  <w:rFonts w:eastAsia="Calibri" w:cs="Arial"/>
                  <w:i/>
                  <w:iCs/>
                  <w:color w:val="0563C1"/>
                  <w:u w:val="single"/>
                  <w:lang w:val="en-US"/>
                </w:rPr>
                <w:t>Early Childhood Targeted Action Plan</w:t>
              </w:r>
            </w:hyperlink>
            <w:r w:rsidRPr="00755BD0">
              <w:rPr>
                <w:rFonts w:eastAsia="Calibri" w:cs="Arial"/>
                <w:lang w:val="en-US"/>
              </w:rPr>
              <w:t xml:space="preserve"> as outlined in </w:t>
            </w:r>
            <w:hyperlink r:id="rId44" w:history="1">
              <w:r w:rsidRPr="00755BD0">
                <w:rPr>
                  <w:rFonts w:eastAsia="Calibri" w:cs="Arial"/>
                  <w:i/>
                  <w:iCs/>
                  <w:color w:val="0563C1"/>
                  <w:u w:val="single"/>
                  <w:lang w:val="en-US"/>
                </w:rPr>
                <w:t>Australia’s Disability Strategy 2021-2031</w:t>
              </w:r>
            </w:hyperlink>
            <w:r w:rsidRPr="00755BD0">
              <w:rPr>
                <w:rFonts w:eastAsia="Calibri" w:cs="Arial"/>
                <w:i/>
                <w:iCs/>
                <w:color w:val="0563C1"/>
                <w:u w:val="single"/>
                <w:lang w:val="en-US"/>
              </w:rPr>
              <w:t>.</w:t>
            </w:r>
            <w:r w:rsidRPr="00755BD0">
              <w:rPr>
                <w:rFonts w:eastAsia="Calibri" w:cs="Arial"/>
                <w:color w:val="0563C1"/>
                <w:lang w:val="en-US"/>
              </w:rPr>
              <w:t xml:space="preserve"> </w:t>
            </w:r>
            <w:r w:rsidRPr="00755BD0">
              <w:rPr>
                <w:rFonts w:eastAsia="Calibri" w:cs="Arial"/>
                <w:lang w:val="en-US"/>
              </w:rPr>
              <w:t xml:space="preserve">Especially to: </w:t>
            </w:r>
          </w:p>
          <w:p w14:paraId="0C4D9EE2" w14:textId="02904531" w:rsidR="00611F08" w:rsidRPr="009716F0" w:rsidRDefault="00611F08" w:rsidP="00755BD0">
            <w:pPr>
              <w:pStyle w:val="ListParagraph"/>
              <w:numPr>
                <w:ilvl w:val="1"/>
                <w:numId w:val="29"/>
              </w:numPr>
              <w:spacing w:before="0"/>
              <w:jc w:val="both"/>
              <w:rPr>
                <w:rFonts w:eastAsia="Calibri" w:cs="Arial"/>
                <w:lang w:val="en-US"/>
              </w:rPr>
            </w:pPr>
            <w:r w:rsidRPr="009716F0">
              <w:rPr>
                <w:rFonts w:eastAsia="Calibri" w:cs="Arial"/>
                <w:lang w:val="en-US"/>
              </w:rPr>
              <w:t>Enable early identification of disability or developmental concerns and develop clearer pathways and timely access to appropriate supports</w:t>
            </w:r>
          </w:p>
          <w:p w14:paraId="18D4E9CB" w14:textId="77777777" w:rsidR="00611F08" w:rsidRPr="009716F0" w:rsidRDefault="00611F08" w:rsidP="00755BD0">
            <w:pPr>
              <w:numPr>
                <w:ilvl w:val="1"/>
                <w:numId w:val="29"/>
              </w:numPr>
              <w:spacing w:before="0"/>
              <w:contextualSpacing/>
              <w:jc w:val="both"/>
              <w:rPr>
                <w:rFonts w:eastAsia="Calibri" w:cs="Arial"/>
                <w:lang w:val="en-US"/>
              </w:rPr>
            </w:pPr>
            <w:r w:rsidRPr="009716F0">
              <w:rPr>
                <w:rFonts w:eastAsia="Calibri" w:cs="Arial"/>
                <w:lang w:val="en-US"/>
              </w:rPr>
              <w:t xml:space="preserve">Strengthen the capability and capacity of key services and systems to support parents and caregivers to make informed choices about their child </w:t>
            </w:r>
          </w:p>
          <w:p w14:paraId="7B3638F8" w14:textId="456CB32C" w:rsidR="00611F08" w:rsidRPr="00C97044" w:rsidRDefault="00611F08" w:rsidP="00E57785">
            <w:pPr>
              <w:numPr>
                <w:ilvl w:val="1"/>
                <w:numId w:val="29"/>
              </w:numPr>
              <w:spacing w:before="0"/>
              <w:contextualSpacing/>
              <w:jc w:val="both"/>
              <w:rPr>
                <w:rFonts w:eastAsia="Calibri" w:cs="Arial"/>
                <w:lang w:val="en-US"/>
              </w:rPr>
            </w:pPr>
            <w:r w:rsidRPr="009716F0">
              <w:rPr>
                <w:rFonts w:eastAsia="Calibri" w:cs="Arial"/>
                <w:lang w:val="en-US"/>
              </w:rPr>
              <w:t>Encourage a stronger sense of inclusion and provide opportunities for parents, carers and children to build peer networks, including for Aboriginal and Torres Strait Islander and culturally and linguistically diverse parents and caregivers.</w:t>
            </w:r>
          </w:p>
          <w:p w14:paraId="430AD934" w14:textId="3B15BE9A" w:rsidR="00611F08" w:rsidRDefault="00611F08" w:rsidP="004A1060">
            <w:pPr>
              <w:pStyle w:val="ListParagraph"/>
              <w:numPr>
                <w:ilvl w:val="0"/>
                <w:numId w:val="29"/>
              </w:numPr>
              <w:jc w:val="both"/>
              <w:rPr>
                <w:rFonts w:cs="Arial"/>
              </w:rPr>
            </w:pPr>
            <w:r w:rsidRPr="00C97044">
              <w:rPr>
                <w:rFonts w:cs="Arial"/>
                <w:color w:val="000000"/>
                <w:shd w:val="clear" w:color="auto" w:fill="C5E0B3" w:themeFill="accent6" w:themeFillTint="66"/>
              </w:rPr>
              <w:t xml:space="preserve">CYDA calls on the Australian Government to give children their best start in life. Specifically, CYDA joins calls </w:t>
            </w:r>
            <w:r w:rsidRPr="00C97044">
              <w:rPr>
                <w:rFonts w:cs="Arial"/>
                <w:shd w:val="clear" w:color="auto" w:fill="C5E0B3" w:themeFill="accent6" w:themeFillTint="66"/>
              </w:rPr>
              <w:t>by</w:t>
            </w:r>
            <w:r w:rsidRPr="00C97044">
              <w:rPr>
                <w:rFonts w:cs="Arial"/>
              </w:rPr>
              <w:t xml:space="preserve"> </w:t>
            </w:r>
            <w:hyperlink r:id="rId45" w:history="1">
              <w:r w:rsidRPr="00C97044">
                <w:rPr>
                  <w:rStyle w:val="Hyperlink"/>
                  <w:rFonts w:cs="Arial"/>
                </w:rPr>
                <w:t>The Parenthood</w:t>
              </w:r>
            </w:hyperlink>
            <w:r w:rsidRPr="00C97044">
              <w:rPr>
                <w:rFonts w:cs="Arial"/>
              </w:rPr>
              <w:t xml:space="preserve">, </w:t>
            </w:r>
            <w:hyperlink r:id="rId46" w:history="1">
              <w:r w:rsidRPr="00C97044">
                <w:rPr>
                  <w:rStyle w:val="Hyperlink"/>
                  <w:rFonts w:cs="Arial"/>
                </w:rPr>
                <w:t>Thrive by Five</w:t>
              </w:r>
            </w:hyperlink>
            <w:r w:rsidRPr="00C97044">
              <w:rPr>
                <w:rFonts w:cs="Arial"/>
              </w:rPr>
              <w:t xml:space="preserve">, </w:t>
            </w:r>
            <w:hyperlink r:id="rId47" w:history="1">
              <w:r w:rsidRPr="00C97044">
                <w:rPr>
                  <w:rStyle w:val="Hyperlink"/>
                  <w:rFonts w:cs="Arial"/>
                </w:rPr>
                <w:t>Every Child</w:t>
              </w:r>
            </w:hyperlink>
            <w:r w:rsidRPr="00C97044">
              <w:rPr>
                <w:rFonts w:cs="Arial"/>
              </w:rPr>
              <w:t xml:space="preserve"> and the </w:t>
            </w:r>
            <w:hyperlink r:id="rId48" w:history="1">
              <w:r w:rsidRPr="00C97044">
                <w:rPr>
                  <w:rStyle w:val="Hyperlink"/>
                  <w:rFonts w:cs="Arial"/>
                </w:rPr>
                <w:t>Centre for Policy Development</w:t>
              </w:r>
            </w:hyperlink>
            <w:r w:rsidRPr="00C97044">
              <w:rPr>
                <w:rFonts w:cs="Arial"/>
              </w:rPr>
              <w:t xml:space="preserve"> for the Australian Government </w:t>
            </w:r>
            <w:r>
              <w:rPr>
                <w:rFonts w:cs="Arial"/>
              </w:rPr>
              <w:t xml:space="preserve">and the strategy </w:t>
            </w:r>
            <w:r w:rsidRPr="00C97044">
              <w:rPr>
                <w:rFonts w:cs="Arial"/>
              </w:rPr>
              <w:t>to ensure:</w:t>
            </w:r>
          </w:p>
          <w:p w14:paraId="78024242" w14:textId="77777777" w:rsidR="00611F08" w:rsidRDefault="00611F08" w:rsidP="004A1060">
            <w:pPr>
              <w:pStyle w:val="ListParagraph"/>
              <w:numPr>
                <w:ilvl w:val="1"/>
                <w:numId w:val="29"/>
              </w:numPr>
              <w:jc w:val="both"/>
              <w:rPr>
                <w:rFonts w:cs="Arial"/>
              </w:rPr>
            </w:pPr>
            <w:r w:rsidRPr="004A1060">
              <w:rPr>
                <w:rFonts w:cs="Arial"/>
              </w:rPr>
              <w:t xml:space="preserve">Universal access to education and care – affordable, high quality, inclusive and easy to access </w:t>
            </w:r>
          </w:p>
          <w:p w14:paraId="0E669218" w14:textId="77777777" w:rsidR="00611F08" w:rsidRDefault="00611F08" w:rsidP="004A1060">
            <w:pPr>
              <w:pStyle w:val="ListParagraph"/>
              <w:numPr>
                <w:ilvl w:val="1"/>
                <w:numId w:val="29"/>
              </w:numPr>
              <w:jc w:val="both"/>
              <w:rPr>
                <w:rFonts w:cs="Arial"/>
              </w:rPr>
            </w:pPr>
            <w:r w:rsidRPr="004A1060">
              <w:rPr>
                <w:rFonts w:cs="Arial"/>
              </w:rPr>
              <w:t>Simplification and coordination of the currently confusing and expensive array of services and schemes</w:t>
            </w:r>
          </w:p>
          <w:p w14:paraId="6392FBA3" w14:textId="2A86BF53" w:rsidR="00611F08" w:rsidRPr="004A1060" w:rsidRDefault="00611F08" w:rsidP="004A1060">
            <w:pPr>
              <w:pStyle w:val="ListParagraph"/>
              <w:numPr>
                <w:ilvl w:val="1"/>
                <w:numId w:val="29"/>
              </w:numPr>
              <w:jc w:val="both"/>
              <w:rPr>
                <w:rFonts w:cs="Arial"/>
              </w:rPr>
            </w:pPr>
            <w:r w:rsidRPr="004A1060">
              <w:rPr>
                <w:rFonts w:cs="Arial"/>
              </w:rPr>
              <w:t>Data are collected and shared at all levels of government to improve evidence of the range and quality of early childhood services.</w:t>
            </w:r>
            <w:r w:rsidRPr="004A1060">
              <w:rPr>
                <w:rFonts w:cs="Arial"/>
                <w:sz w:val="18"/>
                <w:szCs w:val="18"/>
                <w:vertAlign w:val="superscript"/>
              </w:rPr>
              <w:t>13</w:t>
            </w:r>
            <w:bookmarkEnd w:id="40"/>
          </w:p>
        </w:tc>
      </w:tr>
      <w:bookmarkEnd w:id="39"/>
      <w:tr w:rsidR="00611F08" w:rsidRPr="004B4AD8" w14:paraId="39CDF01C" w14:textId="77777777" w:rsidTr="0029361B">
        <w:trPr>
          <w:trHeight w:val="80"/>
        </w:trPr>
        <w:tc>
          <w:tcPr>
            <w:tcW w:w="9026" w:type="dxa"/>
            <w:shd w:val="clear" w:color="auto" w:fill="C5E0B3" w:themeFill="accent6" w:themeFillTint="66"/>
          </w:tcPr>
          <w:p w14:paraId="5AF666AD" w14:textId="77777777" w:rsidR="00611F08" w:rsidRPr="004B4AD8" w:rsidRDefault="00611F08">
            <w:pPr>
              <w:rPr>
                <w:b/>
                <w:bCs/>
              </w:rPr>
            </w:pPr>
          </w:p>
        </w:tc>
      </w:tr>
    </w:tbl>
    <w:p w14:paraId="798D6061" w14:textId="77777777" w:rsidR="00611F08" w:rsidRPr="00A57A14" w:rsidRDefault="00611F08" w:rsidP="00222FFC">
      <w:pPr>
        <w:rPr>
          <w:rFonts w:eastAsia="Calibri" w:cs="Arial"/>
          <w:lang w:val="en-US"/>
        </w:rPr>
      </w:pPr>
      <w:r w:rsidRPr="00A57A14">
        <w:rPr>
          <w:rFonts w:eastAsia="Calibri" w:cs="Arial"/>
        </w:rPr>
        <w:t xml:space="preserve">The early years of a child’s development can impact their entire lives. </w:t>
      </w:r>
      <w:r w:rsidRPr="00A57A14">
        <w:rPr>
          <w:rFonts w:eastAsia="Calibri" w:cs="Arial"/>
          <w:lang w:val="en-US"/>
        </w:rPr>
        <w:t>Accessible and inclusive early childhood experiences are one of the surest and most sustainable pathways to an inclusive life and all the benefits that brings to the whole family, including balancing work and care responsibilities.</w:t>
      </w:r>
    </w:p>
    <w:p w14:paraId="3FB76BEA" w14:textId="77777777" w:rsidR="00611F08" w:rsidRPr="00A57A14" w:rsidRDefault="00611F08" w:rsidP="00222FFC">
      <w:pPr>
        <w:rPr>
          <w:rFonts w:eastAsia="Calibri" w:cs="Arial"/>
        </w:rPr>
      </w:pPr>
      <w:r w:rsidRPr="00A57A14">
        <w:rPr>
          <w:rFonts w:eastAsia="Calibri" w:cs="Arial"/>
        </w:rPr>
        <w:t>Dependent on the support, engagement and experiences children and their families/caregivers and communities receive during early years, this life stage can bring both opportunity and risk.</w:t>
      </w:r>
      <w:r w:rsidRPr="00A57A14">
        <w:rPr>
          <w:rFonts w:eastAsia="Calibri" w:cs="Arial"/>
        </w:rPr>
        <w:footnoteReference w:id="35"/>
      </w:r>
      <w:r w:rsidRPr="00A57A14">
        <w:rPr>
          <w:rFonts w:eastAsia="Calibri" w:cs="Arial"/>
        </w:rPr>
        <w:t xml:space="preserve"> Tragically, we know that many children are not able to access </w:t>
      </w:r>
      <w:r w:rsidRPr="00A57A14">
        <w:rPr>
          <w:rFonts w:eastAsia="Calibri" w:cs="Arial"/>
        </w:rPr>
        <w:lastRenderedPageBreak/>
        <w:t xml:space="preserve">equitable or adequate support. Specifically, not every currently has access to high quality, affordable and inclusive Early Childhood Education and Care and Outside School Hours Care. As result, more than one in five Australian children enter primary school ‘developmentally vulnerable’. </w:t>
      </w:r>
      <w:r w:rsidRPr="00A57A14">
        <w:rPr>
          <w:rFonts w:eastAsia="Calibri" w:cs="Arial"/>
        </w:rPr>
        <w:footnoteReference w:id="36"/>
      </w:r>
      <w:r w:rsidRPr="00A57A14">
        <w:rPr>
          <w:rFonts w:eastAsia="Calibri" w:cs="Arial"/>
        </w:rPr>
        <w:t xml:space="preserve"> This is in addition to the children who already have a diagnosed disability.</w:t>
      </w:r>
    </w:p>
    <w:p w14:paraId="7AB3C174" w14:textId="3F54913E" w:rsidR="00611F08" w:rsidRPr="00A57A14" w:rsidRDefault="00611F08" w:rsidP="00222FFC">
      <w:pPr>
        <w:rPr>
          <w:rFonts w:eastAsia="Calibri" w:cs="Arial"/>
        </w:rPr>
      </w:pPr>
      <w:r w:rsidRPr="00A57A14">
        <w:rPr>
          <w:rFonts w:eastAsia="Calibri" w:cs="Arial"/>
          <w:color w:val="000000"/>
          <w:shd w:val="clear" w:color="auto" w:fill="FFFFFF"/>
        </w:rPr>
        <w:t>Therefore, the Australian Government must invest in:</w:t>
      </w:r>
    </w:p>
    <w:p w14:paraId="5D1169FD" w14:textId="77777777" w:rsidR="00611F08" w:rsidRPr="00A57A14" w:rsidRDefault="00611F08" w:rsidP="00222FFC">
      <w:pPr>
        <w:spacing w:before="112" w:after="120" w:line="252" w:lineRule="auto"/>
        <w:rPr>
          <w:rFonts w:eastAsia="Calibri" w:cs="Arial"/>
        </w:rPr>
      </w:pPr>
      <w:r w:rsidRPr="00A57A14">
        <w:rPr>
          <w:rFonts w:eastAsia="Calibri" w:cs="Arial"/>
          <w:b/>
          <w:bCs/>
        </w:rPr>
        <w:t xml:space="preserve">Quality: </w:t>
      </w:r>
      <w:r w:rsidRPr="00A57A14">
        <w:rPr>
          <w:rFonts w:eastAsia="Calibri" w:cs="Arial"/>
          <w:color w:val="231F20"/>
        </w:rPr>
        <w:t>The federal systems that influence and should support key aspects of early childhood</w:t>
      </w:r>
      <w:r w:rsidRPr="00A57A14">
        <w:rPr>
          <w:rFonts w:eastAsia="Calibri" w:cs="Arial"/>
          <w:color w:val="231F20"/>
          <w:spacing w:val="-16"/>
        </w:rPr>
        <w:t xml:space="preserve"> </w:t>
      </w:r>
      <w:r w:rsidRPr="00A57A14">
        <w:rPr>
          <w:rFonts w:eastAsia="Calibri" w:cs="Arial"/>
          <w:color w:val="231F20"/>
        </w:rPr>
        <w:t>development</w:t>
      </w:r>
      <w:r w:rsidRPr="00A57A14">
        <w:rPr>
          <w:rFonts w:eastAsia="Calibri" w:cs="Arial"/>
          <w:color w:val="231F20"/>
          <w:spacing w:val="-16"/>
        </w:rPr>
        <w:t xml:space="preserve"> </w:t>
      </w:r>
      <w:r w:rsidRPr="00A57A14">
        <w:rPr>
          <w:rFonts w:eastAsia="Calibri" w:cs="Arial"/>
          <w:color w:val="231F20"/>
        </w:rPr>
        <w:t>are</w:t>
      </w:r>
      <w:r w:rsidRPr="00A57A14">
        <w:rPr>
          <w:rFonts w:eastAsia="Calibri" w:cs="Arial"/>
          <w:color w:val="231F20"/>
          <w:spacing w:val="-16"/>
        </w:rPr>
        <w:t xml:space="preserve"> </w:t>
      </w:r>
      <w:r w:rsidRPr="00A57A14">
        <w:rPr>
          <w:rFonts w:eastAsia="Calibri" w:cs="Arial"/>
          <w:color w:val="231F20"/>
        </w:rPr>
        <w:t>underperforming and must improve. For instance, our early learning centres are of inconsistent quality.</w:t>
      </w:r>
    </w:p>
    <w:p w14:paraId="001BE9A7" w14:textId="77777777" w:rsidR="00611F08" w:rsidRPr="00A57A14" w:rsidRDefault="00611F08" w:rsidP="00222FFC">
      <w:pPr>
        <w:spacing w:before="8" w:after="120" w:line="256" w:lineRule="auto"/>
        <w:rPr>
          <w:rFonts w:eastAsia="Calibri" w:cs="Arial"/>
        </w:rPr>
      </w:pPr>
      <w:r w:rsidRPr="00A57A14">
        <w:rPr>
          <w:rFonts w:eastAsia="Calibri" w:cs="Arial"/>
          <w:color w:val="231F20"/>
        </w:rPr>
        <w:t>Too many do not meet National Quality Standard (NQS). According to National Quality Framework Snapshot June 2020, 17.7 per cent of centres did not meet the NQS,</w:t>
      </w:r>
      <w:r w:rsidRPr="00A57A14">
        <w:rPr>
          <w:rFonts w:eastAsia="Calibri" w:cs="Arial"/>
          <w:color w:val="231F20"/>
          <w:spacing w:val="-7"/>
        </w:rPr>
        <w:t xml:space="preserve"> </w:t>
      </w:r>
      <w:r w:rsidRPr="00A57A14">
        <w:rPr>
          <w:rFonts w:eastAsia="Calibri" w:cs="Arial"/>
          <w:color w:val="231F20"/>
        </w:rPr>
        <w:t>rising</w:t>
      </w:r>
      <w:r w:rsidRPr="00A57A14">
        <w:rPr>
          <w:rFonts w:eastAsia="Calibri" w:cs="Arial"/>
          <w:color w:val="231F20"/>
          <w:spacing w:val="-7"/>
        </w:rPr>
        <w:t xml:space="preserve"> </w:t>
      </w:r>
      <w:r w:rsidRPr="00A57A14">
        <w:rPr>
          <w:rFonts w:eastAsia="Calibri" w:cs="Arial"/>
          <w:color w:val="231F20"/>
        </w:rPr>
        <w:t>to</w:t>
      </w:r>
      <w:r w:rsidRPr="00A57A14">
        <w:rPr>
          <w:rFonts w:eastAsia="Calibri" w:cs="Arial"/>
          <w:color w:val="231F20"/>
          <w:spacing w:val="-7"/>
        </w:rPr>
        <w:t xml:space="preserve"> </w:t>
      </w:r>
      <w:r w:rsidRPr="00A57A14">
        <w:rPr>
          <w:rFonts w:eastAsia="Calibri" w:cs="Arial"/>
          <w:color w:val="231F20"/>
        </w:rPr>
        <w:t>18.4</w:t>
      </w:r>
      <w:r w:rsidRPr="00A57A14">
        <w:rPr>
          <w:rFonts w:eastAsia="Calibri" w:cs="Arial"/>
          <w:color w:val="231F20"/>
          <w:spacing w:val="-7"/>
        </w:rPr>
        <w:t xml:space="preserve"> </w:t>
      </w:r>
      <w:r w:rsidRPr="00A57A14">
        <w:rPr>
          <w:rFonts w:eastAsia="Calibri" w:cs="Arial"/>
          <w:color w:val="231F20"/>
        </w:rPr>
        <w:t>per</w:t>
      </w:r>
      <w:r w:rsidRPr="00A57A14">
        <w:rPr>
          <w:rFonts w:eastAsia="Calibri" w:cs="Arial"/>
          <w:color w:val="231F20"/>
          <w:spacing w:val="-7"/>
        </w:rPr>
        <w:t xml:space="preserve"> </w:t>
      </w:r>
      <w:r w:rsidRPr="00A57A14">
        <w:rPr>
          <w:rFonts w:eastAsia="Calibri" w:cs="Arial"/>
          <w:color w:val="231F20"/>
        </w:rPr>
        <w:t>cent</w:t>
      </w:r>
      <w:r w:rsidRPr="00A57A14">
        <w:rPr>
          <w:rFonts w:eastAsia="Calibri" w:cs="Arial"/>
          <w:color w:val="231F20"/>
          <w:spacing w:val="-7"/>
        </w:rPr>
        <w:t xml:space="preserve"> </w:t>
      </w:r>
      <w:r w:rsidRPr="00A57A14">
        <w:rPr>
          <w:rFonts w:eastAsia="Calibri" w:cs="Arial"/>
          <w:color w:val="231F20"/>
        </w:rPr>
        <w:t>for</w:t>
      </w:r>
      <w:r w:rsidRPr="00A57A14">
        <w:rPr>
          <w:rFonts w:eastAsia="Calibri" w:cs="Arial"/>
          <w:color w:val="231F20"/>
          <w:spacing w:val="-7"/>
        </w:rPr>
        <w:t xml:space="preserve"> </w:t>
      </w:r>
      <w:r w:rsidRPr="00A57A14">
        <w:rPr>
          <w:rFonts w:eastAsia="Calibri" w:cs="Arial"/>
          <w:color w:val="231F20"/>
        </w:rPr>
        <w:t>long</w:t>
      </w:r>
      <w:r w:rsidRPr="00A57A14">
        <w:rPr>
          <w:rFonts w:eastAsia="Calibri" w:cs="Arial"/>
          <w:color w:val="231F20"/>
          <w:spacing w:val="-7"/>
        </w:rPr>
        <w:t xml:space="preserve"> </w:t>
      </w:r>
      <w:r w:rsidRPr="00A57A14">
        <w:rPr>
          <w:rFonts w:eastAsia="Calibri" w:cs="Arial"/>
          <w:color w:val="231F20"/>
        </w:rPr>
        <w:t>day</w:t>
      </w:r>
      <w:r w:rsidRPr="00A57A14">
        <w:rPr>
          <w:rFonts w:eastAsia="Calibri" w:cs="Arial"/>
          <w:color w:val="231F20"/>
          <w:spacing w:val="-7"/>
        </w:rPr>
        <w:t xml:space="preserve"> </w:t>
      </w:r>
      <w:r w:rsidRPr="00A57A14">
        <w:rPr>
          <w:rFonts w:eastAsia="Calibri" w:cs="Arial"/>
          <w:color w:val="231F20"/>
        </w:rPr>
        <w:t>care (excluding preschools).</w:t>
      </w:r>
      <w:r w:rsidRPr="00A57A14">
        <w:rPr>
          <w:rFonts w:eastAsia="Calibri" w:cs="Arial"/>
          <w:vertAlign w:val="superscript"/>
        </w:rPr>
        <w:footnoteReference w:id="37"/>
      </w:r>
    </w:p>
    <w:p w14:paraId="49DF5DDF" w14:textId="77777777" w:rsidR="00611F08" w:rsidRPr="00A57A14" w:rsidRDefault="00611F08" w:rsidP="00222FFC">
      <w:pPr>
        <w:rPr>
          <w:rFonts w:eastAsia="Calibri" w:cs="Arial"/>
          <w:color w:val="000000"/>
          <w:shd w:val="clear" w:color="auto" w:fill="FFFFFF"/>
        </w:rPr>
      </w:pPr>
      <w:r w:rsidRPr="00A57A14">
        <w:rPr>
          <w:rFonts w:eastAsia="Calibri" w:cs="Arial"/>
          <w:b/>
          <w:bCs/>
        </w:rPr>
        <w:t xml:space="preserve">Affordability: </w:t>
      </w:r>
      <w:r w:rsidRPr="00A57A14">
        <w:rPr>
          <w:rFonts w:eastAsia="Calibri" w:cs="Arial"/>
        </w:rPr>
        <w:t xml:space="preserve">Australia’s early learning centres are also some of the most expensive in the </w:t>
      </w:r>
      <w:r w:rsidRPr="00A57A14">
        <w:rPr>
          <w:rFonts w:eastAsia="Calibri" w:cs="Arial"/>
          <w:lang w:val="en-US"/>
        </w:rPr>
        <w:t xml:space="preserve">Organisation for Economic Co-operation and Development </w:t>
      </w:r>
      <w:r w:rsidRPr="00A57A14">
        <w:rPr>
          <w:rFonts w:eastAsia="Calibri" w:cs="Arial"/>
        </w:rPr>
        <w:t>(</w:t>
      </w:r>
      <w:r w:rsidRPr="00A57A14">
        <w:rPr>
          <w:rFonts w:eastAsia="Calibri" w:cs="Arial"/>
          <w:color w:val="000000"/>
          <w:shd w:val="clear" w:color="auto" w:fill="FFFFFF"/>
        </w:rPr>
        <w:t xml:space="preserve">OECD). According to the </w:t>
      </w:r>
      <w:r w:rsidRPr="00A57A14">
        <w:rPr>
          <w:rFonts w:eastAsia="Calibri" w:cs="Arial"/>
          <w:i/>
          <w:iCs/>
          <w:shd w:val="clear" w:color="auto" w:fill="FFFFFF"/>
        </w:rPr>
        <w:t>Household, Income and Labour Dynamics in Australia</w:t>
      </w:r>
      <w:r w:rsidRPr="00A57A14">
        <w:rPr>
          <w:rFonts w:eastAsia="Calibri" w:cs="Arial"/>
          <w:color w:val="000000"/>
          <w:shd w:val="clear" w:color="auto" w:fill="FFFFFF"/>
        </w:rPr>
        <w:t> (</w:t>
      </w:r>
      <w:r w:rsidRPr="00A57A14">
        <w:rPr>
          <w:rFonts w:eastAsia="Calibri" w:cs="Arial"/>
          <w:i/>
          <w:iCs/>
          <w:shd w:val="clear" w:color="auto" w:fill="FFFFFF"/>
        </w:rPr>
        <w:t>HILDA</w:t>
      </w:r>
      <w:r w:rsidRPr="00A57A14">
        <w:rPr>
          <w:rFonts w:eastAsia="Calibri" w:cs="Arial"/>
          <w:color w:val="000000"/>
          <w:shd w:val="clear" w:color="auto" w:fill="FFFFFF"/>
        </w:rPr>
        <w:t>) Survey, approximately 27 per cent of household income is absorbed by childcare.</w:t>
      </w:r>
      <w:r w:rsidRPr="00A57A14">
        <w:rPr>
          <w:rFonts w:eastAsia="Calibri" w:cs="Arial"/>
          <w:color w:val="000000"/>
          <w:shd w:val="clear" w:color="auto" w:fill="FFFFFF"/>
          <w:vertAlign w:val="superscript"/>
        </w:rPr>
        <w:footnoteReference w:id="38"/>
      </w:r>
      <w:r w:rsidRPr="00A57A14">
        <w:rPr>
          <w:rFonts w:eastAsia="Calibri" w:cs="Arial"/>
          <w:color w:val="000000"/>
          <w:shd w:val="clear" w:color="auto" w:fill="FFFFFF"/>
        </w:rPr>
        <w:t xml:space="preserve"> These costs have more than doubled since 2002.</w:t>
      </w:r>
      <w:r w:rsidRPr="00A57A14">
        <w:rPr>
          <w:rFonts w:eastAsia="Calibri" w:cs="Arial"/>
          <w:color w:val="000000"/>
          <w:shd w:val="clear" w:color="auto" w:fill="FFFFFF"/>
          <w:vertAlign w:val="superscript"/>
        </w:rPr>
        <w:footnoteReference w:id="39"/>
      </w:r>
    </w:p>
    <w:p w14:paraId="19210251" w14:textId="77777777" w:rsidR="00611F08" w:rsidRPr="00A57A14" w:rsidRDefault="00611F08" w:rsidP="00222FFC">
      <w:pPr>
        <w:rPr>
          <w:rFonts w:eastAsia="Calibri" w:cs="Arial"/>
          <w:color w:val="000000"/>
          <w:shd w:val="clear" w:color="auto" w:fill="FFFFFF"/>
        </w:rPr>
      </w:pPr>
      <w:r w:rsidRPr="00A57A14">
        <w:rPr>
          <w:rFonts w:eastAsia="Calibri" w:cs="Arial"/>
          <w:b/>
          <w:bCs/>
          <w:color w:val="000000"/>
          <w:shd w:val="clear" w:color="auto" w:fill="FFFFFF"/>
        </w:rPr>
        <w:t>Inclusion:</w:t>
      </w:r>
      <w:r w:rsidRPr="00A57A14">
        <w:rPr>
          <w:rFonts w:eastAsia="Calibri" w:cs="Arial"/>
          <w:color w:val="000000"/>
          <w:shd w:val="clear" w:color="auto" w:fill="FFFFFF"/>
        </w:rPr>
        <w:t xml:space="preserve"> The COVID-19 pandemic has exposed the fragilities and inequalities in a range of service systems for children with disability and their families.</w:t>
      </w:r>
      <w:r w:rsidRPr="00A57A14">
        <w:rPr>
          <w:rFonts w:eastAsia="Calibri" w:cs="Arial"/>
          <w:color w:val="000000"/>
          <w:shd w:val="clear" w:color="auto" w:fill="FFFFFF"/>
          <w:vertAlign w:val="superscript"/>
        </w:rPr>
        <w:footnoteReference w:id="40"/>
      </w:r>
      <w:r w:rsidRPr="00A57A14">
        <w:rPr>
          <w:rFonts w:eastAsia="Calibri" w:cs="Arial"/>
          <w:color w:val="000000"/>
          <w:shd w:val="clear" w:color="auto" w:fill="FFFFFF"/>
        </w:rPr>
        <w:t xml:space="preserve"> </w:t>
      </w:r>
      <w:hyperlink r:id="rId49" w:history="1">
        <w:r w:rsidRPr="00A57A14">
          <w:rPr>
            <w:rFonts w:eastAsia="Calibri" w:cs="Arial"/>
            <w:color w:val="0563C1"/>
            <w:u w:val="single"/>
            <w:shd w:val="clear" w:color="auto" w:fill="FFFFFF"/>
          </w:rPr>
          <w:t>Australia’s Disability Strategy</w:t>
        </w:r>
      </w:hyperlink>
      <w:r w:rsidRPr="00A57A14">
        <w:rPr>
          <w:rFonts w:eastAsia="Calibri" w:cs="Arial"/>
          <w:color w:val="000000"/>
          <w:shd w:val="clear" w:color="auto" w:fill="FFFFFF"/>
        </w:rPr>
        <w:t xml:space="preserve"> recognises that high quality early childhood education sets children up with the foundations for success and that inclusion must begin from the earliest ages with a focus on access and participation of all children in early childhood education and care.</w:t>
      </w:r>
      <w:r w:rsidRPr="00A57A14">
        <w:rPr>
          <w:rFonts w:eastAsia="Calibri" w:cs="Arial"/>
          <w:color w:val="000000"/>
          <w:shd w:val="clear" w:color="auto" w:fill="FFFFFF"/>
          <w:vertAlign w:val="superscript"/>
        </w:rPr>
        <w:footnoteReference w:id="41"/>
      </w:r>
      <w:r w:rsidRPr="00A57A14">
        <w:rPr>
          <w:rFonts w:eastAsia="Calibri" w:cs="Arial"/>
          <w:color w:val="000000"/>
          <w:shd w:val="clear" w:color="auto" w:fill="FFFFFF"/>
        </w:rPr>
        <w:t xml:space="preserve">  </w:t>
      </w:r>
    </w:p>
    <w:p w14:paraId="2262982C" w14:textId="568FC579" w:rsidR="00D8041C" w:rsidRDefault="00611F08" w:rsidP="00222FFC">
      <w:pPr>
        <w:rPr>
          <w:rFonts w:eastAsia="Calibri" w:cs="Arial"/>
          <w:color w:val="000000"/>
          <w:shd w:val="clear" w:color="auto" w:fill="FFFFFF"/>
        </w:rPr>
      </w:pPr>
      <w:r w:rsidRPr="00A57A14">
        <w:rPr>
          <w:rFonts w:eastAsia="Calibri" w:cs="Arial"/>
          <w:b/>
          <w:bCs/>
          <w:color w:val="000000"/>
          <w:shd w:val="clear" w:color="auto" w:fill="FFFFFF"/>
        </w:rPr>
        <w:t xml:space="preserve">Connected services: </w:t>
      </w:r>
      <w:r w:rsidRPr="00A57A14">
        <w:rPr>
          <w:rFonts w:eastAsia="Calibri" w:cs="Arial"/>
          <w:color w:val="000000"/>
          <w:shd w:val="clear" w:color="auto" w:fill="FFFFFF"/>
        </w:rPr>
        <w:t xml:space="preserve">The service systems that relate to early childhood development – including childcare, preschool, child health, family support, the NDIS early childhood approach and child protection – are disconnected. Policy, process and programs for these systems span federal and state/territory governments, and a mix of ministries and departments within governments. This complexity is confusing for families and caregivers to navigate and children risk falling between the gaps of a fragmented system. </w:t>
      </w:r>
    </w:p>
    <w:p w14:paraId="649797BC" w14:textId="77777777" w:rsidR="00D8041C" w:rsidRDefault="00D8041C">
      <w:pPr>
        <w:spacing w:before="0" w:line="259" w:lineRule="auto"/>
        <w:rPr>
          <w:rFonts w:eastAsia="Calibri" w:cs="Arial"/>
          <w:color w:val="000000"/>
          <w:shd w:val="clear" w:color="auto" w:fill="FFFFFF"/>
        </w:rPr>
      </w:pPr>
      <w:r>
        <w:rPr>
          <w:rFonts w:eastAsia="Calibri" w:cs="Arial"/>
          <w:color w:val="000000"/>
          <w:shd w:val="clear" w:color="auto" w:fill="FFFFFF"/>
        </w:rPr>
        <w:br w:type="page"/>
      </w:r>
    </w:p>
    <w:p w14:paraId="55F339FB" w14:textId="09A4F3B7" w:rsidR="00611F08" w:rsidRDefault="00611F08" w:rsidP="006B5F23">
      <w:pPr>
        <w:pStyle w:val="Heading2"/>
        <w:numPr>
          <w:ilvl w:val="0"/>
          <w:numId w:val="15"/>
        </w:numPr>
      </w:pPr>
      <w:bookmarkStart w:id="41" w:name="_Toc133675149"/>
      <w:r w:rsidRPr="001A7338">
        <w:lastRenderedPageBreak/>
        <w:t>Principles</w:t>
      </w:r>
      <w:bookmarkEnd w:id="41"/>
      <w:r>
        <w:t xml:space="preserve"> </w:t>
      </w:r>
    </w:p>
    <w:p w14:paraId="3ED89BCB" w14:textId="77777777" w:rsidR="00D8041C" w:rsidRPr="00D8041C" w:rsidRDefault="00D8041C" w:rsidP="00D8041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611F08" w:rsidRPr="004B4AD8" w14:paraId="64116B5D" w14:textId="77777777">
        <w:trPr>
          <w:trHeight w:val="1116"/>
        </w:trPr>
        <w:tc>
          <w:tcPr>
            <w:tcW w:w="9026" w:type="dxa"/>
            <w:shd w:val="clear" w:color="auto" w:fill="C5E0B3" w:themeFill="accent6" w:themeFillTint="66"/>
          </w:tcPr>
          <w:p w14:paraId="4EACA2D7" w14:textId="57E85492" w:rsidR="00611F08" w:rsidRPr="004B4AD8" w:rsidRDefault="00611F08">
            <w:pPr>
              <w:spacing w:after="160"/>
              <w:rPr>
                <w:b/>
                <w:bCs/>
              </w:rPr>
            </w:pPr>
            <w:r w:rsidRPr="004B4AD8">
              <w:rPr>
                <w:b/>
                <w:bCs/>
              </w:rPr>
              <w:t xml:space="preserve">Recommendation </w:t>
            </w:r>
            <w:r w:rsidR="000A3D2A">
              <w:rPr>
                <w:b/>
                <w:bCs/>
              </w:rPr>
              <w:t>6</w:t>
            </w:r>
            <w:r w:rsidR="000817F4">
              <w:rPr>
                <w:b/>
                <w:bCs/>
              </w:rPr>
              <w:t>: The Strategy should reflect human rights principles</w:t>
            </w:r>
          </w:p>
          <w:p w14:paraId="4FEFE786" w14:textId="26A4ECE7" w:rsidR="00611F08" w:rsidRDefault="00397787" w:rsidP="001724FF">
            <w:pPr>
              <w:pStyle w:val="ListParagraph"/>
              <w:numPr>
                <w:ilvl w:val="0"/>
                <w:numId w:val="18"/>
              </w:numPr>
            </w:pPr>
            <w:r>
              <w:t xml:space="preserve">Ensure The Strategy </w:t>
            </w:r>
            <w:r w:rsidR="00965E3C">
              <w:t xml:space="preserve">reflects </w:t>
            </w:r>
            <w:r w:rsidR="006B1DB0">
              <w:t xml:space="preserve">human rights principles by including the following </w:t>
            </w:r>
            <w:r w:rsidR="00924D55">
              <w:t>five</w:t>
            </w:r>
            <w:r w:rsidR="00766DD3">
              <w:t xml:space="preserve"> </w:t>
            </w:r>
            <w:r w:rsidR="006B1DB0">
              <w:t>principles:</w:t>
            </w:r>
            <w:r w:rsidR="00766DD3">
              <w:t xml:space="preserve"> </w:t>
            </w:r>
            <w:r w:rsidR="00766DD3" w:rsidRPr="0033226F">
              <w:t>Child-centred</w:t>
            </w:r>
            <w:r w:rsidR="00766DD3">
              <w:t xml:space="preserve">, </w:t>
            </w:r>
            <w:r w:rsidR="00766DD3" w:rsidRPr="00E8533C">
              <w:t>Anti</w:t>
            </w:r>
            <w:r w:rsidR="002F7ABA">
              <w:t>-</w:t>
            </w:r>
            <w:r w:rsidR="00766DD3" w:rsidRPr="00E8533C">
              <w:t>Ableis</w:t>
            </w:r>
            <w:r w:rsidR="00766DD3">
              <w:t>m, Co-design, U</w:t>
            </w:r>
            <w:r w:rsidR="00766DD3" w:rsidRPr="00EF059A">
              <w:t>niversal design</w:t>
            </w:r>
            <w:r w:rsidR="00766DD3">
              <w:t>, Non-discrimination</w:t>
            </w:r>
          </w:p>
          <w:p w14:paraId="13BA1056" w14:textId="77777777" w:rsidR="00611F08" w:rsidRPr="004B4AD8" w:rsidRDefault="00611F08" w:rsidP="00924D55">
            <w:pPr>
              <w:pStyle w:val="ListParagraph"/>
            </w:pPr>
          </w:p>
        </w:tc>
      </w:tr>
    </w:tbl>
    <w:p w14:paraId="6D619A07" w14:textId="603875B6" w:rsidR="00611F08" w:rsidRDefault="00611F08" w:rsidP="002C11BB">
      <w:r w:rsidRPr="007D1CE4">
        <w:t>To achieve the vision</w:t>
      </w:r>
      <w:r>
        <w:t xml:space="preserve"> of the strategy</w:t>
      </w:r>
      <w:r w:rsidRPr="007D1CE4">
        <w:t xml:space="preserve">, </w:t>
      </w:r>
      <w:r>
        <w:t>the Australian G</w:t>
      </w:r>
      <w:r w:rsidRPr="007D1CE4">
        <w:t xml:space="preserve">overnment </w:t>
      </w:r>
      <w:r>
        <w:t xml:space="preserve">needs to </w:t>
      </w:r>
      <w:r w:rsidRPr="007D1CE4">
        <w:t xml:space="preserve">commit to the development and implementation of policies, programs, services and systems which </w:t>
      </w:r>
      <w:r w:rsidR="00222FFC" w:rsidRPr="007D1CE4">
        <w:t>reflect human</w:t>
      </w:r>
      <w:r w:rsidRPr="007D1CE4">
        <w:t xml:space="preserve"> rights principles. </w:t>
      </w:r>
    </w:p>
    <w:p w14:paraId="65F1B471" w14:textId="77777777" w:rsidR="00611F08" w:rsidRDefault="00611F08" w:rsidP="005F35DD">
      <w:pPr>
        <w:jc w:val="both"/>
      </w:pPr>
      <w:r>
        <w:t xml:space="preserve">CYDA grounds our work in evidence and a human rights approach. There are a range of international instruments that establish normative standards and principles for the treatment of children and young people with disability, including: </w:t>
      </w:r>
    </w:p>
    <w:p w14:paraId="04A42EFE" w14:textId="77777777" w:rsidR="00611F08" w:rsidRDefault="00611F08" w:rsidP="005F35DD">
      <w:pPr>
        <w:pStyle w:val="ListParagraph"/>
        <w:numPr>
          <w:ilvl w:val="0"/>
          <w:numId w:val="25"/>
        </w:numPr>
        <w:jc w:val="both"/>
      </w:pPr>
      <w:r>
        <w:t>The United Nations Charter on the Rights of People with Disability (CRPD)</w:t>
      </w:r>
    </w:p>
    <w:p w14:paraId="29AB74E1" w14:textId="77777777" w:rsidR="00611F08" w:rsidRDefault="00611F08" w:rsidP="005F35DD">
      <w:pPr>
        <w:pStyle w:val="ListParagraph"/>
        <w:numPr>
          <w:ilvl w:val="0"/>
          <w:numId w:val="25"/>
        </w:numPr>
      </w:pPr>
      <w:r>
        <w:t xml:space="preserve">Convention on the Rights of the Child (CRC) </w:t>
      </w:r>
    </w:p>
    <w:p w14:paraId="31AFB4D4" w14:textId="77777777" w:rsidR="00611F08" w:rsidRDefault="00611F08" w:rsidP="005F35DD">
      <w:pPr>
        <w:pStyle w:val="ListParagraph"/>
        <w:numPr>
          <w:ilvl w:val="0"/>
          <w:numId w:val="25"/>
        </w:numPr>
        <w:jc w:val="both"/>
      </w:pPr>
      <w:r>
        <w:t>International Convention on the Elimination of All Forms of Racial Discrimination</w:t>
      </w:r>
    </w:p>
    <w:p w14:paraId="3CB901BB" w14:textId="77777777" w:rsidR="00611F08" w:rsidRDefault="00611F08" w:rsidP="005F35DD">
      <w:pPr>
        <w:pStyle w:val="ListParagraph"/>
        <w:numPr>
          <w:ilvl w:val="0"/>
          <w:numId w:val="25"/>
        </w:numPr>
        <w:jc w:val="both"/>
      </w:pPr>
      <w:r>
        <w:t>International Covenant on Civil and Political Rights</w:t>
      </w:r>
    </w:p>
    <w:p w14:paraId="20843F2C" w14:textId="77777777" w:rsidR="00611F08" w:rsidRDefault="00611F08" w:rsidP="005F35DD">
      <w:pPr>
        <w:pStyle w:val="ListParagraph"/>
        <w:numPr>
          <w:ilvl w:val="0"/>
          <w:numId w:val="25"/>
        </w:numPr>
        <w:jc w:val="both"/>
      </w:pPr>
      <w:r>
        <w:t>International Covenant on Economic, Social and Cultural Rights</w:t>
      </w:r>
    </w:p>
    <w:p w14:paraId="0C784577" w14:textId="77777777" w:rsidR="00611F08" w:rsidRDefault="00611F08" w:rsidP="005F35DD">
      <w:pPr>
        <w:pStyle w:val="ListParagraph"/>
        <w:numPr>
          <w:ilvl w:val="0"/>
          <w:numId w:val="25"/>
        </w:numPr>
        <w:jc w:val="both"/>
      </w:pPr>
      <w:r>
        <w:t>Declaration on the Rights of Indigenous Peoples</w:t>
      </w:r>
    </w:p>
    <w:p w14:paraId="3A8D54EF" w14:textId="6EBC6B5D" w:rsidR="00611F08" w:rsidRDefault="00611F08" w:rsidP="00FB1505">
      <w:r>
        <w:t>We recommend the following Guiding Principles for the strategy based on the above instruments and core values and principles of CYDA.</w:t>
      </w:r>
    </w:p>
    <w:p w14:paraId="54285FE2" w14:textId="12A48538" w:rsidR="00611F08" w:rsidRPr="00D8041C" w:rsidRDefault="00611F08" w:rsidP="00FB1505">
      <w:pPr>
        <w:rPr>
          <w:b/>
          <w:bCs/>
        </w:rPr>
      </w:pPr>
      <w:r w:rsidRPr="00D8041C">
        <w:rPr>
          <w:b/>
          <w:bCs/>
        </w:rPr>
        <w:t>Principle 1 - Child-centred</w:t>
      </w:r>
    </w:p>
    <w:p w14:paraId="1013C4C5" w14:textId="205988AD" w:rsidR="00611F08" w:rsidRDefault="00611F08" w:rsidP="00FB1505">
      <w:r>
        <w:t xml:space="preserve">Through adopting a child-centred principle, </w:t>
      </w:r>
      <w:r w:rsidR="00752BCD">
        <w:t>T</w:t>
      </w:r>
      <w:r>
        <w:t xml:space="preserve">he </w:t>
      </w:r>
      <w:r w:rsidR="00752BCD">
        <w:t>S</w:t>
      </w:r>
      <w:r>
        <w:t xml:space="preserve">trategy commits to have a </w:t>
      </w:r>
      <w:r w:rsidRPr="006523B6">
        <w:t>consistent focus on children and young people’s needs, including those with disability</w:t>
      </w:r>
      <w:r>
        <w:t xml:space="preserve">. The strategy would also </w:t>
      </w:r>
      <w:r w:rsidRPr="007F758F">
        <w:t>ensur</w:t>
      </w:r>
      <w:r>
        <w:t xml:space="preserve">e that </w:t>
      </w:r>
      <w:r w:rsidRPr="007F758F">
        <w:t xml:space="preserve">children and young people have ongoing and accessible opportunities to express their views on the </w:t>
      </w:r>
      <w:r>
        <w:t xml:space="preserve">progress, evaluation, and the outcomes of the Strategy. </w:t>
      </w:r>
    </w:p>
    <w:p w14:paraId="035FB293" w14:textId="30CC1931" w:rsidR="00611F08" w:rsidRPr="00D8041C" w:rsidRDefault="00611F08" w:rsidP="00FB1505">
      <w:pPr>
        <w:rPr>
          <w:b/>
          <w:bCs/>
        </w:rPr>
      </w:pPr>
      <w:r w:rsidRPr="00D8041C">
        <w:rPr>
          <w:b/>
          <w:bCs/>
        </w:rPr>
        <w:t xml:space="preserve">Principle 2 </w:t>
      </w:r>
      <w:r w:rsidR="00EB5CA4" w:rsidRPr="00D8041C">
        <w:rPr>
          <w:b/>
          <w:bCs/>
        </w:rPr>
        <w:t>–</w:t>
      </w:r>
      <w:r w:rsidRPr="00D8041C">
        <w:rPr>
          <w:b/>
          <w:bCs/>
        </w:rPr>
        <w:t xml:space="preserve"> Anti</w:t>
      </w:r>
      <w:r w:rsidR="00EB5CA4" w:rsidRPr="00D8041C">
        <w:rPr>
          <w:b/>
          <w:bCs/>
        </w:rPr>
        <w:t>-</w:t>
      </w:r>
      <w:r w:rsidRPr="00D8041C">
        <w:rPr>
          <w:b/>
          <w:bCs/>
        </w:rPr>
        <w:t>Ableism</w:t>
      </w:r>
    </w:p>
    <w:p w14:paraId="78E9ECD5" w14:textId="2C44381C" w:rsidR="00611F08" w:rsidRDefault="00611F08" w:rsidP="00DD6B98">
      <w:pPr>
        <w:spacing w:before="240" w:line="276" w:lineRule="auto"/>
        <w:ind w:right="95"/>
        <w:jc w:val="both"/>
      </w:pPr>
      <w:r>
        <w:t xml:space="preserve">Inherent ableism and societal beliefs undermining human rights and legislation. To mitigate this risk, </w:t>
      </w:r>
      <w:r w:rsidR="006A108C">
        <w:t>T</w:t>
      </w:r>
      <w:r>
        <w:t xml:space="preserve">he </w:t>
      </w:r>
      <w:r w:rsidR="006A108C">
        <w:t>S</w:t>
      </w:r>
      <w:r>
        <w:t xml:space="preserve">trategy needs to be built on an anti-ableist framework to </w:t>
      </w:r>
      <w:r w:rsidRPr="00794859">
        <w:t>create long-term community attitude change around ableism and promote understanding and respect for all people with disability, including children in early childhood education and care</w:t>
      </w:r>
      <w:r>
        <w:t>.</w:t>
      </w:r>
    </w:p>
    <w:p w14:paraId="00A4367B" w14:textId="7F45851A" w:rsidR="00611F08" w:rsidRPr="00D8041C" w:rsidRDefault="00611F08" w:rsidP="00C07095">
      <w:pPr>
        <w:rPr>
          <w:b/>
          <w:bCs/>
        </w:rPr>
      </w:pPr>
      <w:r w:rsidRPr="00D8041C">
        <w:rPr>
          <w:b/>
          <w:bCs/>
        </w:rPr>
        <w:t>Principle 3 - Co-design</w:t>
      </w:r>
    </w:p>
    <w:p w14:paraId="3124E044" w14:textId="1AE35383" w:rsidR="00611F08" w:rsidRDefault="00611F08" w:rsidP="00C07095">
      <w:r>
        <w:t>Develop and test indicators and measurement tools, such as surveys, with people with disability and representative organisations to highlight and prevent problematic framing and approaches</w:t>
      </w:r>
    </w:p>
    <w:p w14:paraId="187BB86C" w14:textId="3DF4ACBF" w:rsidR="00611F08" w:rsidRPr="00D8041C" w:rsidRDefault="00611F08" w:rsidP="00C07095">
      <w:pPr>
        <w:rPr>
          <w:b/>
          <w:bCs/>
        </w:rPr>
      </w:pPr>
      <w:r w:rsidRPr="00D8041C">
        <w:rPr>
          <w:b/>
          <w:bCs/>
        </w:rPr>
        <w:t>Principle 4 - Universal design</w:t>
      </w:r>
    </w:p>
    <w:p w14:paraId="31FF77C6" w14:textId="245CA298" w:rsidR="00611F08" w:rsidRDefault="00611F08" w:rsidP="00C07095">
      <w:r>
        <w:t xml:space="preserve">The strategy needs to incorporate universal design principles in </w:t>
      </w:r>
      <w:r w:rsidRPr="00284271">
        <w:t>designing, delivering, monitoring and evaluating its framework, action and policy priorities</w:t>
      </w:r>
      <w:r>
        <w:t>; so that it is fully inclusive and is</w:t>
      </w:r>
      <w:r w:rsidRPr="00284271">
        <w:t xml:space="preserve"> accessible, usable and meaningful to children and young people </w:t>
      </w:r>
      <w:r>
        <w:t xml:space="preserve">and their families </w:t>
      </w:r>
      <w:r w:rsidRPr="00284271">
        <w:t>across the broadest diversity ranges.</w:t>
      </w:r>
    </w:p>
    <w:p w14:paraId="3EE87016" w14:textId="739B505D" w:rsidR="00611F08" w:rsidRPr="00D8041C" w:rsidRDefault="00611F08" w:rsidP="00C07095">
      <w:pPr>
        <w:rPr>
          <w:b/>
          <w:bCs/>
        </w:rPr>
      </w:pPr>
      <w:r w:rsidRPr="00D8041C">
        <w:rPr>
          <w:b/>
          <w:bCs/>
        </w:rPr>
        <w:lastRenderedPageBreak/>
        <w:t xml:space="preserve">Principle 5 – Non-discrimination </w:t>
      </w:r>
    </w:p>
    <w:p w14:paraId="6A5F37DE" w14:textId="1EC68274" w:rsidR="00611F08" w:rsidRDefault="00611F08" w:rsidP="00C07095">
      <w:r>
        <w:t>The strategy will ensure that no</w:t>
      </w:r>
      <w:r w:rsidRPr="00C251E5">
        <w:t xml:space="preserve"> child or young person </w:t>
      </w:r>
      <w:r w:rsidR="009815B1">
        <w:t>shall</w:t>
      </w:r>
      <w:r>
        <w:t xml:space="preserve"> not be d</w:t>
      </w:r>
      <w:r w:rsidRPr="00C251E5">
        <w:t>iscriminate</w:t>
      </w:r>
      <w:r>
        <w:t>d</w:t>
      </w:r>
      <w:r w:rsidRPr="00C251E5">
        <w:t xml:space="preserve"> on the basis of age, gender, race, culture, disability, vulnerability or sexuality</w:t>
      </w:r>
      <w:r>
        <w:t xml:space="preserve">. </w:t>
      </w:r>
    </w:p>
    <w:p w14:paraId="46561F23" w14:textId="77777777" w:rsidR="00611F08" w:rsidRDefault="00611F08" w:rsidP="00FB1505"/>
    <w:p w14:paraId="2646EBF5" w14:textId="7ECB8E4C" w:rsidR="00611F08" w:rsidRPr="00AF04DE" w:rsidRDefault="00611F08" w:rsidP="005E224F">
      <w:pPr>
        <w:pStyle w:val="Heading2"/>
        <w:numPr>
          <w:ilvl w:val="0"/>
          <w:numId w:val="15"/>
        </w:numPr>
      </w:pPr>
      <w:bookmarkStart w:id="42" w:name="_Toc133675150"/>
      <w:r w:rsidRPr="00992253">
        <w:t>Evidence-based approach</w:t>
      </w:r>
      <w:bookmarkEnd w:id="42"/>
      <w:r>
        <w:t xml:space="preserve"> </w:t>
      </w:r>
    </w:p>
    <w:p w14:paraId="1520CA21" w14:textId="08D71EB9" w:rsidR="00611F08" w:rsidRPr="00AF04DE" w:rsidRDefault="00611F08" w:rsidP="0075321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611F08" w:rsidRPr="004B4AD8" w14:paraId="0C0C9735" w14:textId="77777777">
        <w:trPr>
          <w:trHeight w:val="1116"/>
        </w:trPr>
        <w:tc>
          <w:tcPr>
            <w:tcW w:w="9026" w:type="dxa"/>
            <w:shd w:val="clear" w:color="auto" w:fill="C5E0B3" w:themeFill="accent6" w:themeFillTint="66"/>
          </w:tcPr>
          <w:p w14:paraId="0CD42B8F" w14:textId="1E8D3C60" w:rsidR="00611F08" w:rsidRPr="004B4AD8" w:rsidRDefault="00611F08">
            <w:pPr>
              <w:spacing w:after="160"/>
              <w:rPr>
                <w:b/>
                <w:bCs/>
              </w:rPr>
            </w:pPr>
            <w:r w:rsidRPr="004B4AD8">
              <w:rPr>
                <w:b/>
                <w:bCs/>
              </w:rPr>
              <w:t>Recommendation</w:t>
            </w:r>
            <w:r w:rsidR="00EC4891">
              <w:rPr>
                <w:b/>
                <w:bCs/>
              </w:rPr>
              <w:t xml:space="preserve"> 7</w:t>
            </w:r>
            <w:r w:rsidR="002B10FA">
              <w:rPr>
                <w:b/>
                <w:bCs/>
              </w:rPr>
              <w:t xml:space="preserve">: The Strategy should address </w:t>
            </w:r>
            <w:r w:rsidR="00AC0219">
              <w:rPr>
                <w:b/>
                <w:bCs/>
              </w:rPr>
              <w:t xml:space="preserve">data and </w:t>
            </w:r>
            <w:r w:rsidR="00EC4891">
              <w:rPr>
                <w:b/>
                <w:bCs/>
              </w:rPr>
              <w:t>evidence gaps</w:t>
            </w:r>
          </w:p>
          <w:p w14:paraId="41AAB56A" w14:textId="48136ED6" w:rsidR="00F970DE" w:rsidRDefault="003333F3" w:rsidP="004D573E">
            <w:pPr>
              <w:pStyle w:val="ListParagraph"/>
              <w:numPr>
                <w:ilvl w:val="0"/>
                <w:numId w:val="19"/>
              </w:numPr>
            </w:pPr>
            <w:r>
              <w:t xml:space="preserve">Collect evidence directly from </w:t>
            </w:r>
            <w:r w:rsidR="00F27C4C">
              <w:t xml:space="preserve">families, </w:t>
            </w:r>
            <w:r>
              <w:t xml:space="preserve">children </w:t>
            </w:r>
            <w:r w:rsidR="0024498A">
              <w:t xml:space="preserve">and young people </w:t>
            </w:r>
            <w:r>
              <w:t xml:space="preserve">with disability </w:t>
            </w:r>
            <w:r w:rsidR="009F345D">
              <w:t xml:space="preserve">to inform the </w:t>
            </w:r>
            <w:r w:rsidR="00F970DE">
              <w:t xml:space="preserve">development of </w:t>
            </w:r>
            <w:r w:rsidR="00410AD1">
              <w:t>T</w:t>
            </w:r>
            <w:r w:rsidR="00F970DE">
              <w:t>he Strategy</w:t>
            </w:r>
            <w:r w:rsidR="006B31DB">
              <w:t>.</w:t>
            </w:r>
          </w:p>
          <w:p w14:paraId="757B08C6" w14:textId="2D89B365" w:rsidR="00611F08" w:rsidRPr="004B4AD8" w:rsidRDefault="004D573E" w:rsidP="004D573E">
            <w:pPr>
              <w:pStyle w:val="ListParagraph"/>
              <w:numPr>
                <w:ilvl w:val="0"/>
                <w:numId w:val="19"/>
              </w:numPr>
            </w:pPr>
            <w:r>
              <w:t>T</w:t>
            </w:r>
            <w:r w:rsidR="00957090" w:rsidRPr="00957090">
              <w:t>rack the pathways</w:t>
            </w:r>
            <w:r w:rsidR="00410AD1">
              <w:t xml:space="preserve"> and outcomes</w:t>
            </w:r>
            <w:r w:rsidR="00957090" w:rsidRPr="00957090">
              <w:t xml:space="preserve"> of children through different systems </w:t>
            </w:r>
            <w:r>
              <w:t xml:space="preserve">by </w:t>
            </w:r>
            <w:r w:rsidR="006F1552">
              <w:t xml:space="preserve">ensuring </w:t>
            </w:r>
            <w:r w:rsidR="00C225BD">
              <w:t xml:space="preserve">better </w:t>
            </w:r>
            <w:r w:rsidR="006F1552">
              <w:t>data</w:t>
            </w:r>
            <w:r w:rsidRPr="00957090">
              <w:t xml:space="preserve"> linkage</w:t>
            </w:r>
            <w:r w:rsidR="00C225BD">
              <w:t xml:space="preserve"> and </w:t>
            </w:r>
            <w:r w:rsidRPr="00957090">
              <w:t>the joining of data sets</w:t>
            </w:r>
            <w:r w:rsidR="00A04BE7">
              <w:t xml:space="preserve"> </w:t>
            </w:r>
          </w:p>
        </w:tc>
      </w:tr>
    </w:tbl>
    <w:p w14:paraId="5A1188B8" w14:textId="77777777" w:rsidR="00611F08" w:rsidRDefault="00611F08" w:rsidP="00753219"/>
    <w:p w14:paraId="44C826BD" w14:textId="4402F1EB" w:rsidR="008F464F" w:rsidRDefault="00B131E9" w:rsidP="008F464F">
      <w:pPr>
        <w:spacing w:before="0" w:line="259" w:lineRule="auto"/>
      </w:pPr>
      <w:r>
        <w:rPr>
          <w:b/>
          <w:bCs/>
        </w:rPr>
        <w:t>4.1</w:t>
      </w:r>
      <w:r>
        <w:rPr>
          <w:b/>
          <w:bCs/>
        </w:rPr>
        <w:tab/>
      </w:r>
      <w:r w:rsidR="00A937E5">
        <w:rPr>
          <w:b/>
          <w:bCs/>
        </w:rPr>
        <w:t>Gaps in evidence and research</w:t>
      </w:r>
      <w:r w:rsidR="00E35A84">
        <w:t xml:space="preserve"> - </w:t>
      </w:r>
      <w:r w:rsidR="008F464F">
        <w:t>Children Voices should be</w:t>
      </w:r>
      <w:r w:rsidR="00C8164B">
        <w:t xml:space="preserve"> </w:t>
      </w:r>
      <w:r w:rsidR="008F464F">
        <w:t>heard</w:t>
      </w:r>
    </w:p>
    <w:p w14:paraId="667B1D66" w14:textId="796247A8" w:rsidR="00611F08" w:rsidRDefault="0070209C" w:rsidP="00541C48">
      <w:pPr>
        <w:spacing w:before="0" w:line="259" w:lineRule="auto"/>
      </w:pPr>
      <w:r>
        <w:t xml:space="preserve">Despite </w:t>
      </w:r>
      <w:r w:rsidR="003C3FCE">
        <w:t xml:space="preserve">The Strategy </w:t>
      </w:r>
      <w:r w:rsidR="00A309E0">
        <w:t>D</w:t>
      </w:r>
      <w:r w:rsidR="003C3FCE">
        <w:t xml:space="preserve">iscussion </w:t>
      </w:r>
      <w:r w:rsidR="00A309E0">
        <w:t>P</w:t>
      </w:r>
      <w:r w:rsidR="003C3FCE">
        <w:t>aper</w:t>
      </w:r>
      <w:r>
        <w:t xml:space="preserve">’s reference to the prevalence of </w:t>
      </w:r>
      <w:r w:rsidR="0053210A" w:rsidRPr="0053210A">
        <w:t>rich sources of data about children and families that can be used to guide the priorities and performance of the Strategy</w:t>
      </w:r>
      <w:r w:rsidR="00341B99">
        <w:rPr>
          <w:rStyle w:val="FootnoteReference"/>
        </w:rPr>
        <w:footnoteReference w:id="42"/>
      </w:r>
      <w:r w:rsidR="00C82CD9">
        <w:t xml:space="preserve">, we </w:t>
      </w:r>
      <w:r w:rsidR="00701CB6">
        <w:t>draw attention to</w:t>
      </w:r>
      <w:r w:rsidR="00C708B6">
        <w:t xml:space="preserve"> AIHW</w:t>
      </w:r>
      <w:r w:rsidR="00556A37">
        <w:t xml:space="preserve">’s report on Australia’s children, that there </w:t>
      </w:r>
      <w:r w:rsidR="00DF0B33">
        <w:t>are few examples</w:t>
      </w:r>
      <w:r w:rsidR="00A60751">
        <w:t xml:space="preserve"> </w:t>
      </w:r>
      <w:r w:rsidR="00FB0516" w:rsidRPr="00FB0516">
        <w:t>where children’s opinions or experiences are collected</w:t>
      </w:r>
      <w:r w:rsidR="00DF0B33">
        <w:t xml:space="preserve"> as evidence</w:t>
      </w:r>
      <w:r w:rsidR="0034655B">
        <w:rPr>
          <w:rStyle w:val="FootnoteReference"/>
        </w:rPr>
        <w:footnoteReference w:id="43"/>
      </w:r>
      <w:r w:rsidR="00FB0516" w:rsidRPr="00FB0516">
        <w:t>.</w:t>
      </w:r>
      <w:r w:rsidR="00880489">
        <w:t xml:space="preserve"> Whilst </w:t>
      </w:r>
      <w:r w:rsidR="00750B43">
        <w:t xml:space="preserve">population-level monitoring </w:t>
      </w:r>
      <w:r w:rsidR="00880489">
        <w:t xml:space="preserve">occurs </w:t>
      </w:r>
      <w:r w:rsidR="00E70617">
        <w:t xml:space="preserve">at a national level, </w:t>
      </w:r>
      <w:r w:rsidR="00AA261C">
        <w:t>this is</w:t>
      </w:r>
      <w:r w:rsidR="00E70617">
        <w:t xml:space="preserve"> </w:t>
      </w:r>
      <w:r w:rsidR="00750B43">
        <w:t>administrative (information collected as part of service delivery)</w:t>
      </w:r>
      <w:r w:rsidR="00E70617">
        <w:t xml:space="preserve"> and from </w:t>
      </w:r>
      <w:r w:rsidR="00750B43">
        <w:t>surveys administered to adults.</w:t>
      </w:r>
      <w:r w:rsidR="00541C48">
        <w:t xml:space="preserve"> Further, </w:t>
      </w:r>
      <w:r w:rsidR="00B53A03" w:rsidRPr="00B53A03">
        <w:t>“</w:t>
      </w:r>
      <w:r w:rsidR="008C4F48">
        <w:t>t</w:t>
      </w:r>
      <w:r w:rsidR="00B53A03" w:rsidRPr="00B53A03">
        <w:t>here are currently no national indicators to measure how children transition through major development stages, or how children interact with services and move through different systems…</w:t>
      </w:r>
      <w:r w:rsidR="004429BE">
        <w:t>[</w:t>
      </w:r>
      <w:r w:rsidR="00B53A03" w:rsidRPr="00B53A03">
        <w:t>and</w:t>
      </w:r>
      <w:r w:rsidR="004429BE">
        <w:t>]</w:t>
      </w:r>
      <w:r w:rsidR="00B53A03" w:rsidRPr="00B53A03">
        <w:t xml:space="preserve"> … there is limited ability to track children through different data sources to assess their outcomes”.</w:t>
      </w:r>
      <w:r w:rsidR="00FB0838">
        <w:rPr>
          <w:rStyle w:val="FootnoteReference"/>
        </w:rPr>
        <w:footnoteReference w:id="44"/>
      </w:r>
    </w:p>
    <w:p w14:paraId="0767B7FD" w14:textId="3179163D" w:rsidR="002C4D24" w:rsidRPr="00942600" w:rsidRDefault="00B131E9" w:rsidP="00F31C25">
      <w:pPr>
        <w:spacing w:before="0" w:line="259" w:lineRule="auto"/>
        <w:ind w:left="720" w:hanging="720"/>
      </w:pPr>
      <w:r>
        <w:rPr>
          <w:b/>
          <w:bCs/>
        </w:rPr>
        <w:t>4.2</w:t>
      </w:r>
      <w:r>
        <w:rPr>
          <w:b/>
          <w:bCs/>
        </w:rPr>
        <w:tab/>
      </w:r>
      <w:r w:rsidR="002C4D24" w:rsidRPr="002C4D24">
        <w:rPr>
          <w:b/>
          <w:bCs/>
        </w:rPr>
        <w:t>Gaps in existing frameworks</w:t>
      </w:r>
      <w:r w:rsidR="00573FC5">
        <w:rPr>
          <w:b/>
          <w:bCs/>
        </w:rPr>
        <w:t xml:space="preserve">: </w:t>
      </w:r>
      <w:r w:rsidR="00402716">
        <w:rPr>
          <w:b/>
          <w:bCs/>
        </w:rPr>
        <w:t>Ina</w:t>
      </w:r>
      <w:r w:rsidR="00573FC5">
        <w:rPr>
          <w:b/>
          <w:bCs/>
        </w:rPr>
        <w:t xml:space="preserve">dequacy of </w:t>
      </w:r>
      <w:r w:rsidR="00402716">
        <w:rPr>
          <w:b/>
          <w:bCs/>
        </w:rPr>
        <w:t>r</w:t>
      </w:r>
      <w:r w:rsidR="00942600" w:rsidRPr="00573FC5">
        <w:rPr>
          <w:b/>
          <w:bCs/>
        </w:rPr>
        <w:t>esources to achieve child well-being</w:t>
      </w:r>
    </w:p>
    <w:p w14:paraId="1981E533" w14:textId="77777777" w:rsidR="00832588" w:rsidRDefault="00000000" w:rsidP="00F05973">
      <w:pPr>
        <w:spacing w:before="0" w:line="259" w:lineRule="auto"/>
        <w:rPr>
          <w:rFonts w:cs="Arial"/>
          <w:color w:val="000000" w:themeColor="text1"/>
        </w:rPr>
      </w:pPr>
      <w:hyperlink r:id="rId50" w:history="1">
        <w:r w:rsidR="00832588" w:rsidRPr="00613EA6">
          <w:rPr>
            <w:rStyle w:val="Hyperlink"/>
            <w:rFonts w:cs="Arial"/>
          </w:rPr>
          <w:t>The Nest</w:t>
        </w:r>
      </w:hyperlink>
      <w:r w:rsidR="00832588" w:rsidRPr="00645D63">
        <w:rPr>
          <w:rFonts w:cs="Arial"/>
          <w:color w:val="000000" w:themeColor="text1"/>
        </w:rPr>
        <w:t xml:space="preserve"> is </w:t>
      </w:r>
      <w:r w:rsidR="00832588" w:rsidRPr="005A34DE">
        <w:rPr>
          <w:rFonts w:cs="Arial"/>
          <w:color w:val="000000" w:themeColor="text1"/>
        </w:rPr>
        <w:t>Australian Research Alliance for Children and Youth</w:t>
      </w:r>
      <w:r w:rsidR="00832588">
        <w:rPr>
          <w:rFonts w:cs="Arial"/>
          <w:color w:val="000000" w:themeColor="text1"/>
        </w:rPr>
        <w:t>’s (</w:t>
      </w:r>
      <w:r w:rsidR="00832588" w:rsidRPr="00645D63">
        <w:rPr>
          <w:rFonts w:cs="Arial"/>
          <w:color w:val="000000" w:themeColor="text1"/>
        </w:rPr>
        <w:t>ARACY</w:t>
      </w:r>
      <w:r w:rsidR="00832588">
        <w:rPr>
          <w:rFonts w:cs="Arial"/>
          <w:color w:val="000000" w:themeColor="text1"/>
        </w:rPr>
        <w:t>)</w:t>
      </w:r>
      <w:r w:rsidR="00832588" w:rsidRPr="00645D63">
        <w:rPr>
          <w:rFonts w:cs="Arial"/>
          <w:color w:val="000000" w:themeColor="text1"/>
        </w:rPr>
        <w:t xml:space="preserve"> wellbeing framework for children </w:t>
      </w:r>
      <w:r w:rsidR="00832588">
        <w:rPr>
          <w:rFonts w:cs="Arial"/>
          <w:color w:val="000000" w:themeColor="text1"/>
        </w:rPr>
        <w:t xml:space="preserve">and </w:t>
      </w:r>
      <w:r w:rsidR="00832588" w:rsidRPr="00645D63">
        <w:rPr>
          <w:rFonts w:cs="Arial"/>
          <w:color w:val="000000" w:themeColor="text1"/>
        </w:rPr>
        <w:t>conceptualises wellbeing as six interconnected domains that support each other to help children reach their potential. To have optimal wellbeing, a child needs to be adequately resourced in all six domains.</w:t>
      </w:r>
    </w:p>
    <w:p w14:paraId="630BF56A" w14:textId="3C29D7FF" w:rsidR="00F05973" w:rsidRDefault="00832588" w:rsidP="00F05973">
      <w:pPr>
        <w:spacing w:before="0" w:line="259" w:lineRule="auto"/>
        <w:rPr>
          <w:rFonts w:cs="Arial"/>
          <w:color w:val="000000" w:themeColor="text1"/>
        </w:rPr>
      </w:pPr>
      <w:r>
        <w:rPr>
          <w:rFonts w:cs="Arial"/>
          <w:color w:val="000000" w:themeColor="text1"/>
        </w:rPr>
        <w:t>Below we have included (available) key data across the six domains of the Nest</w:t>
      </w:r>
      <w:r w:rsidR="00322DDF">
        <w:rPr>
          <w:rFonts w:cs="Arial"/>
          <w:color w:val="000000" w:themeColor="text1"/>
        </w:rPr>
        <w:t xml:space="preserve">, </w:t>
      </w:r>
      <w:r w:rsidR="00BB1EBF">
        <w:rPr>
          <w:rFonts w:cs="Arial"/>
          <w:color w:val="000000" w:themeColor="text1"/>
        </w:rPr>
        <w:t>highlightin</w:t>
      </w:r>
      <w:r w:rsidR="00801944">
        <w:rPr>
          <w:rFonts w:cs="Arial"/>
          <w:color w:val="000000" w:themeColor="text1"/>
        </w:rPr>
        <w:t>g</w:t>
      </w:r>
      <w:r w:rsidR="00322DDF">
        <w:rPr>
          <w:rFonts w:cs="Arial"/>
          <w:color w:val="000000" w:themeColor="text1"/>
        </w:rPr>
        <w:t xml:space="preserve"> the </w:t>
      </w:r>
      <w:r w:rsidR="00801944">
        <w:rPr>
          <w:rFonts w:cs="Arial"/>
          <w:color w:val="000000" w:themeColor="text1"/>
        </w:rPr>
        <w:t xml:space="preserve">evidence </w:t>
      </w:r>
      <w:r w:rsidR="00322DDF">
        <w:rPr>
          <w:rFonts w:cs="Arial"/>
          <w:color w:val="000000" w:themeColor="text1"/>
        </w:rPr>
        <w:t xml:space="preserve">gap between outcomes </w:t>
      </w:r>
      <w:r w:rsidR="00A66605">
        <w:rPr>
          <w:rFonts w:cs="Arial"/>
          <w:color w:val="000000" w:themeColor="text1"/>
        </w:rPr>
        <w:t>for children with disability against each domain.</w:t>
      </w:r>
      <w:r w:rsidR="00710BD5">
        <w:rPr>
          <w:rFonts w:cs="Arial"/>
          <w:color w:val="000000" w:themeColor="text1"/>
        </w:rPr>
        <w:t xml:space="preserve"> </w:t>
      </w:r>
    </w:p>
    <w:p w14:paraId="2C502E8D" w14:textId="77777777" w:rsidR="00F05973" w:rsidRDefault="00F05973">
      <w:pPr>
        <w:spacing w:before="0" w:line="259" w:lineRule="auto"/>
        <w:rPr>
          <w:rFonts w:cs="Arial"/>
          <w:color w:val="000000" w:themeColor="text1"/>
        </w:rPr>
      </w:pPr>
      <w:r>
        <w:rPr>
          <w:rFonts w:cs="Arial"/>
          <w:color w:val="000000" w:themeColor="text1"/>
        </w:rPr>
        <w:br w:type="page"/>
      </w:r>
    </w:p>
    <w:p w14:paraId="2BE2F04F" w14:textId="77777777" w:rsidR="00F37126" w:rsidRDefault="00F37126" w:rsidP="00F05973">
      <w:pPr>
        <w:spacing w:before="0" w:line="259" w:lineRule="auto"/>
        <w:rPr>
          <w:rFonts w:cs="Arial"/>
          <w:color w:val="000000" w:themeColor="text1"/>
        </w:rPr>
      </w:pPr>
    </w:p>
    <w:p w14:paraId="3F3E1526" w14:textId="570E84DD" w:rsidR="00832588" w:rsidRPr="00D8041C" w:rsidRDefault="00832588" w:rsidP="00A66605">
      <w:pPr>
        <w:pStyle w:val="ListParagraph"/>
        <w:numPr>
          <w:ilvl w:val="0"/>
          <w:numId w:val="46"/>
        </w:numPr>
        <w:spacing w:before="0" w:line="259" w:lineRule="auto"/>
        <w:jc w:val="both"/>
        <w:rPr>
          <w:b/>
          <w:bCs/>
        </w:rPr>
      </w:pPr>
      <w:r w:rsidRPr="00D8041C">
        <w:rPr>
          <w:b/>
          <w:bCs/>
        </w:rPr>
        <w:t xml:space="preserve">Valued, loved, and safe </w:t>
      </w:r>
    </w:p>
    <w:p w14:paraId="4BBE16FD" w14:textId="77777777" w:rsidR="00832588" w:rsidRDefault="00832588" w:rsidP="00832588">
      <w:pPr>
        <w:spacing w:line="276" w:lineRule="auto"/>
        <w:jc w:val="both"/>
        <w:rPr>
          <w:lang w:eastAsia="en-AU"/>
        </w:rPr>
      </w:pPr>
      <w:r>
        <w:rPr>
          <w:lang w:eastAsia="en-AU"/>
        </w:rPr>
        <w:t>Compared to their peers, children with disability are</w:t>
      </w:r>
      <w:r>
        <w:rPr>
          <w:rStyle w:val="FootnoteReference"/>
          <w:rFonts w:eastAsia="Times New Roman" w:cs="Arial"/>
          <w:lang w:eastAsia="en-AU"/>
        </w:rPr>
        <w:footnoteReference w:id="45"/>
      </w:r>
      <w:r>
        <w:rPr>
          <w:lang w:eastAsia="en-AU"/>
        </w:rPr>
        <w:t>:</w:t>
      </w:r>
    </w:p>
    <w:p w14:paraId="5684CCFD" w14:textId="77777777" w:rsidR="00832588" w:rsidRDefault="00832588" w:rsidP="00832588">
      <w:pPr>
        <w:pStyle w:val="ListParagraph"/>
        <w:numPr>
          <w:ilvl w:val="0"/>
          <w:numId w:val="33"/>
        </w:numPr>
        <w:spacing w:line="276" w:lineRule="auto"/>
        <w:jc w:val="both"/>
        <w:rPr>
          <w:lang w:eastAsia="en-AU"/>
        </w:rPr>
      </w:pPr>
      <w:r>
        <w:rPr>
          <w:lang w:eastAsia="en-AU"/>
        </w:rPr>
        <w:t>at more than three times higher risk of physical violence</w:t>
      </w:r>
    </w:p>
    <w:p w14:paraId="3FB8E106" w14:textId="77777777" w:rsidR="00832588" w:rsidRDefault="00832588" w:rsidP="00832588">
      <w:pPr>
        <w:pStyle w:val="ListParagraph"/>
        <w:numPr>
          <w:ilvl w:val="0"/>
          <w:numId w:val="33"/>
        </w:numPr>
        <w:spacing w:line="276" w:lineRule="auto"/>
        <w:jc w:val="both"/>
        <w:rPr>
          <w:lang w:eastAsia="en-AU"/>
        </w:rPr>
      </w:pPr>
      <w:r>
        <w:rPr>
          <w:lang w:eastAsia="en-AU"/>
        </w:rPr>
        <w:t>at nearly three times higher risk for sexual violence</w:t>
      </w:r>
    </w:p>
    <w:p w14:paraId="329D7839" w14:textId="77777777" w:rsidR="00832588" w:rsidRDefault="00832588" w:rsidP="00832588">
      <w:pPr>
        <w:pStyle w:val="ListParagraph"/>
        <w:numPr>
          <w:ilvl w:val="0"/>
          <w:numId w:val="33"/>
        </w:numPr>
        <w:spacing w:line="276" w:lineRule="auto"/>
        <w:jc w:val="both"/>
        <w:rPr>
          <w:lang w:eastAsia="en-AU"/>
        </w:rPr>
      </w:pPr>
      <w:r>
        <w:rPr>
          <w:lang w:eastAsia="en-AU"/>
        </w:rPr>
        <w:t>over four times higher risk for emotional abuse and neglect.</w:t>
      </w:r>
    </w:p>
    <w:p w14:paraId="711F3D8F" w14:textId="77777777" w:rsidR="00743287" w:rsidRDefault="00743287" w:rsidP="00743287">
      <w:pPr>
        <w:pStyle w:val="ListParagraph"/>
        <w:spacing w:line="276" w:lineRule="auto"/>
        <w:jc w:val="both"/>
        <w:rPr>
          <w:lang w:eastAsia="en-AU"/>
        </w:rPr>
      </w:pPr>
    </w:p>
    <w:p w14:paraId="5E1A02C3" w14:textId="77777777" w:rsidR="00832588" w:rsidRPr="00D8041C" w:rsidRDefault="00832588" w:rsidP="00A66605">
      <w:pPr>
        <w:pStyle w:val="ListParagraph"/>
        <w:numPr>
          <w:ilvl w:val="0"/>
          <w:numId w:val="46"/>
        </w:numPr>
        <w:rPr>
          <w:b/>
          <w:bCs/>
        </w:rPr>
      </w:pPr>
      <w:r w:rsidRPr="00D8041C">
        <w:rPr>
          <w:b/>
          <w:bCs/>
        </w:rPr>
        <w:t>Material basics</w:t>
      </w:r>
    </w:p>
    <w:p w14:paraId="26E8EDCD" w14:textId="77777777" w:rsidR="00832588" w:rsidRDefault="00832588" w:rsidP="00372D5B">
      <w:r>
        <w:t>Poverty</w:t>
      </w:r>
    </w:p>
    <w:p w14:paraId="50F787B8" w14:textId="77777777" w:rsidR="00832588" w:rsidRDefault="00832588" w:rsidP="00832588">
      <w:pPr>
        <w:pStyle w:val="ListParagraph"/>
        <w:numPr>
          <w:ilvl w:val="0"/>
          <w:numId w:val="22"/>
        </w:numPr>
        <w:spacing w:before="0" w:line="256" w:lineRule="auto"/>
        <w:jc w:val="both"/>
      </w:pPr>
      <w:r w:rsidRPr="00E515A5">
        <w:t>16% of all children were living in poverty in 2019-20</w:t>
      </w:r>
      <w:r>
        <w:rPr>
          <w:rStyle w:val="FootnoteReference"/>
        </w:rPr>
        <w:footnoteReference w:id="46"/>
      </w:r>
      <w:r w:rsidRPr="00E515A5">
        <w:t xml:space="preserve"> </w:t>
      </w:r>
    </w:p>
    <w:p w14:paraId="431E8B2A" w14:textId="77777777" w:rsidR="00832588" w:rsidRDefault="00832588" w:rsidP="00832588">
      <w:pPr>
        <w:pStyle w:val="ListParagraph"/>
        <w:numPr>
          <w:ilvl w:val="0"/>
          <w:numId w:val="22"/>
        </w:numPr>
        <w:spacing w:before="0" w:line="256" w:lineRule="auto"/>
        <w:jc w:val="both"/>
      </w:pPr>
      <w:r w:rsidRPr="00545EA8">
        <w:t>one-parent families with a child with disability are more likely (44%) to have a low weekly equivalised family income</w:t>
      </w:r>
      <w:r>
        <w:rPr>
          <w:rStyle w:val="FootnoteReference"/>
        </w:rPr>
        <w:footnoteReference w:id="47"/>
      </w:r>
    </w:p>
    <w:p w14:paraId="05CDA4A0" w14:textId="77777777" w:rsidR="00832588" w:rsidRDefault="00832588" w:rsidP="00372D5B">
      <w:r>
        <w:t>Geography</w:t>
      </w:r>
    </w:p>
    <w:p w14:paraId="3D3143D9" w14:textId="77777777" w:rsidR="00832588" w:rsidRDefault="00832588" w:rsidP="00832588">
      <w:pPr>
        <w:pStyle w:val="ListParagraph"/>
        <w:numPr>
          <w:ilvl w:val="0"/>
          <w:numId w:val="22"/>
        </w:numPr>
        <w:spacing w:before="0" w:line="256" w:lineRule="auto"/>
        <w:jc w:val="both"/>
      </w:pPr>
      <w:r w:rsidRPr="004063CC">
        <w:t xml:space="preserve">Children in inner regional areas were more likely to have </w:t>
      </w:r>
      <w:r>
        <w:t xml:space="preserve">a </w:t>
      </w:r>
      <w:r w:rsidRPr="004063CC">
        <w:t>disability than children in major cities (10.4% or 80,400 compared with 7.0% or 239,700)</w:t>
      </w:r>
      <w:r>
        <w:t xml:space="preserve">. 8.3% of children in outer regional and remote areas were reported as having a disability. </w:t>
      </w:r>
    </w:p>
    <w:p w14:paraId="2604BEBD" w14:textId="77777777" w:rsidR="00832588" w:rsidRDefault="00832588" w:rsidP="00372D5B">
      <w:r>
        <w:t>Housing</w:t>
      </w:r>
    </w:p>
    <w:p w14:paraId="1F162983" w14:textId="77777777" w:rsidR="00832588" w:rsidRDefault="00832588" w:rsidP="00832588">
      <w:pPr>
        <w:pStyle w:val="ListParagraph"/>
        <w:numPr>
          <w:ilvl w:val="0"/>
          <w:numId w:val="33"/>
        </w:numPr>
        <w:spacing w:line="276" w:lineRule="auto"/>
        <w:jc w:val="both"/>
        <w:rPr>
          <w:rFonts w:cs="Arial"/>
        </w:rPr>
      </w:pPr>
      <w:r>
        <w:rPr>
          <w:rFonts w:cs="Arial"/>
        </w:rPr>
        <w:t>The percentage of dependent children with disability aged 0-14 years by tenure type:</w:t>
      </w:r>
      <w:r>
        <w:rPr>
          <w:rStyle w:val="FootnoteReference"/>
          <w:rFonts w:cs="Arial"/>
        </w:rPr>
        <w:footnoteReference w:id="48"/>
      </w:r>
      <w:r>
        <w:rPr>
          <w:rFonts w:cs="Arial"/>
        </w:rPr>
        <w:t xml:space="preserve"> </w:t>
      </w:r>
    </w:p>
    <w:p w14:paraId="304339B1" w14:textId="77777777" w:rsidR="00832588" w:rsidRPr="00F67537" w:rsidRDefault="00832588" w:rsidP="00832588">
      <w:pPr>
        <w:pStyle w:val="ListParagraph"/>
        <w:numPr>
          <w:ilvl w:val="1"/>
          <w:numId w:val="33"/>
        </w:numPr>
        <w:spacing w:line="276" w:lineRule="auto"/>
        <w:jc w:val="both"/>
        <w:rPr>
          <w:rFonts w:cs="Arial"/>
        </w:rPr>
      </w:pPr>
      <w:r w:rsidRPr="00F67537">
        <w:rPr>
          <w:rFonts w:cs="Arial"/>
        </w:rPr>
        <w:t>Owner</w:t>
      </w:r>
      <w:r>
        <w:rPr>
          <w:rFonts w:cs="Arial"/>
        </w:rPr>
        <w:t xml:space="preserve"> 54.5%</w:t>
      </w:r>
    </w:p>
    <w:p w14:paraId="1E09107F" w14:textId="77777777" w:rsidR="00832588" w:rsidRPr="00F67537" w:rsidRDefault="00832588" w:rsidP="00832588">
      <w:pPr>
        <w:pStyle w:val="ListParagraph"/>
        <w:numPr>
          <w:ilvl w:val="1"/>
          <w:numId w:val="33"/>
        </w:numPr>
        <w:spacing w:line="276" w:lineRule="auto"/>
        <w:jc w:val="both"/>
        <w:rPr>
          <w:rFonts w:cs="Arial"/>
        </w:rPr>
      </w:pPr>
      <w:r w:rsidRPr="00F67537">
        <w:rPr>
          <w:rFonts w:cs="Arial"/>
        </w:rPr>
        <w:t>Renter</w:t>
      </w:r>
      <w:r>
        <w:rPr>
          <w:rFonts w:cs="Arial"/>
        </w:rPr>
        <w:t xml:space="preserve"> 42.3%</w:t>
      </w:r>
    </w:p>
    <w:p w14:paraId="5CCA9FC4" w14:textId="77777777" w:rsidR="00832588" w:rsidRPr="00F67537" w:rsidRDefault="00832588" w:rsidP="00832588">
      <w:pPr>
        <w:pStyle w:val="ListParagraph"/>
        <w:numPr>
          <w:ilvl w:val="1"/>
          <w:numId w:val="33"/>
        </w:numPr>
        <w:spacing w:line="276" w:lineRule="auto"/>
        <w:jc w:val="both"/>
        <w:rPr>
          <w:rFonts w:cs="Arial"/>
        </w:rPr>
      </w:pPr>
      <w:r w:rsidRPr="00F67537">
        <w:rPr>
          <w:rFonts w:cs="Arial"/>
        </w:rPr>
        <w:t>Rent-free</w:t>
      </w:r>
      <w:r>
        <w:rPr>
          <w:rFonts w:cs="Arial"/>
        </w:rPr>
        <w:t xml:space="preserve"> 2%</w:t>
      </w:r>
    </w:p>
    <w:p w14:paraId="646014EB" w14:textId="77777777" w:rsidR="00832588" w:rsidRDefault="00832588" w:rsidP="00832588">
      <w:pPr>
        <w:pStyle w:val="ListParagraph"/>
        <w:numPr>
          <w:ilvl w:val="1"/>
          <w:numId w:val="33"/>
        </w:numPr>
        <w:spacing w:line="276" w:lineRule="auto"/>
        <w:jc w:val="both"/>
        <w:rPr>
          <w:rFonts w:cs="Arial"/>
        </w:rPr>
      </w:pPr>
      <w:r w:rsidRPr="00F67537">
        <w:rPr>
          <w:rFonts w:cs="Arial"/>
        </w:rPr>
        <w:t>Other tenure type</w:t>
      </w:r>
      <w:r>
        <w:rPr>
          <w:rFonts w:cs="Arial"/>
        </w:rPr>
        <w:t xml:space="preserve"> 0.5%</w:t>
      </w:r>
    </w:p>
    <w:p w14:paraId="550F58BB" w14:textId="77777777" w:rsidR="00832588" w:rsidRDefault="00832588" w:rsidP="00832588">
      <w:pPr>
        <w:pStyle w:val="ListParagraph"/>
        <w:numPr>
          <w:ilvl w:val="0"/>
          <w:numId w:val="33"/>
        </w:numPr>
        <w:spacing w:line="276" w:lineRule="auto"/>
        <w:jc w:val="both"/>
        <w:rPr>
          <w:rFonts w:cs="Arial"/>
        </w:rPr>
      </w:pPr>
      <w:r w:rsidRPr="0090782E">
        <w:rPr>
          <w:rFonts w:cs="Arial"/>
        </w:rPr>
        <w:t>Of people</w:t>
      </w:r>
      <w:r>
        <w:rPr>
          <w:rFonts w:cs="Arial"/>
        </w:rPr>
        <w:t xml:space="preserve"> with disability accessing specialist homelessness services:</w:t>
      </w:r>
      <w:r>
        <w:rPr>
          <w:rStyle w:val="FootnoteReference"/>
          <w:rFonts w:cs="Arial"/>
        </w:rPr>
        <w:footnoteReference w:id="49"/>
      </w:r>
      <w:r>
        <w:rPr>
          <w:rFonts w:cs="Arial"/>
        </w:rPr>
        <w:t xml:space="preserve"> </w:t>
      </w:r>
    </w:p>
    <w:p w14:paraId="48CBE436" w14:textId="77777777" w:rsidR="00832588" w:rsidRDefault="00832588" w:rsidP="00832588">
      <w:pPr>
        <w:pStyle w:val="ListParagraph"/>
        <w:numPr>
          <w:ilvl w:val="1"/>
          <w:numId w:val="33"/>
        </w:numPr>
        <w:spacing w:line="276" w:lineRule="auto"/>
        <w:jc w:val="both"/>
        <w:rPr>
          <w:rFonts w:cs="Arial"/>
        </w:rPr>
      </w:pPr>
      <w:r>
        <w:rPr>
          <w:rFonts w:cs="Arial"/>
        </w:rPr>
        <w:t>9% are under 9 years old</w:t>
      </w:r>
    </w:p>
    <w:p w14:paraId="50FEC322" w14:textId="77777777" w:rsidR="00832588" w:rsidRDefault="00832588" w:rsidP="00832588">
      <w:pPr>
        <w:pStyle w:val="ListParagraph"/>
        <w:numPr>
          <w:ilvl w:val="1"/>
          <w:numId w:val="33"/>
        </w:numPr>
        <w:spacing w:line="276" w:lineRule="auto"/>
        <w:jc w:val="both"/>
        <w:rPr>
          <w:rFonts w:cs="Arial"/>
        </w:rPr>
      </w:pPr>
      <w:r>
        <w:rPr>
          <w:rFonts w:cs="Arial"/>
        </w:rPr>
        <w:t>2.6% 10-14 years</w:t>
      </w:r>
    </w:p>
    <w:p w14:paraId="5890CF2F" w14:textId="77777777" w:rsidR="00832588" w:rsidRDefault="00832588" w:rsidP="00832588">
      <w:pPr>
        <w:pStyle w:val="ListParagraph"/>
        <w:numPr>
          <w:ilvl w:val="1"/>
          <w:numId w:val="33"/>
        </w:numPr>
        <w:spacing w:line="276" w:lineRule="auto"/>
        <w:jc w:val="both"/>
        <w:rPr>
          <w:rFonts w:cs="Arial"/>
        </w:rPr>
      </w:pPr>
      <w:r>
        <w:rPr>
          <w:rFonts w:cs="Arial"/>
        </w:rPr>
        <w:t>3.2% 15-17 years</w:t>
      </w:r>
    </w:p>
    <w:p w14:paraId="46692420" w14:textId="77777777" w:rsidR="00832588" w:rsidRDefault="00832588" w:rsidP="00832588">
      <w:pPr>
        <w:pStyle w:val="ListParagraph"/>
        <w:numPr>
          <w:ilvl w:val="1"/>
          <w:numId w:val="33"/>
        </w:numPr>
        <w:spacing w:line="276" w:lineRule="auto"/>
        <w:jc w:val="both"/>
        <w:rPr>
          <w:rFonts w:cs="Arial"/>
        </w:rPr>
      </w:pPr>
      <w:r>
        <w:rPr>
          <w:rFonts w:cs="Arial"/>
        </w:rPr>
        <w:t xml:space="preserve">10.1% 18-24 years </w:t>
      </w:r>
    </w:p>
    <w:p w14:paraId="4A9BC899" w14:textId="6A7C3D4B" w:rsidR="00F05973" w:rsidRDefault="00832588" w:rsidP="00832588">
      <w:pPr>
        <w:pStyle w:val="ListParagraph"/>
        <w:numPr>
          <w:ilvl w:val="0"/>
          <w:numId w:val="33"/>
        </w:numPr>
        <w:spacing w:line="276" w:lineRule="auto"/>
        <w:jc w:val="both"/>
        <w:rPr>
          <w:rFonts w:cs="Arial"/>
        </w:rPr>
      </w:pPr>
      <w:r>
        <w:rPr>
          <w:rFonts w:cs="Arial"/>
        </w:rPr>
        <w:t>5% of people with disability aged 0-24 years live in a dwelling modified for their disability</w:t>
      </w:r>
      <w:r>
        <w:rPr>
          <w:rStyle w:val="FootnoteReference"/>
          <w:rFonts w:cs="Arial"/>
        </w:rPr>
        <w:footnoteReference w:id="50"/>
      </w:r>
      <w:r>
        <w:rPr>
          <w:rFonts w:cs="Arial"/>
        </w:rPr>
        <w:t xml:space="preserve"> </w:t>
      </w:r>
    </w:p>
    <w:p w14:paraId="3B48616E" w14:textId="77777777" w:rsidR="00F05973" w:rsidRDefault="00F05973">
      <w:pPr>
        <w:spacing w:before="0" w:line="259" w:lineRule="auto"/>
        <w:rPr>
          <w:rFonts w:cs="Arial"/>
        </w:rPr>
      </w:pPr>
      <w:r>
        <w:rPr>
          <w:rFonts w:cs="Arial"/>
        </w:rPr>
        <w:br w:type="page"/>
      </w:r>
    </w:p>
    <w:p w14:paraId="4C2CB72E" w14:textId="77777777" w:rsidR="00832588" w:rsidRDefault="00832588" w:rsidP="00F05973">
      <w:pPr>
        <w:pStyle w:val="ListParagraph"/>
        <w:spacing w:line="276" w:lineRule="auto"/>
        <w:jc w:val="both"/>
        <w:rPr>
          <w:rFonts w:cs="Arial"/>
        </w:rPr>
      </w:pPr>
    </w:p>
    <w:p w14:paraId="556B81C7" w14:textId="754BED5D" w:rsidR="00832588" w:rsidRPr="00D8041C" w:rsidRDefault="00832588" w:rsidP="00A66605">
      <w:pPr>
        <w:pStyle w:val="ListParagraph"/>
        <w:numPr>
          <w:ilvl w:val="0"/>
          <w:numId w:val="46"/>
        </w:numPr>
        <w:rPr>
          <w:b/>
          <w:bCs/>
        </w:rPr>
      </w:pPr>
      <w:r w:rsidRPr="00D8041C">
        <w:rPr>
          <w:b/>
          <w:bCs/>
        </w:rPr>
        <w:t>Healthy</w:t>
      </w:r>
    </w:p>
    <w:p w14:paraId="185E9439" w14:textId="77777777" w:rsidR="00832588" w:rsidRDefault="00832588" w:rsidP="00832588">
      <w:pPr>
        <w:spacing w:line="256" w:lineRule="auto"/>
        <w:jc w:val="both"/>
      </w:pPr>
      <w:r>
        <w:t>Over 300,00 babies are born in Australia every year. In 2018, 357,500 or 7.7% of children under 15 were reported as having disability.</w:t>
      </w:r>
      <w:r>
        <w:rPr>
          <w:rStyle w:val="FootnoteReference"/>
        </w:rPr>
        <w:footnoteReference w:id="51"/>
      </w:r>
      <w:r>
        <w:t xml:space="preserve"> </w:t>
      </w:r>
    </w:p>
    <w:p w14:paraId="7F691BE1" w14:textId="77777777" w:rsidR="00832588" w:rsidRDefault="00832588" w:rsidP="00832588">
      <w:r w:rsidRPr="0093113B">
        <w:rPr>
          <w:lang w:eastAsia="en-AU"/>
        </w:rPr>
        <w:t>Need for assistance by age, 2016 and 2021</w:t>
      </w:r>
      <w:r>
        <w:rPr>
          <w:rStyle w:val="FootnoteReference"/>
          <w:lang w:eastAsia="en-AU"/>
        </w:rPr>
        <w:footnoteReference w:id="52"/>
      </w:r>
    </w:p>
    <w:tbl>
      <w:tblPr>
        <w:tblStyle w:val="TableGrid"/>
        <w:tblW w:w="8966" w:type="dxa"/>
        <w:tblLook w:val="04A0" w:firstRow="1" w:lastRow="0" w:firstColumn="1" w:lastColumn="0" w:noHBand="0" w:noVBand="1"/>
      </w:tblPr>
      <w:tblGrid>
        <w:gridCol w:w="2988"/>
        <w:gridCol w:w="2989"/>
        <w:gridCol w:w="2989"/>
      </w:tblGrid>
      <w:tr w:rsidR="00832588" w:rsidRPr="00D47301" w14:paraId="7A19D964" w14:textId="77777777">
        <w:trPr>
          <w:trHeight w:val="400"/>
        </w:trPr>
        <w:tc>
          <w:tcPr>
            <w:tcW w:w="2988" w:type="dxa"/>
            <w:hideMark/>
          </w:tcPr>
          <w:p w14:paraId="7E5F8A62" w14:textId="77777777" w:rsidR="00832588" w:rsidRPr="00D47301" w:rsidRDefault="00832588">
            <w:pPr>
              <w:rPr>
                <w:b/>
                <w:bCs/>
                <w:lang w:eastAsia="en-AU"/>
              </w:rPr>
            </w:pPr>
            <w:r w:rsidRPr="00D47301">
              <w:rPr>
                <w:b/>
                <w:bCs/>
                <w:lang w:eastAsia="en-AU"/>
              </w:rPr>
              <w:t>Age grouping</w:t>
            </w:r>
          </w:p>
        </w:tc>
        <w:tc>
          <w:tcPr>
            <w:tcW w:w="2989" w:type="dxa"/>
            <w:hideMark/>
          </w:tcPr>
          <w:p w14:paraId="324CD75A" w14:textId="77777777" w:rsidR="00832588" w:rsidRPr="00D47301" w:rsidRDefault="00832588">
            <w:pPr>
              <w:rPr>
                <w:b/>
                <w:bCs/>
                <w:lang w:eastAsia="en-AU"/>
              </w:rPr>
            </w:pPr>
            <w:r w:rsidRPr="00D47301">
              <w:rPr>
                <w:b/>
                <w:bCs/>
                <w:lang w:eastAsia="en-AU"/>
              </w:rPr>
              <w:t>2016 (%)</w:t>
            </w:r>
          </w:p>
        </w:tc>
        <w:tc>
          <w:tcPr>
            <w:tcW w:w="2989" w:type="dxa"/>
            <w:hideMark/>
          </w:tcPr>
          <w:p w14:paraId="48EE5403" w14:textId="77777777" w:rsidR="00832588" w:rsidRPr="00D47301" w:rsidRDefault="00832588">
            <w:pPr>
              <w:rPr>
                <w:b/>
                <w:bCs/>
                <w:lang w:eastAsia="en-AU"/>
              </w:rPr>
            </w:pPr>
            <w:r w:rsidRPr="00D47301">
              <w:rPr>
                <w:b/>
                <w:bCs/>
                <w:lang w:eastAsia="en-AU"/>
              </w:rPr>
              <w:t>2021 (%)</w:t>
            </w:r>
          </w:p>
        </w:tc>
      </w:tr>
      <w:tr w:rsidR="00832588" w:rsidRPr="00D47301" w14:paraId="727D1DBD" w14:textId="77777777">
        <w:trPr>
          <w:trHeight w:val="400"/>
        </w:trPr>
        <w:tc>
          <w:tcPr>
            <w:tcW w:w="2988" w:type="dxa"/>
            <w:hideMark/>
          </w:tcPr>
          <w:p w14:paraId="4CB5DD85" w14:textId="77777777" w:rsidR="00832588" w:rsidRPr="00D47301" w:rsidRDefault="00832588">
            <w:pPr>
              <w:rPr>
                <w:lang w:eastAsia="en-AU"/>
              </w:rPr>
            </w:pPr>
            <w:r w:rsidRPr="00D47301">
              <w:rPr>
                <w:lang w:eastAsia="en-AU"/>
              </w:rPr>
              <w:t>0 - 4 years</w:t>
            </w:r>
          </w:p>
        </w:tc>
        <w:tc>
          <w:tcPr>
            <w:tcW w:w="2989" w:type="dxa"/>
            <w:hideMark/>
          </w:tcPr>
          <w:p w14:paraId="78000B75" w14:textId="77777777" w:rsidR="00832588" w:rsidRPr="00D47301" w:rsidRDefault="00832588">
            <w:pPr>
              <w:rPr>
                <w:lang w:eastAsia="en-AU"/>
              </w:rPr>
            </w:pPr>
            <w:r w:rsidRPr="00D47301">
              <w:rPr>
                <w:lang w:eastAsia="en-AU"/>
              </w:rPr>
              <w:t>1.1</w:t>
            </w:r>
          </w:p>
        </w:tc>
        <w:tc>
          <w:tcPr>
            <w:tcW w:w="2989" w:type="dxa"/>
            <w:hideMark/>
          </w:tcPr>
          <w:p w14:paraId="34C48708" w14:textId="77777777" w:rsidR="00832588" w:rsidRPr="00D47301" w:rsidRDefault="00832588">
            <w:pPr>
              <w:rPr>
                <w:lang w:eastAsia="en-AU"/>
              </w:rPr>
            </w:pPr>
            <w:r w:rsidRPr="00D47301">
              <w:rPr>
                <w:lang w:eastAsia="en-AU"/>
              </w:rPr>
              <w:t>1.4</w:t>
            </w:r>
          </w:p>
        </w:tc>
      </w:tr>
      <w:tr w:rsidR="00832588" w:rsidRPr="00D47301" w14:paraId="1B32AC16" w14:textId="77777777">
        <w:trPr>
          <w:trHeight w:val="400"/>
        </w:trPr>
        <w:tc>
          <w:tcPr>
            <w:tcW w:w="2988" w:type="dxa"/>
            <w:hideMark/>
          </w:tcPr>
          <w:p w14:paraId="44EAC1B6" w14:textId="77777777" w:rsidR="00832588" w:rsidRPr="00D47301" w:rsidRDefault="00832588">
            <w:pPr>
              <w:rPr>
                <w:lang w:eastAsia="en-AU"/>
              </w:rPr>
            </w:pPr>
            <w:r w:rsidRPr="00D47301">
              <w:rPr>
                <w:lang w:eastAsia="en-AU"/>
              </w:rPr>
              <w:t>5 - 14 years</w:t>
            </w:r>
          </w:p>
        </w:tc>
        <w:tc>
          <w:tcPr>
            <w:tcW w:w="2989" w:type="dxa"/>
            <w:hideMark/>
          </w:tcPr>
          <w:p w14:paraId="7D164C3D" w14:textId="77777777" w:rsidR="00832588" w:rsidRPr="00D47301" w:rsidRDefault="00832588">
            <w:pPr>
              <w:rPr>
                <w:lang w:eastAsia="en-AU"/>
              </w:rPr>
            </w:pPr>
            <w:r w:rsidRPr="00D47301">
              <w:rPr>
                <w:lang w:eastAsia="en-AU"/>
              </w:rPr>
              <w:t>3.3</w:t>
            </w:r>
          </w:p>
        </w:tc>
        <w:tc>
          <w:tcPr>
            <w:tcW w:w="2989" w:type="dxa"/>
            <w:hideMark/>
          </w:tcPr>
          <w:p w14:paraId="5B77BA4B" w14:textId="77777777" w:rsidR="00832588" w:rsidRPr="00D47301" w:rsidRDefault="00832588">
            <w:pPr>
              <w:rPr>
                <w:lang w:eastAsia="en-AU"/>
              </w:rPr>
            </w:pPr>
            <w:r w:rsidRPr="00D47301">
              <w:rPr>
                <w:lang w:eastAsia="en-AU"/>
              </w:rPr>
              <w:t>4.4</w:t>
            </w:r>
          </w:p>
        </w:tc>
      </w:tr>
      <w:tr w:rsidR="00832588" w:rsidRPr="00D47301" w14:paraId="7D99F16B" w14:textId="77777777">
        <w:trPr>
          <w:trHeight w:val="400"/>
        </w:trPr>
        <w:tc>
          <w:tcPr>
            <w:tcW w:w="2988" w:type="dxa"/>
            <w:hideMark/>
          </w:tcPr>
          <w:p w14:paraId="02007D7F" w14:textId="77777777" w:rsidR="00832588" w:rsidRPr="00D47301" w:rsidRDefault="00832588">
            <w:pPr>
              <w:rPr>
                <w:lang w:eastAsia="en-AU"/>
              </w:rPr>
            </w:pPr>
            <w:r w:rsidRPr="00D47301">
              <w:rPr>
                <w:lang w:eastAsia="en-AU"/>
              </w:rPr>
              <w:t>15 - 24 years</w:t>
            </w:r>
          </w:p>
        </w:tc>
        <w:tc>
          <w:tcPr>
            <w:tcW w:w="2989" w:type="dxa"/>
            <w:hideMark/>
          </w:tcPr>
          <w:p w14:paraId="67DB18C6" w14:textId="77777777" w:rsidR="00832588" w:rsidRPr="00D47301" w:rsidRDefault="00832588">
            <w:pPr>
              <w:rPr>
                <w:lang w:eastAsia="en-AU"/>
              </w:rPr>
            </w:pPr>
            <w:r w:rsidRPr="00D47301">
              <w:rPr>
                <w:lang w:eastAsia="en-AU"/>
              </w:rPr>
              <w:t>2.2</w:t>
            </w:r>
          </w:p>
        </w:tc>
        <w:tc>
          <w:tcPr>
            <w:tcW w:w="2989" w:type="dxa"/>
            <w:hideMark/>
          </w:tcPr>
          <w:p w14:paraId="5B524124" w14:textId="77777777" w:rsidR="00832588" w:rsidRPr="00D47301" w:rsidRDefault="00832588">
            <w:pPr>
              <w:rPr>
                <w:lang w:eastAsia="en-AU"/>
              </w:rPr>
            </w:pPr>
            <w:r w:rsidRPr="00D47301">
              <w:rPr>
                <w:lang w:eastAsia="en-AU"/>
              </w:rPr>
              <w:t>3.0</w:t>
            </w:r>
          </w:p>
        </w:tc>
      </w:tr>
    </w:tbl>
    <w:p w14:paraId="7CD33892" w14:textId="77777777" w:rsidR="004D0C8F" w:rsidRDefault="004D0C8F" w:rsidP="004D0C8F">
      <w:pPr>
        <w:pStyle w:val="ListParagraph"/>
        <w:ind w:left="360"/>
      </w:pPr>
    </w:p>
    <w:p w14:paraId="15CF92EE" w14:textId="0EF9329B" w:rsidR="00832588" w:rsidRPr="0093410B" w:rsidRDefault="00832588" w:rsidP="001A4B6D">
      <w:pPr>
        <w:pStyle w:val="ListParagraph"/>
        <w:numPr>
          <w:ilvl w:val="0"/>
          <w:numId w:val="46"/>
        </w:numPr>
        <w:rPr>
          <w:b/>
          <w:bCs/>
        </w:rPr>
      </w:pPr>
      <w:r w:rsidRPr="0093410B">
        <w:rPr>
          <w:b/>
          <w:bCs/>
        </w:rPr>
        <w:t>Learning</w:t>
      </w:r>
    </w:p>
    <w:p w14:paraId="57446E14" w14:textId="77777777" w:rsidR="00832588" w:rsidRDefault="00832588" w:rsidP="001A4B6D">
      <w:pPr>
        <w:spacing w:line="276" w:lineRule="auto"/>
        <w:ind w:left="360"/>
        <w:jc w:val="both"/>
        <w:rPr>
          <w:lang w:eastAsia="en-AU"/>
        </w:rPr>
      </w:pPr>
      <w:r w:rsidRPr="00974DE6">
        <w:rPr>
          <w:lang w:eastAsia="en-AU"/>
        </w:rPr>
        <w:t xml:space="preserve">In 2019, children with disability made up 6.8% of </w:t>
      </w:r>
      <w:r>
        <w:rPr>
          <w:lang w:eastAsia="en-AU"/>
        </w:rPr>
        <w:t>those</w:t>
      </w:r>
      <w:r w:rsidRPr="00974DE6">
        <w:rPr>
          <w:lang w:eastAsia="en-AU"/>
        </w:rPr>
        <w:t xml:space="preserve"> enrolled in a preschool program in the year before full time schooling (children aged 4 and those aged 5 who were not repeating).</w:t>
      </w:r>
      <w:r>
        <w:rPr>
          <w:rStyle w:val="FootnoteReference"/>
          <w:lang w:eastAsia="en-AU"/>
        </w:rPr>
        <w:footnoteReference w:id="53"/>
      </w:r>
      <w:r>
        <w:rPr>
          <w:lang w:eastAsia="en-AU"/>
        </w:rPr>
        <w:t xml:space="preserve"> </w:t>
      </w:r>
    </w:p>
    <w:p w14:paraId="773FE940" w14:textId="77777777" w:rsidR="00832588" w:rsidRDefault="00832588" w:rsidP="001A4B6D">
      <w:pPr>
        <w:spacing w:line="276" w:lineRule="auto"/>
        <w:ind w:left="360"/>
        <w:jc w:val="both"/>
        <w:rPr>
          <w:lang w:eastAsia="en-AU"/>
        </w:rPr>
      </w:pPr>
      <w:r w:rsidRPr="005E24A1">
        <w:rPr>
          <w:lang w:eastAsia="en-AU"/>
        </w:rPr>
        <w:t xml:space="preserve">In 2021, the proportion of children enrolled in a preschool program in the </w:t>
      </w:r>
      <w:r>
        <w:rPr>
          <w:lang w:eastAsia="en-AU"/>
        </w:rPr>
        <w:t>year before school (</w:t>
      </w:r>
      <w:r w:rsidRPr="005E24A1">
        <w:rPr>
          <w:lang w:eastAsia="en-AU"/>
        </w:rPr>
        <w:t>YBFS</w:t>
      </w:r>
      <w:r>
        <w:rPr>
          <w:lang w:eastAsia="en-AU"/>
        </w:rPr>
        <w:t>)</w:t>
      </w:r>
      <w:r w:rsidRPr="005E24A1">
        <w:rPr>
          <w:lang w:eastAsia="en-AU"/>
        </w:rPr>
        <w:t xml:space="preserve"> who had disability was 6.2%, compared with 7.6% representation of children with disability in the community in 2018.</w:t>
      </w:r>
      <w:r>
        <w:rPr>
          <w:rStyle w:val="FootnoteReference"/>
          <w:lang w:eastAsia="en-AU"/>
        </w:rPr>
        <w:footnoteReference w:id="54"/>
      </w:r>
      <w:r>
        <w:rPr>
          <w:lang w:eastAsia="en-AU"/>
        </w:rPr>
        <w:t xml:space="preserve"> </w:t>
      </w:r>
    </w:p>
    <w:p w14:paraId="69E44358" w14:textId="77777777" w:rsidR="00832588" w:rsidRPr="0093410B" w:rsidRDefault="00832588" w:rsidP="001A4B6D">
      <w:pPr>
        <w:pStyle w:val="ListParagraph"/>
        <w:numPr>
          <w:ilvl w:val="0"/>
          <w:numId w:val="46"/>
        </w:numPr>
        <w:rPr>
          <w:b/>
          <w:bCs/>
        </w:rPr>
      </w:pPr>
      <w:r w:rsidRPr="0093410B">
        <w:rPr>
          <w:b/>
          <w:bCs/>
        </w:rPr>
        <w:t>Participating</w:t>
      </w:r>
    </w:p>
    <w:p w14:paraId="2358084A" w14:textId="77777777" w:rsidR="008918C6" w:rsidRPr="001A4B6D" w:rsidRDefault="008918C6" w:rsidP="0093410B">
      <w:pPr>
        <w:pStyle w:val="ListParagraph"/>
        <w:ind w:left="360"/>
      </w:pPr>
    </w:p>
    <w:p w14:paraId="74F873FD" w14:textId="77777777" w:rsidR="00832588" w:rsidRPr="00892CC2" w:rsidRDefault="00832588" w:rsidP="00832588">
      <w:pPr>
        <w:pStyle w:val="ListParagraph"/>
        <w:numPr>
          <w:ilvl w:val="0"/>
          <w:numId w:val="33"/>
        </w:numPr>
        <w:spacing w:line="276" w:lineRule="auto"/>
        <w:jc w:val="both"/>
        <w:rPr>
          <w:rFonts w:cs="Arial"/>
          <w:lang w:eastAsia="en-AU"/>
        </w:rPr>
      </w:pPr>
      <w:r>
        <w:rPr>
          <w:lang w:eastAsia="en-AU"/>
        </w:rPr>
        <w:t xml:space="preserve">Exclusion: </w:t>
      </w:r>
      <w:r w:rsidRPr="00892CC2">
        <w:rPr>
          <w:rFonts w:cs="Arial"/>
          <w:lang w:eastAsia="en-AU"/>
        </w:rPr>
        <w:t>Suspensions, expulsions and cancellations of enrolments begin in the first year of school when children can be as young as four years old</w:t>
      </w:r>
      <w:r w:rsidRPr="00892CC2">
        <w:rPr>
          <w:rStyle w:val="FootnoteReference"/>
          <w:rFonts w:cs="Arial"/>
          <w:lang w:eastAsia="en-AU"/>
        </w:rPr>
        <w:footnoteReference w:id="55"/>
      </w:r>
    </w:p>
    <w:p w14:paraId="7A8695C3" w14:textId="77777777" w:rsidR="00832588" w:rsidRDefault="00832588" w:rsidP="00832588">
      <w:pPr>
        <w:pStyle w:val="ListParagraph"/>
        <w:numPr>
          <w:ilvl w:val="0"/>
          <w:numId w:val="33"/>
        </w:numPr>
        <w:spacing w:line="276" w:lineRule="auto"/>
        <w:jc w:val="both"/>
        <w:rPr>
          <w:rFonts w:eastAsia="Times New Roman" w:cs="Arial"/>
          <w:color w:val="222222"/>
          <w:lang w:eastAsia="en-AU"/>
        </w:rPr>
      </w:pPr>
      <w:r w:rsidRPr="00FF028F">
        <w:rPr>
          <w:rFonts w:cs="Arial"/>
          <w:lang w:eastAsia="en-AU"/>
        </w:rPr>
        <w:t xml:space="preserve">Social participation: </w:t>
      </w:r>
      <w:r w:rsidRPr="00FF028F">
        <w:rPr>
          <w:rFonts w:cs="Arial"/>
          <w:color w:val="222222"/>
        </w:rPr>
        <w:t xml:space="preserve">In the previous 12 months, </w:t>
      </w:r>
      <w:r w:rsidRPr="00FF028F">
        <w:rPr>
          <w:rFonts w:eastAsia="Times New Roman" w:cs="Arial"/>
          <w:color w:val="222222"/>
          <w:lang w:eastAsia="en-AU"/>
        </w:rPr>
        <w:t>nine out of ten (89.8%) children (aged 5-14 years) with disability participated in social activities</w:t>
      </w:r>
      <w:r>
        <w:rPr>
          <w:rStyle w:val="FootnoteReference"/>
          <w:rFonts w:eastAsia="Times New Roman" w:cs="Arial"/>
          <w:color w:val="222222"/>
          <w:lang w:eastAsia="en-AU"/>
        </w:rPr>
        <w:footnoteReference w:id="56"/>
      </w:r>
    </w:p>
    <w:p w14:paraId="233733EB" w14:textId="77777777" w:rsidR="001A4B6D" w:rsidRPr="00892CC2" w:rsidRDefault="001A4B6D" w:rsidP="001A4B6D">
      <w:pPr>
        <w:pStyle w:val="ListParagraph"/>
        <w:spacing w:line="276" w:lineRule="auto"/>
        <w:jc w:val="both"/>
        <w:rPr>
          <w:rFonts w:eastAsia="Times New Roman" w:cs="Arial"/>
          <w:color w:val="222222"/>
          <w:lang w:eastAsia="en-AU"/>
        </w:rPr>
      </w:pPr>
    </w:p>
    <w:p w14:paraId="182C4690" w14:textId="77777777" w:rsidR="00832588" w:rsidRPr="00FB4ADE" w:rsidRDefault="00832588" w:rsidP="001A4B6D">
      <w:pPr>
        <w:pStyle w:val="ListParagraph"/>
        <w:numPr>
          <w:ilvl w:val="0"/>
          <w:numId w:val="46"/>
        </w:numPr>
        <w:rPr>
          <w:b/>
          <w:bCs/>
        </w:rPr>
      </w:pPr>
      <w:r w:rsidRPr="00FB4ADE">
        <w:rPr>
          <w:b/>
          <w:bCs/>
        </w:rPr>
        <w:t>Positive sense of identity and culture</w:t>
      </w:r>
    </w:p>
    <w:p w14:paraId="2C55835B" w14:textId="77777777" w:rsidR="008918C6" w:rsidRPr="001A4B6D" w:rsidRDefault="008918C6" w:rsidP="0093410B">
      <w:pPr>
        <w:pStyle w:val="ListParagraph"/>
        <w:ind w:left="360"/>
      </w:pPr>
    </w:p>
    <w:p w14:paraId="759BCB5D" w14:textId="0AE04784" w:rsidR="00832588" w:rsidRDefault="009D52C7" w:rsidP="00832588">
      <w:pPr>
        <w:pStyle w:val="ListParagraph"/>
        <w:numPr>
          <w:ilvl w:val="0"/>
          <w:numId w:val="33"/>
        </w:numPr>
        <w:spacing w:line="276" w:lineRule="auto"/>
        <w:jc w:val="both"/>
      </w:pPr>
      <w:r>
        <w:t>Sex</w:t>
      </w:r>
      <w:r w:rsidR="00832588">
        <w:t xml:space="preserve">: </w:t>
      </w:r>
      <w:r w:rsidR="00832588" w:rsidRPr="00126663">
        <w:t xml:space="preserve">Boys were more likely than girls to have </w:t>
      </w:r>
      <w:r w:rsidR="00832588">
        <w:t xml:space="preserve">a </w:t>
      </w:r>
      <w:r w:rsidR="00832588" w:rsidRPr="00126663">
        <w:t xml:space="preserve">disability </w:t>
      </w:r>
      <w:r w:rsidR="00832588">
        <w:t xml:space="preserve">(3.3% of boys aged 0-4 years, compared with 1.5% of girls and 7.5% of boys aged 5-14 years, compared with 3.7% of girls) </w:t>
      </w:r>
    </w:p>
    <w:p w14:paraId="74D5B2CE" w14:textId="77777777" w:rsidR="00832588" w:rsidRDefault="00832588" w:rsidP="00832588">
      <w:pPr>
        <w:pStyle w:val="ListParagraph"/>
        <w:numPr>
          <w:ilvl w:val="0"/>
          <w:numId w:val="33"/>
        </w:numPr>
        <w:spacing w:line="276" w:lineRule="auto"/>
        <w:jc w:val="both"/>
      </w:pPr>
      <w:r>
        <w:t xml:space="preserve">First Nations children: Indigenous children </w:t>
      </w:r>
      <w:r w:rsidRPr="003254A7">
        <w:t xml:space="preserve">were more likely to have </w:t>
      </w:r>
      <w:r>
        <w:t xml:space="preserve">a </w:t>
      </w:r>
      <w:r w:rsidRPr="003254A7">
        <w:t>disability (</w:t>
      </w:r>
      <w:r>
        <w:t>20.9%</w:t>
      </w:r>
      <w:r w:rsidRPr="003254A7">
        <w:t xml:space="preserve"> or </w:t>
      </w:r>
      <w:r>
        <w:t>58,000)</w:t>
      </w:r>
      <w:r>
        <w:rPr>
          <w:rStyle w:val="FootnoteReference"/>
        </w:rPr>
        <w:footnoteReference w:id="57"/>
      </w:r>
    </w:p>
    <w:p w14:paraId="45398B23" w14:textId="77777777" w:rsidR="00832588" w:rsidRDefault="00832588" w:rsidP="00832588">
      <w:pPr>
        <w:pStyle w:val="ListParagraph"/>
        <w:numPr>
          <w:ilvl w:val="0"/>
          <w:numId w:val="33"/>
        </w:numPr>
        <w:spacing w:line="276" w:lineRule="auto"/>
        <w:jc w:val="both"/>
      </w:pPr>
      <w:r>
        <w:lastRenderedPageBreak/>
        <w:t>Culturally and linguistically diverse (CALD) background children: Despite the prevalence of disability for CALD children being the same as non-CALD children, a smaller proportion of NDIS participants aged 0-14 are from a CALD background</w:t>
      </w:r>
      <w:r>
        <w:rPr>
          <w:rStyle w:val="FootnoteReference"/>
        </w:rPr>
        <w:footnoteReference w:id="58"/>
      </w:r>
      <w:r>
        <w:t xml:space="preserve"> 4 (31% for CALD compared to 38% for non-CALD)</w:t>
      </w:r>
      <w:r>
        <w:rPr>
          <w:rStyle w:val="FootnoteReference"/>
        </w:rPr>
        <w:footnoteReference w:id="59"/>
      </w:r>
    </w:p>
    <w:p w14:paraId="3EBC3BC1" w14:textId="3A3147E0" w:rsidR="002A0027" w:rsidRPr="00EE2E16" w:rsidRDefault="00F31C25" w:rsidP="002A0027">
      <w:pPr>
        <w:rPr>
          <w:b/>
          <w:bCs/>
        </w:rPr>
      </w:pPr>
      <w:bookmarkStart w:id="43" w:name="_Toc119931795"/>
      <w:r>
        <w:rPr>
          <w:b/>
          <w:bCs/>
        </w:rPr>
        <w:t>4.3</w:t>
      </w:r>
      <w:r w:rsidR="00B768E7">
        <w:rPr>
          <w:b/>
          <w:bCs/>
        </w:rPr>
        <w:tab/>
      </w:r>
      <w:r w:rsidR="002A0027" w:rsidRPr="00EE2E16">
        <w:rPr>
          <w:b/>
          <w:bCs/>
        </w:rPr>
        <w:t>Data gathering and sharing</w:t>
      </w:r>
      <w:bookmarkEnd w:id="43"/>
    </w:p>
    <w:p w14:paraId="564D2657" w14:textId="73C370F3" w:rsidR="002A0027" w:rsidRDefault="002A0027" w:rsidP="004809D6">
      <w:r>
        <w:rPr>
          <w:rFonts w:cs="HelveticaNeue-Bold"/>
          <w:bCs/>
          <w:szCs w:val="44"/>
        </w:rPr>
        <w:t xml:space="preserve">The direct experience of children and young people with disability and the policy experience of CYDA demonstrates that there is a </w:t>
      </w:r>
      <w:r w:rsidR="004809D6">
        <w:rPr>
          <w:rFonts w:cs="HelveticaNeue-Bold"/>
          <w:bCs/>
          <w:szCs w:val="44"/>
        </w:rPr>
        <w:t>significant</w:t>
      </w:r>
      <w:r>
        <w:rPr>
          <w:rFonts w:cs="HelveticaNeue-Bold"/>
          <w:bCs/>
          <w:szCs w:val="44"/>
        </w:rPr>
        <w:t xml:space="preserve"> need to improve the collection and use of data at a range of levels within the ECEC and education systems, at the individual, system, and jurisdictional levels. Additionally, there is a need to examine how data is used to inform policy and practice in the ECEC and education systems. CYDA continues to advocate for the improvement and refinement of data collection from early childhood and school education to strengthen the evidence base and improve educational outcomes. </w:t>
      </w:r>
    </w:p>
    <w:p w14:paraId="68C4BF87" w14:textId="77777777" w:rsidR="002A0027" w:rsidRDefault="002A0027" w:rsidP="00220E7F">
      <w:pPr>
        <w:pStyle w:val="Quote"/>
        <w:jc w:val="left"/>
      </w:pPr>
      <w:r>
        <w:t>“…society cannot be equitable unless all children are included, and children with disabilities cannot be included unless sound data collection and analysis render them visible.”</w:t>
      </w:r>
      <w:r>
        <w:rPr>
          <w:rStyle w:val="FootnoteReference"/>
        </w:rPr>
        <w:footnoteReference w:id="60"/>
      </w:r>
    </w:p>
    <w:p w14:paraId="5EF49BC5" w14:textId="77777777" w:rsidR="002A0027" w:rsidRDefault="002A0027" w:rsidP="002A0027">
      <w:r>
        <w:t>Without high-quality data, there are limited opportunities to develop evidence-based approaches to protect children and young people and monitor existing and new interventions.</w:t>
      </w:r>
      <w:r>
        <w:rPr>
          <w:rStyle w:val="FootnoteReference"/>
        </w:rPr>
        <w:footnoteReference w:id="61"/>
      </w:r>
    </w:p>
    <w:p w14:paraId="7B5F14FB" w14:textId="7AFCF678" w:rsidR="0030194A" w:rsidRPr="007F7BCA" w:rsidRDefault="00B768E7" w:rsidP="0030194A">
      <w:pPr>
        <w:spacing w:before="0" w:line="259" w:lineRule="auto"/>
        <w:rPr>
          <w:b/>
          <w:bCs/>
        </w:rPr>
      </w:pPr>
      <w:r>
        <w:rPr>
          <w:b/>
          <w:bCs/>
        </w:rPr>
        <w:t>4.4</w:t>
      </w:r>
      <w:r>
        <w:rPr>
          <w:b/>
          <w:bCs/>
        </w:rPr>
        <w:tab/>
      </w:r>
      <w:r w:rsidR="00E65CDF" w:rsidRPr="00E65CDF">
        <w:rPr>
          <w:b/>
          <w:bCs/>
        </w:rPr>
        <w:t xml:space="preserve">Track the pathways of children through different systems </w:t>
      </w:r>
      <w:r w:rsidR="00B64ABF">
        <w:rPr>
          <w:b/>
          <w:bCs/>
        </w:rPr>
        <w:t>by</w:t>
      </w:r>
      <w:r w:rsidR="00E65CDF">
        <w:t xml:space="preserve"> </w:t>
      </w:r>
      <w:r w:rsidR="00E65CDF">
        <w:rPr>
          <w:b/>
          <w:bCs/>
        </w:rPr>
        <w:t>linking data sets</w:t>
      </w:r>
    </w:p>
    <w:p w14:paraId="2B1D4BF8" w14:textId="3127C193" w:rsidR="0030194A" w:rsidRDefault="007F7BCA" w:rsidP="0030194A">
      <w:pPr>
        <w:spacing w:before="0" w:line="259" w:lineRule="auto"/>
      </w:pPr>
      <w:r>
        <w:t xml:space="preserve">We support the recommendation of AIHW in </w:t>
      </w:r>
      <w:r w:rsidR="003B4FFB">
        <w:t>its</w:t>
      </w:r>
      <w:r>
        <w:t xml:space="preserve"> 2022 report</w:t>
      </w:r>
      <w:r w:rsidR="00855A9C">
        <w:t xml:space="preserve">, to link data </w:t>
      </w:r>
      <w:r w:rsidR="0030194A">
        <w:t xml:space="preserve">from </w:t>
      </w:r>
      <w:r w:rsidR="00B768E7">
        <w:t>two</w:t>
      </w:r>
      <w:r w:rsidR="0030194A">
        <w:t xml:space="preserve"> or more sources</w:t>
      </w:r>
      <w:r w:rsidR="00430B61">
        <w:rPr>
          <w:rStyle w:val="FootnoteReference"/>
        </w:rPr>
        <w:footnoteReference w:id="62"/>
      </w:r>
      <w:r w:rsidR="0030194A">
        <w:t>, to improve understanding of:</w:t>
      </w:r>
    </w:p>
    <w:p w14:paraId="585A9A6D" w14:textId="2657F92D" w:rsidR="0030194A" w:rsidRDefault="003E0BFE" w:rsidP="0093410B">
      <w:pPr>
        <w:pStyle w:val="ListParagraph"/>
        <w:numPr>
          <w:ilvl w:val="0"/>
          <w:numId w:val="49"/>
        </w:numPr>
        <w:spacing w:before="0" w:line="259" w:lineRule="auto"/>
      </w:pPr>
      <w:r>
        <w:t>H</w:t>
      </w:r>
      <w:r w:rsidR="0030194A">
        <w:t>ow children transition between key developmental stages and their outcomes at different stages of their life</w:t>
      </w:r>
    </w:p>
    <w:p w14:paraId="26E32BC7" w14:textId="17FEE75A" w:rsidR="0030194A" w:rsidRDefault="003E0BFE" w:rsidP="0093410B">
      <w:pPr>
        <w:pStyle w:val="ListParagraph"/>
        <w:numPr>
          <w:ilvl w:val="0"/>
          <w:numId w:val="49"/>
        </w:numPr>
        <w:spacing w:before="0" w:line="259" w:lineRule="auto"/>
      </w:pPr>
      <w:r>
        <w:t>T</w:t>
      </w:r>
      <w:r w:rsidR="0030194A">
        <w:t>he pathways children take through different services and the points where intervention would be most effective</w:t>
      </w:r>
    </w:p>
    <w:p w14:paraId="74134582" w14:textId="28FE1D6C" w:rsidR="0030194A" w:rsidRDefault="003E0BFE" w:rsidP="0093410B">
      <w:pPr>
        <w:pStyle w:val="ListParagraph"/>
        <w:numPr>
          <w:ilvl w:val="0"/>
          <w:numId w:val="49"/>
        </w:numPr>
        <w:spacing w:before="0" w:line="259" w:lineRule="auto"/>
      </w:pPr>
      <w:r>
        <w:t>T</w:t>
      </w:r>
      <w:r w:rsidR="0030194A">
        <w:t>he relationships between risk factors, protective factors and outcomes, which interventions are most likely to provide positive outcomes, and which indicators can be used as predictive tools for monitoring</w:t>
      </w:r>
    </w:p>
    <w:p w14:paraId="4A2F67F9" w14:textId="2D7BC724" w:rsidR="000E60F8" w:rsidRDefault="003E0BFE" w:rsidP="0093410B">
      <w:pPr>
        <w:pStyle w:val="ListParagraph"/>
        <w:numPr>
          <w:ilvl w:val="0"/>
          <w:numId w:val="49"/>
        </w:numPr>
        <w:spacing w:before="0" w:line="259" w:lineRule="auto"/>
      </w:pPr>
      <w:r>
        <w:t>H</w:t>
      </w:r>
      <w:r w:rsidR="0030194A">
        <w:t>ow children’s wellbeing or service use differs among different population and geographic groups, where data on a specific population group may only be available in 1 data set</w:t>
      </w:r>
    </w:p>
    <w:p w14:paraId="7CEF8699" w14:textId="77777777" w:rsidR="00374622" w:rsidRDefault="00611F08" w:rsidP="00AF04DE">
      <w:pPr>
        <w:pStyle w:val="Heading1"/>
      </w:pPr>
      <w:bookmarkStart w:id="44" w:name="_Toc94628650"/>
      <w:bookmarkStart w:id="45" w:name="_Toc133675151"/>
      <w:r>
        <w:lastRenderedPageBreak/>
        <w:t>Appendi</w:t>
      </w:r>
      <w:r w:rsidR="001F6069">
        <w:t>ces</w:t>
      </w:r>
      <w:bookmarkEnd w:id="45"/>
    </w:p>
    <w:p w14:paraId="5F15622F" w14:textId="47B04825" w:rsidR="00611F08" w:rsidRDefault="00611F08" w:rsidP="00A7205D">
      <w:pPr>
        <w:pStyle w:val="Heading2"/>
      </w:pPr>
      <w:r>
        <w:t xml:space="preserve"> </w:t>
      </w:r>
      <w:bookmarkStart w:id="46" w:name="_Toc133675152"/>
      <w:r w:rsidR="00A824DB">
        <w:t>Appendix 1</w:t>
      </w:r>
      <w:r>
        <w:t xml:space="preserve">– </w:t>
      </w:r>
      <w:bookmarkEnd w:id="44"/>
      <w:r w:rsidRPr="00DC1A91">
        <w:t>Examples of gathering children and young people’s voices</w:t>
      </w:r>
      <w:bookmarkEnd w:id="46"/>
      <w:r>
        <w:t xml:space="preserve"> </w:t>
      </w:r>
    </w:p>
    <w:p w14:paraId="65D71919" w14:textId="77777777" w:rsidR="00611F08" w:rsidRDefault="00611F08">
      <w:pPr>
        <w:spacing w:before="0" w:line="259" w:lineRule="auto"/>
      </w:pPr>
    </w:p>
    <w:p w14:paraId="2A2E2999" w14:textId="77777777" w:rsidR="00611F08" w:rsidRDefault="00611F08" w:rsidP="00DC1A91">
      <w:pPr>
        <w:jc w:val="both"/>
        <w:rPr>
          <w:i/>
          <w:iCs/>
        </w:rPr>
      </w:pPr>
      <w:bookmarkStart w:id="47" w:name="mctoc11"/>
      <w:bookmarkEnd w:id="47"/>
      <w:r>
        <w:rPr>
          <w:i/>
          <w:iCs/>
        </w:rPr>
        <w:t>Example 1</w:t>
      </w:r>
    </w:p>
    <w:p w14:paraId="37C2F03C" w14:textId="1A57824B" w:rsidR="00611F08" w:rsidRDefault="00611F08" w:rsidP="00DC1A91">
      <w:pPr>
        <w:jc w:val="both"/>
        <w:rPr>
          <w:i/>
          <w:iCs/>
        </w:rPr>
      </w:pPr>
      <w:r>
        <w:rPr>
          <w:rFonts w:eastAsia="Times New Roman"/>
          <w:noProof/>
          <w:color w:val="0000FF"/>
        </w:rPr>
        <w:drawing>
          <wp:inline distT="0" distB="0" distL="0" distR="0" wp14:anchorId="455913C3" wp14:editId="0557F4D0">
            <wp:extent cx="3944203" cy="1311629"/>
            <wp:effectExtent l="0" t="0" r="0" b="3175"/>
            <wp:docPr id="17" name="Picture 17" descr="4 cartoon monsters standing on grass with a speech bubble that reads: &quot;What do you think?&quot;. Text underneath reads: &quot;Where children can have their say about what's important to them.&quot;">
              <a:hlinkClick xmlns:a="http://schemas.openxmlformats.org/drawingml/2006/main" r:id="rId5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 cartoon monsters standing on grass with a speech bubble that reads: &quot;What do you think?&quot;. Text underneath reads: &quot;Where children can have their say about what's important to them.&quot;"/>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953795" cy="1314819"/>
                    </a:xfrm>
                    <a:prstGeom prst="rect">
                      <a:avLst/>
                    </a:prstGeom>
                    <a:noFill/>
                    <a:ln>
                      <a:noFill/>
                    </a:ln>
                  </pic:spPr>
                </pic:pic>
              </a:graphicData>
            </a:graphic>
          </wp:inline>
        </w:drawing>
      </w:r>
    </w:p>
    <w:p w14:paraId="4C86F7D3" w14:textId="77777777" w:rsidR="00611F08" w:rsidRDefault="00000000" w:rsidP="00DC1A91">
      <w:pPr>
        <w:jc w:val="both"/>
      </w:pPr>
      <w:hyperlink r:id="rId53" w:history="1">
        <w:r w:rsidR="00611F08" w:rsidRPr="0054335A">
          <w:rPr>
            <w:rStyle w:val="Hyperlink"/>
          </w:rPr>
          <w:t>What do you think?</w:t>
        </w:r>
      </w:hyperlink>
      <w:r w:rsidR="00611F08">
        <w:t>, a</w:t>
      </w:r>
      <w:r w:rsidR="00611F08" w:rsidRPr="0054335A">
        <w:t>n accessible online </w:t>
      </w:r>
      <w:r w:rsidR="00611F08">
        <w:t xml:space="preserve">tool was developed and launched by </w:t>
      </w:r>
      <w:r w:rsidR="00611F08" w:rsidRPr="00BE4CA4">
        <w:t>The Association for Children with a Disability</w:t>
      </w:r>
      <w:r w:rsidR="00611F08">
        <w:t xml:space="preserve"> in October 2022. </w:t>
      </w:r>
    </w:p>
    <w:p w14:paraId="70DE452C" w14:textId="77777777" w:rsidR="00611F08" w:rsidRDefault="00611F08" w:rsidP="00DC1A91">
      <w:pPr>
        <w:spacing w:after="0"/>
        <w:jc w:val="both"/>
        <w:rPr>
          <w:rStyle w:val="Strong"/>
          <w:rFonts w:ascii="Helvetica Neue" w:hAnsi="Helvetica Neue"/>
          <w:i/>
          <w:iCs/>
          <w:color w:val="3E444F"/>
          <w:sz w:val="21"/>
          <w:szCs w:val="21"/>
        </w:rPr>
      </w:pPr>
      <w:r>
        <w:t xml:space="preserve">Its purpose is to gather input </w:t>
      </w:r>
      <w:r w:rsidRPr="0054335A">
        <w:t>to help develop more inclusive playgrounds</w:t>
      </w:r>
      <w:r>
        <w:t xml:space="preserve">. It was designed to be a </w:t>
      </w:r>
      <w:r w:rsidRPr="0054335A">
        <w:t>fun, easy to use and accessible online platform where children with disability and developmental delay can have their say about what’s important to them.</w:t>
      </w:r>
      <w:r>
        <w:t xml:space="preserve"> Children are being asked </w:t>
      </w:r>
      <w:r w:rsidRPr="000B073D">
        <w:t xml:space="preserve">to </w:t>
      </w:r>
      <w:r>
        <w:t>share their ideas and thoughts on pl</w:t>
      </w:r>
      <w:r w:rsidRPr="000B073D">
        <w:t>aygrounds</w:t>
      </w:r>
      <w:r>
        <w:t xml:space="preserve">. </w:t>
      </w:r>
      <w:hyperlink r:id="rId54" w:tgtFrame="_blank" w:history="1">
        <w:r w:rsidRPr="000B073D">
          <w:rPr>
            <w:rStyle w:val="Hyperlink"/>
            <w:rFonts w:cs="Arial"/>
            <w:color w:val="187D32"/>
          </w:rPr>
          <w:t>More information can be found here.</w:t>
        </w:r>
      </w:hyperlink>
      <w:r w:rsidRPr="000B073D">
        <w:br/>
      </w:r>
    </w:p>
    <w:p w14:paraId="1A109BED" w14:textId="77777777" w:rsidR="00611F08" w:rsidRPr="00A910C1" w:rsidRDefault="00611F08" w:rsidP="00DC1A91">
      <w:pPr>
        <w:pStyle w:val="Quote"/>
      </w:pPr>
      <w:r w:rsidRPr="00A910C1">
        <w:rPr>
          <w:rStyle w:val="Strong"/>
          <w:rFonts w:cs="Arial"/>
          <w:i w:val="0"/>
          <w:iCs w:val="0"/>
          <w:color w:val="3E444F"/>
        </w:rPr>
        <w:t>“Being able to watch the questions in Auslan and answer by taking a photo was something I’d never seen before. It’s great that my child, who’s non-verbal, can have a voice.” – Parent</w:t>
      </w:r>
    </w:p>
    <w:p w14:paraId="0A3A9F27" w14:textId="77777777" w:rsidR="00611F08" w:rsidRDefault="00611F08" w:rsidP="00DC1A91">
      <w:pPr>
        <w:jc w:val="both"/>
        <w:rPr>
          <w:i/>
          <w:iCs/>
        </w:rPr>
      </w:pPr>
    </w:p>
    <w:p w14:paraId="05F85CA9" w14:textId="77777777" w:rsidR="00611F08" w:rsidRPr="00C30B81" w:rsidRDefault="00611F08" w:rsidP="00DC1A91">
      <w:pPr>
        <w:jc w:val="both"/>
        <w:rPr>
          <w:i/>
          <w:iCs/>
        </w:rPr>
      </w:pPr>
      <w:r w:rsidRPr="00C30B81">
        <w:rPr>
          <w:i/>
          <w:iCs/>
        </w:rPr>
        <w:t>Example 2</w:t>
      </w:r>
    </w:p>
    <w:p w14:paraId="2407696E" w14:textId="77777777" w:rsidR="00611F08" w:rsidRDefault="00000000" w:rsidP="00DC1A91">
      <w:pPr>
        <w:jc w:val="both"/>
      </w:pPr>
      <w:hyperlink r:id="rId55" w:history="1">
        <w:r w:rsidR="00611F08" w:rsidRPr="001949B6">
          <w:rPr>
            <w:rStyle w:val="Hyperlink"/>
          </w:rPr>
          <w:t>Australia’s National Children’s Commissioner</w:t>
        </w:r>
      </w:hyperlink>
      <w:r w:rsidR="00611F08">
        <w:t xml:space="preserve"> ran a survey in 2022</w:t>
      </w:r>
      <w:r w:rsidR="00611F08">
        <w:rPr>
          <w:rStyle w:val="FootnoteReference"/>
        </w:rPr>
        <w:footnoteReference w:id="63"/>
      </w:r>
      <w:r w:rsidR="00611F08">
        <w:t xml:space="preserve"> on mental health and the COVID-19 pandemic. The survey received over 4,500 responses from children aged 9-17 and produced a ‘child-friendly’ version of the report. Most children responding to the survey were in the youngest and second youngest age groups (66% aged 9–11 and 18% aged 12–13). 7% of children who responded identified as having a disability. This matches the national average for children - 7% of children in Australia have some level of disability, as of 2020.</w:t>
      </w:r>
      <w:r w:rsidR="00611F08">
        <w:rPr>
          <w:rStyle w:val="FootnoteReference"/>
        </w:rPr>
        <w:footnoteReference w:id="64"/>
      </w:r>
      <w:r w:rsidR="00611F08">
        <w:t xml:space="preserve"> The full survey report collated responses to key questions and displayed responses by demographic group, for example: </w:t>
      </w:r>
    </w:p>
    <w:p w14:paraId="4B6476FA" w14:textId="77777777" w:rsidR="00611F08" w:rsidRDefault="00611F08" w:rsidP="00DC1A91">
      <w:r w:rsidRPr="00873C99">
        <w:rPr>
          <w:noProof/>
        </w:rPr>
        <w:lastRenderedPageBreak/>
        <w:drawing>
          <wp:inline distT="0" distB="0" distL="0" distR="0" wp14:anchorId="03148EAF" wp14:editId="46B270B1">
            <wp:extent cx="4474800" cy="1789200"/>
            <wp:effectExtent l="0" t="0" r="2540" b="1905"/>
            <wp:docPr id="1" name="Picture 1" descr="Top three things that help children stay happy and hopeful across different groups:&#10;Aboriginal and/or Torres Strait&#10;Islander children (n=179):&#10;1. Support of my parents and family&#10;2. Spending time with pets&#10;3. Listening to or playing music&#10;Children with a disability (n=256):&#10;1. Support of my parents and family&#10;2. Using technology for things like&#10; games and social media&#10;3. Listening to or playing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op three things that help children stay happy and hopeful across different groups:&#10;Aboriginal and/or Torres Strait&#10;Islander children (n=179):&#10;1. Support of my parents and family&#10;2. Spending time with pets&#10;3. Listening to or playing music&#10;Children with a disability (n=256):&#10;1. Support of my parents and family&#10;2. Using technology for things like&#10; games and social media&#10;3. Listening to or playing music"/>
                    <pic:cNvPicPr/>
                  </pic:nvPicPr>
                  <pic:blipFill>
                    <a:blip r:embed="rId56"/>
                    <a:stretch>
                      <a:fillRect/>
                    </a:stretch>
                  </pic:blipFill>
                  <pic:spPr>
                    <a:xfrm>
                      <a:off x="0" y="0"/>
                      <a:ext cx="4474800" cy="1789200"/>
                    </a:xfrm>
                    <a:prstGeom prst="rect">
                      <a:avLst/>
                    </a:prstGeom>
                  </pic:spPr>
                </pic:pic>
              </a:graphicData>
            </a:graphic>
          </wp:inline>
        </w:drawing>
      </w:r>
    </w:p>
    <w:p w14:paraId="683542BD" w14:textId="77777777" w:rsidR="00611F08" w:rsidRDefault="00611F08" w:rsidP="00DC1A91"/>
    <w:p w14:paraId="5E4E3868" w14:textId="77777777" w:rsidR="00611F08" w:rsidRPr="00725A1E" w:rsidRDefault="00611F08" w:rsidP="00DC1A91">
      <w:pPr>
        <w:rPr>
          <w:i/>
          <w:iCs/>
        </w:rPr>
      </w:pPr>
      <w:r w:rsidRPr="00725A1E">
        <w:rPr>
          <w:i/>
          <w:iCs/>
        </w:rPr>
        <w:t>Example 3</w:t>
      </w:r>
    </w:p>
    <w:p w14:paraId="79D6CF42" w14:textId="77777777" w:rsidR="00611F08" w:rsidRDefault="00611F08" w:rsidP="00DC1A91">
      <w:r>
        <w:t>CYDA’s 2020 National Youth Disability Summit Position Papers</w:t>
      </w:r>
    </w:p>
    <w:p w14:paraId="40DA233E" w14:textId="77777777" w:rsidR="00611F08" w:rsidRDefault="00000000" w:rsidP="00DC1A91">
      <w:pPr>
        <w:pStyle w:val="ListParagraph"/>
        <w:numPr>
          <w:ilvl w:val="0"/>
          <w:numId w:val="31"/>
        </w:numPr>
        <w:spacing w:before="0" w:after="0" w:line="240" w:lineRule="auto"/>
        <w:jc w:val="both"/>
        <w:rPr>
          <w:rStyle w:val="Hyperlink"/>
          <w:rFonts w:cs="Arial"/>
        </w:rPr>
      </w:pPr>
      <w:hyperlink r:id="rId57" w:history="1">
        <w:r w:rsidR="00611F08">
          <w:rPr>
            <w:rStyle w:val="Hyperlink"/>
          </w:rPr>
          <w:t>National Youth Disability Summit - What young people with disability said - Education Position Paper</w:t>
        </w:r>
      </w:hyperlink>
    </w:p>
    <w:p w14:paraId="0B86DC91" w14:textId="77777777" w:rsidR="00611F08" w:rsidRDefault="00000000" w:rsidP="00DC1A91">
      <w:pPr>
        <w:pStyle w:val="ListParagraph"/>
        <w:numPr>
          <w:ilvl w:val="0"/>
          <w:numId w:val="31"/>
        </w:numPr>
        <w:spacing w:before="0" w:after="0" w:line="240" w:lineRule="auto"/>
        <w:jc w:val="both"/>
        <w:rPr>
          <w:rStyle w:val="Hyperlink"/>
          <w:rFonts w:cs="Arial"/>
        </w:rPr>
      </w:pPr>
      <w:hyperlink r:id="rId58" w:history="1">
        <w:r w:rsidR="00611F08">
          <w:rPr>
            <w:rStyle w:val="Hyperlink"/>
            <w:rFonts w:cs="Arial"/>
          </w:rPr>
          <w:t>National Youth Disability Summit - What young people with disability said - Employment Position Paper</w:t>
        </w:r>
      </w:hyperlink>
    </w:p>
    <w:p w14:paraId="4FC84E63" w14:textId="77777777" w:rsidR="00611F08" w:rsidRDefault="00000000" w:rsidP="00DC1A91">
      <w:pPr>
        <w:pStyle w:val="ListParagraph"/>
        <w:numPr>
          <w:ilvl w:val="0"/>
          <w:numId w:val="31"/>
        </w:numPr>
        <w:spacing w:before="0" w:after="0" w:line="240" w:lineRule="auto"/>
        <w:jc w:val="both"/>
        <w:rPr>
          <w:rStyle w:val="Hyperlink"/>
          <w:rFonts w:cs="Arial"/>
        </w:rPr>
      </w:pPr>
      <w:hyperlink r:id="rId59" w:history="1">
        <w:r w:rsidR="00611F08">
          <w:rPr>
            <w:rStyle w:val="Hyperlink"/>
            <w:rFonts w:cs="Arial"/>
          </w:rPr>
          <w:t>National Youth Disability Summit - What young people with disability said - Mental Health and Wellbeing Position Paper</w:t>
        </w:r>
      </w:hyperlink>
    </w:p>
    <w:p w14:paraId="52741025" w14:textId="77777777" w:rsidR="00611F08" w:rsidRDefault="00000000" w:rsidP="00DC1A91">
      <w:pPr>
        <w:pStyle w:val="ListParagraph"/>
        <w:numPr>
          <w:ilvl w:val="0"/>
          <w:numId w:val="31"/>
        </w:numPr>
        <w:spacing w:before="0" w:after="0" w:line="240" w:lineRule="auto"/>
        <w:jc w:val="both"/>
        <w:rPr>
          <w:rStyle w:val="Hyperlink"/>
          <w:rFonts w:cs="Arial"/>
        </w:rPr>
      </w:pPr>
      <w:hyperlink r:id="rId60" w:history="1">
        <w:r w:rsidR="00611F08">
          <w:rPr>
            <w:rStyle w:val="Hyperlink"/>
            <w:rFonts w:cs="Arial"/>
          </w:rPr>
          <w:t>National Youth Disability Summit - What young people with disability said - NDIS Position Paper</w:t>
        </w:r>
      </w:hyperlink>
    </w:p>
    <w:p w14:paraId="499C2FA9" w14:textId="77777777" w:rsidR="00611F08" w:rsidRDefault="00000000" w:rsidP="00DC1A91">
      <w:pPr>
        <w:pStyle w:val="ListParagraph"/>
        <w:numPr>
          <w:ilvl w:val="0"/>
          <w:numId w:val="31"/>
        </w:numPr>
        <w:spacing w:before="0" w:after="0" w:line="240" w:lineRule="auto"/>
        <w:jc w:val="both"/>
        <w:rPr>
          <w:rStyle w:val="Hyperlink"/>
          <w:rFonts w:cs="Arial"/>
        </w:rPr>
      </w:pPr>
      <w:hyperlink r:id="rId61" w:history="1">
        <w:r w:rsidR="00611F08">
          <w:rPr>
            <w:rStyle w:val="Hyperlink"/>
            <w:rFonts w:cs="Arial"/>
          </w:rPr>
          <w:t>National Youth Disability Summit - What young people with disability said - Awareness, Access and Inclusion Position Paper</w:t>
        </w:r>
      </w:hyperlink>
    </w:p>
    <w:p w14:paraId="07DD4688" w14:textId="77777777" w:rsidR="00611F08" w:rsidRDefault="00611F08" w:rsidP="00DC1A91">
      <w:pPr>
        <w:spacing w:after="0" w:line="240" w:lineRule="auto"/>
        <w:jc w:val="both"/>
        <w:rPr>
          <w:rStyle w:val="Hyperlink"/>
          <w:rFonts w:cs="Arial"/>
        </w:rPr>
      </w:pPr>
    </w:p>
    <w:p w14:paraId="20CFEF9A" w14:textId="77777777" w:rsidR="00611F08" w:rsidRPr="002B7CBC" w:rsidRDefault="00611F08" w:rsidP="002B7CBC">
      <w:pPr>
        <w:jc w:val="both"/>
        <w:rPr>
          <w:i/>
          <w:iCs/>
        </w:rPr>
      </w:pPr>
      <w:r w:rsidRPr="002B7CBC">
        <w:rPr>
          <w:i/>
          <w:iCs/>
        </w:rPr>
        <w:t>Example 4</w:t>
      </w:r>
    </w:p>
    <w:p w14:paraId="5461CA87" w14:textId="77777777" w:rsidR="00611F08" w:rsidRDefault="00611F08" w:rsidP="002B7CBC">
      <w:pPr>
        <w:spacing w:after="0"/>
        <w:jc w:val="both"/>
      </w:pPr>
      <w:r w:rsidRPr="002B7CBC">
        <w:t>LivedX 2022 series</w:t>
      </w:r>
    </w:p>
    <w:p w14:paraId="0151EAA3" w14:textId="14B37203" w:rsidR="002B7CBC" w:rsidRDefault="00611F08" w:rsidP="002B7CBC">
      <w:pPr>
        <w:spacing w:after="0"/>
        <w:jc w:val="both"/>
      </w:pPr>
      <w:r w:rsidRPr="002B7CBC">
        <w:t>Young people with disability are not accessing education, including university and Vocational Education and Training (VET), on an equal basis to their peers without disability.</w:t>
      </w:r>
      <w:r>
        <w:rPr>
          <w:rStyle w:val="FootnoteReference"/>
        </w:rPr>
        <w:footnoteReference w:id="65"/>
      </w:r>
      <w:r w:rsidRPr="002B7CBC">
        <w:t xml:space="preserve"> T</w:t>
      </w:r>
      <w:r w:rsidR="002B7CBC" w:rsidRPr="002B7CBC">
        <w:t>o understand the experiences and perspectives of young people with disability in tertiary education, CYDA hosted two consultations and a one-on-one interview, with a total of 17 participants in September and October 2021. These consultations were co-designed by a working group of young disabled people.</w:t>
      </w:r>
    </w:p>
    <w:p w14:paraId="2535878D" w14:textId="77777777" w:rsidR="00187D8D" w:rsidRPr="002B7CBC" w:rsidRDefault="00187D8D" w:rsidP="002B7CBC">
      <w:pPr>
        <w:spacing w:after="0"/>
        <w:jc w:val="both"/>
      </w:pPr>
    </w:p>
    <w:p w14:paraId="7F3D41B9" w14:textId="77777777" w:rsidR="00C77D19" w:rsidRPr="00187D8D" w:rsidRDefault="00000000" w:rsidP="00187D8D">
      <w:pPr>
        <w:pStyle w:val="ListParagraph"/>
        <w:numPr>
          <w:ilvl w:val="0"/>
          <w:numId w:val="31"/>
        </w:numPr>
        <w:spacing w:before="0" w:after="0" w:line="240" w:lineRule="auto"/>
        <w:jc w:val="both"/>
        <w:rPr>
          <w:rStyle w:val="Hyperlink"/>
        </w:rPr>
      </w:pPr>
      <w:hyperlink r:id="rId62" w:tgtFrame="_blank" w:history="1">
        <w:r w:rsidR="00C77D19" w:rsidRPr="00187D8D">
          <w:rPr>
            <w:rStyle w:val="Hyperlink"/>
          </w:rPr>
          <w:t>LivedX 1: Tertiary education and learning</w:t>
        </w:r>
      </w:hyperlink>
    </w:p>
    <w:p w14:paraId="6C0F5582" w14:textId="77777777" w:rsidR="00C77D19" w:rsidRPr="00187D8D" w:rsidRDefault="00000000" w:rsidP="00187D8D">
      <w:pPr>
        <w:pStyle w:val="ListParagraph"/>
        <w:numPr>
          <w:ilvl w:val="0"/>
          <w:numId w:val="31"/>
        </w:numPr>
        <w:spacing w:before="0" w:after="0" w:line="240" w:lineRule="auto"/>
        <w:jc w:val="both"/>
        <w:rPr>
          <w:rStyle w:val="Hyperlink"/>
        </w:rPr>
      </w:pPr>
      <w:hyperlink r:id="rId63" w:tgtFrame="_blank" w:history="1">
        <w:r w:rsidR="00C77D19" w:rsidRPr="00187D8D">
          <w:rPr>
            <w:rStyle w:val="Hyperlink"/>
          </w:rPr>
          <w:t>LivedX 2: Financial security and employment</w:t>
        </w:r>
      </w:hyperlink>
    </w:p>
    <w:p w14:paraId="23504D72" w14:textId="77777777" w:rsidR="00C77D19" w:rsidRPr="00187D8D" w:rsidRDefault="00000000" w:rsidP="00187D8D">
      <w:pPr>
        <w:pStyle w:val="ListParagraph"/>
        <w:numPr>
          <w:ilvl w:val="0"/>
          <w:numId w:val="31"/>
        </w:numPr>
        <w:spacing w:before="0" w:after="0" w:line="240" w:lineRule="auto"/>
        <w:jc w:val="both"/>
        <w:rPr>
          <w:rStyle w:val="Hyperlink"/>
        </w:rPr>
      </w:pPr>
      <w:hyperlink r:id="rId64" w:tgtFrame="_blank" w:history="1">
        <w:r w:rsidR="00C77D19" w:rsidRPr="00187D8D">
          <w:rPr>
            <w:rStyle w:val="Hyperlink"/>
          </w:rPr>
          <w:t>LivedX 3: Healthcare settings for LGBTQIA+ youth with disability</w:t>
        </w:r>
      </w:hyperlink>
    </w:p>
    <w:p w14:paraId="5AB7D392" w14:textId="77777777" w:rsidR="00C77D19" w:rsidRPr="00187D8D" w:rsidRDefault="00000000" w:rsidP="00187D8D">
      <w:pPr>
        <w:pStyle w:val="ListParagraph"/>
        <w:numPr>
          <w:ilvl w:val="0"/>
          <w:numId w:val="31"/>
        </w:numPr>
        <w:spacing w:before="0" w:after="0" w:line="240" w:lineRule="auto"/>
        <w:jc w:val="both"/>
        <w:rPr>
          <w:rStyle w:val="Hyperlink"/>
        </w:rPr>
      </w:pPr>
      <w:hyperlink r:id="rId65" w:tgtFrame="_blank" w:history="1">
        <w:r w:rsidR="00C77D19" w:rsidRPr="00187D8D">
          <w:rPr>
            <w:rStyle w:val="Hyperlink"/>
          </w:rPr>
          <w:t>LivedX 4: Community spaces for LGBTQIA+ youth with disability</w:t>
        </w:r>
      </w:hyperlink>
    </w:p>
    <w:p w14:paraId="593C7AFA" w14:textId="77777777" w:rsidR="00C77D19" w:rsidRDefault="00000000" w:rsidP="00187D8D">
      <w:pPr>
        <w:pStyle w:val="ListParagraph"/>
        <w:numPr>
          <w:ilvl w:val="0"/>
          <w:numId w:val="31"/>
        </w:numPr>
        <w:spacing w:before="0" w:after="0" w:line="240" w:lineRule="auto"/>
        <w:jc w:val="both"/>
        <w:rPr>
          <w:rFonts w:ascii="HelveticaNowText" w:hAnsi="HelveticaNowText"/>
          <w:color w:val="3E444F"/>
          <w:sz w:val="27"/>
          <w:szCs w:val="27"/>
        </w:rPr>
      </w:pPr>
      <w:hyperlink r:id="rId66" w:tgtFrame="_blank" w:history="1">
        <w:r w:rsidR="00C77D19" w:rsidRPr="00187D8D">
          <w:rPr>
            <w:rStyle w:val="Hyperlink"/>
          </w:rPr>
          <w:t>LivedX 5: Inclusion and decision making</w:t>
        </w:r>
      </w:hyperlink>
    </w:p>
    <w:p w14:paraId="4EE7849B" w14:textId="77777777" w:rsidR="00DC1A91" w:rsidRPr="00B3107A" w:rsidRDefault="00DC1A91" w:rsidP="00DC1A91">
      <w:pPr>
        <w:rPr>
          <w:rFonts w:cs="Arial"/>
        </w:rPr>
      </w:pPr>
    </w:p>
    <w:p w14:paraId="709C5241" w14:textId="6F14C4EC" w:rsidR="001F6069" w:rsidRDefault="001F6069">
      <w:pPr>
        <w:spacing w:before="0" w:line="259" w:lineRule="auto"/>
        <w:rPr>
          <w:rFonts w:ascii="Helvetica" w:eastAsiaTheme="majorEastAsia" w:hAnsi="Helvetica" w:cstheme="majorBidi"/>
          <w:color w:val="538135" w:themeColor="accent6" w:themeShade="BF"/>
          <w:sz w:val="32"/>
          <w:szCs w:val="32"/>
        </w:rPr>
      </w:pPr>
      <w:r>
        <w:rPr>
          <w:rFonts w:ascii="Helvetica" w:eastAsiaTheme="majorEastAsia" w:hAnsi="Helvetica" w:cstheme="majorBidi"/>
          <w:color w:val="538135" w:themeColor="accent6" w:themeShade="BF"/>
          <w:sz w:val="32"/>
          <w:szCs w:val="32"/>
        </w:rPr>
        <w:br w:type="page"/>
      </w:r>
    </w:p>
    <w:p w14:paraId="6CD28C90" w14:textId="00DD0793" w:rsidR="001F6069" w:rsidRPr="0099090E" w:rsidRDefault="00A7205D" w:rsidP="00A7205D">
      <w:pPr>
        <w:pStyle w:val="Heading2"/>
      </w:pPr>
      <w:bookmarkStart w:id="48" w:name="_Toc118724589"/>
      <w:bookmarkStart w:id="49" w:name="_Toc81393922"/>
      <w:bookmarkStart w:id="50" w:name="_Toc133675153"/>
      <w:r>
        <w:lastRenderedPageBreak/>
        <w:t xml:space="preserve">Appendix 2 - </w:t>
      </w:r>
      <w:r w:rsidR="001F6069" w:rsidRPr="0099090E">
        <w:t xml:space="preserve">CYDA’s work on </w:t>
      </w:r>
      <w:r w:rsidR="001F6069">
        <w:t>early childhood</w:t>
      </w:r>
      <w:bookmarkEnd w:id="50"/>
      <w:r w:rsidR="001F6069">
        <w:t xml:space="preserve"> </w:t>
      </w:r>
      <w:bookmarkEnd w:id="48"/>
    </w:p>
    <w:p w14:paraId="64675A8F" w14:textId="77777777" w:rsidR="001F6069" w:rsidRDefault="00000000" w:rsidP="001F6069">
      <w:pPr>
        <w:pStyle w:val="ListParagraph"/>
        <w:numPr>
          <w:ilvl w:val="0"/>
          <w:numId w:val="36"/>
        </w:numPr>
        <w:spacing w:before="240" w:after="240" w:line="276" w:lineRule="auto"/>
      </w:pPr>
      <w:hyperlink r:id="rId67" w:history="1">
        <w:r w:rsidR="001F6069" w:rsidRPr="002B40DA">
          <w:rPr>
            <w:rStyle w:val="Hyperlink"/>
          </w:rPr>
          <w:t>Report:</w:t>
        </w:r>
      </w:hyperlink>
      <w:r w:rsidR="001F6069" w:rsidRPr="00A415BB">
        <w:t xml:space="preserve"> Taking the first step in an inclusive life Experiences of Australian early childhood education and care</w:t>
      </w:r>
      <w:r w:rsidR="001F6069">
        <w:t xml:space="preserve"> </w:t>
      </w:r>
    </w:p>
    <w:p w14:paraId="6C0A0FAA" w14:textId="77777777" w:rsidR="001F6069" w:rsidRPr="008F1D2C" w:rsidRDefault="001F6069" w:rsidP="001F6069">
      <w:pPr>
        <w:pStyle w:val="ListParagraph"/>
        <w:numPr>
          <w:ilvl w:val="0"/>
          <w:numId w:val="36"/>
        </w:numPr>
        <w:spacing w:before="240" w:after="240" w:line="276" w:lineRule="auto"/>
        <w:rPr>
          <w:rStyle w:val="Hyperlink"/>
          <w:rFonts w:cs="Arial"/>
        </w:rPr>
      </w:pPr>
      <w:r w:rsidRPr="00C148F0">
        <w:rPr>
          <w:rFonts w:cs="Arial"/>
        </w:rPr>
        <w:t xml:space="preserve">National Framework for Protecting Australia’s Children 2009-2020, </w:t>
      </w:r>
      <w:hyperlink r:id="rId68" w:history="1">
        <w:r w:rsidRPr="00C148F0">
          <w:rPr>
            <w:rStyle w:val="Hyperlink"/>
            <w:rFonts w:cs="Arial"/>
          </w:rPr>
          <w:t>CYDA Submission</w:t>
        </w:r>
      </w:hyperlink>
    </w:p>
    <w:p w14:paraId="5907E64A" w14:textId="77777777" w:rsidR="001F6069" w:rsidRPr="00C148F0" w:rsidRDefault="001F6069" w:rsidP="001F6069">
      <w:pPr>
        <w:pStyle w:val="ListParagraph"/>
        <w:numPr>
          <w:ilvl w:val="0"/>
          <w:numId w:val="36"/>
        </w:numPr>
        <w:spacing w:before="240" w:after="240" w:line="276" w:lineRule="auto"/>
        <w:rPr>
          <w:rFonts w:cs="Arial"/>
        </w:rPr>
      </w:pPr>
      <w:r w:rsidRPr="00C148F0">
        <w:rPr>
          <w:rFonts w:cs="Arial"/>
        </w:rPr>
        <w:t xml:space="preserve">National Strategy to Prevent Child Sexual Abuse Final Development Consultation Paper </w:t>
      </w:r>
      <w:hyperlink r:id="rId69" w:history="1">
        <w:r w:rsidRPr="00C148F0">
          <w:rPr>
            <w:rStyle w:val="Hyperlink"/>
            <w:rFonts w:cs="Arial"/>
          </w:rPr>
          <w:t>Response</w:t>
        </w:r>
      </w:hyperlink>
    </w:p>
    <w:p w14:paraId="1F1A96B4" w14:textId="77777777" w:rsidR="001F6069" w:rsidRPr="00887B2A" w:rsidRDefault="001F6069" w:rsidP="001F6069">
      <w:pPr>
        <w:pStyle w:val="ListParagraph"/>
        <w:numPr>
          <w:ilvl w:val="0"/>
          <w:numId w:val="36"/>
        </w:numPr>
        <w:spacing w:before="240" w:after="240" w:line="276" w:lineRule="auto"/>
        <w:rPr>
          <w:rStyle w:val="Hyperlink"/>
          <w:rFonts w:cs="Arial"/>
        </w:rPr>
      </w:pPr>
      <w:r w:rsidRPr="00887B2A">
        <w:rPr>
          <w:rFonts w:cs="Arial"/>
        </w:rPr>
        <w:t xml:space="preserve">NDS &amp; NDIS Outcomes Framework Introductory Paper, </w:t>
      </w:r>
      <w:hyperlink r:id="rId70" w:history="1">
        <w:r w:rsidRPr="00887B2A">
          <w:rPr>
            <w:rStyle w:val="Hyperlink"/>
            <w:rFonts w:cs="Arial"/>
          </w:rPr>
          <w:t>CYDA Submission</w:t>
        </w:r>
      </w:hyperlink>
      <w:r w:rsidRPr="00887B2A">
        <w:rPr>
          <w:rStyle w:val="Hyperlink"/>
          <w:rFonts w:cs="Arial"/>
        </w:rPr>
        <w:t xml:space="preserve"> </w:t>
      </w:r>
    </w:p>
    <w:p w14:paraId="5A14277E" w14:textId="77777777" w:rsidR="001F6069" w:rsidRPr="00181C39" w:rsidRDefault="00000000" w:rsidP="001F6069">
      <w:pPr>
        <w:pStyle w:val="ListParagraph"/>
        <w:numPr>
          <w:ilvl w:val="0"/>
          <w:numId w:val="36"/>
        </w:numPr>
        <w:spacing w:before="240" w:after="240" w:line="276" w:lineRule="auto"/>
        <w:rPr>
          <w:rStyle w:val="Hyperlink"/>
          <w:rFonts w:cs="Arial"/>
        </w:rPr>
      </w:pPr>
      <w:hyperlink r:id="rId71" w:history="1">
        <w:r w:rsidR="001F6069" w:rsidRPr="00181C39">
          <w:rPr>
            <w:rStyle w:val="Hyperlink"/>
            <w:rFonts w:cs="Arial"/>
          </w:rPr>
          <w:t>Pre-Budget submission</w:t>
        </w:r>
      </w:hyperlink>
      <w:r w:rsidR="001F6069">
        <w:rPr>
          <w:rStyle w:val="Hyperlink"/>
          <w:rFonts w:cs="Arial"/>
        </w:rPr>
        <w:t xml:space="preserve">: </w:t>
      </w:r>
      <w:r w:rsidR="001F6069" w:rsidRPr="00181C39">
        <w:rPr>
          <w:rFonts w:cs="Arial"/>
        </w:rPr>
        <w:t xml:space="preserve">Drive inclusion and equity for children and young people with disability 2021-22 </w:t>
      </w:r>
    </w:p>
    <w:p w14:paraId="523BFE24" w14:textId="77777777" w:rsidR="001F6069" w:rsidRPr="00007B04" w:rsidRDefault="00000000" w:rsidP="001F6069">
      <w:pPr>
        <w:pStyle w:val="ListParagraph"/>
        <w:numPr>
          <w:ilvl w:val="0"/>
          <w:numId w:val="36"/>
        </w:numPr>
        <w:spacing w:before="240" w:after="240" w:line="276" w:lineRule="auto"/>
        <w:rPr>
          <w:rFonts w:cs="Arial"/>
        </w:rPr>
      </w:pPr>
      <w:hyperlink r:id="rId72" w:history="1">
        <w:r w:rsidR="001F6069" w:rsidRPr="006A7640">
          <w:rPr>
            <w:rStyle w:val="Hyperlink"/>
            <w:rFonts w:cs="Arial"/>
          </w:rPr>
          <w:t>Pre-Budget submission</w:t>
        </w:r>
      </w:hyperlink>
      <w:r w:rsidR="001F6069">
        <w:rPr>
          <w:rFonts w:cs="Arial"/>
        </w:rPr>
        <w:t xml:space="preserve">: </w:t>
      </w:r>
      <w:r w:rsidR="001F6069" w:rsidRPr="00007B04">
        <w:rPr>
          <w:rFonts w:cs="Arial"/>
        </w:rPr>
        <w:t>Invest in children and young people with disability: their voices and their future</w:t>
      </w:r>
      <w:r w:rsidR="001F6069">
        <w:rPr>
          <w:rFonts w:cs="Arial"/>
        </w:rPr>
        <w:t xml:space="preserve"> 2023-24</w:t>
      </w:r>
    </w:p>
    <w:p w14:paraId="62917E19" w14:textId="77777777" w:rsidR="001F6069" w:rsidRPr="00C148F0" w:rsidRDefault="001F6069" w:rsidP="001F6069">
      <w:pPr>
        <w:pStyle w:val="ListParagraph"/>
        <w:numPr>
          <w:ilvl w:val="0"/>
          <w:numId w:val="36"/>
        </w:numPr>
        <w:spacing w:before="240" w:after="240" w:line="276" w:lineRule="auto"/>
        <w:rPr>
          <w:rFonts w:cs="Arial"/>
        </w:rPr>
      </w:pPr>
      <w:r w:rsidRPr="00C148F0">
        <w:rPr>
          <w:rFonts w:cs="Arial"/>
        </w:rPr>
        <w:t xml:space="preserve">Review of the Disability Standards for Education 2005, </w:t>
      </w:r>
      <w:hyperlink r:id="rId73" w:history="1">
        <w:r w:rsidRPr="00C148F0">
          <w:rPr>
            <w:rStyle w:val="Hyperlink"/>
            <w:rFonts w:cs="Arial"/>
          </w:rPr>
          <w:t>CYDA Submission</w:t>
        </w:r>
      </w:hyperlink>
      <w:r w:rsidRPr="00361741">
        <w:rPr>
          <w:rStyle w:val="Hyperlink"/>
          <w:rFonts w:cs="Arial"/>
          <w:color w:val="000000" w:themeColor="text1"/>
        </w:rPr>
        <w:t xml:space="preserve"> 2020</w:t>
      </w:r>
    </w:p>
    <w:p w14:paraId="029F68D1" w14:textId="77777777" w:rsidR="001F6069" w:rsidRPr="006E7489" w:rsidRDefault="001F6069" w:rsidP="001F6069">
      <w:pPr>
        <w:pStyle w:val="ListParagraph"/>
        <w:numPr>
          <w:ilvl w:val="0"/>
          <w:numId w:val="36"/>
        </w:numPr>
        <w:spacing w:before="240" w:after="240" w:line="276" w:lineRule="auto"/>
        <w:rPr>
          <w:rFonts w:cs="Arial"/>
        </w:rPr>
      </w:pPr>
      <w:r>
        <w:t>S</w:t>
      </w:r>
      <w:r w:rsidRPr="00717B60">
        <w:t>enate Inquiry into on the national trend of school refusal</w:t>
      </w:r>
      <w:r>
        <w:t xml:space="preserve">, CYDA </w:t>
      </w:r>
      <w:hyperlink r:id="rId74" w:history="1">
        <w:r>
          <w:rPr>
            <w:rStyle w:val="Hyperlink"/>
          </w:rPr>
          <w:t>submission</w:t>
        </w:r>
      </w:hyperlink>
    </w:p>
    <w:p w14:paraId="3884C456" w14:textId="77777777" w:rsidR="001F6069" w:rsidRPr="00C148F0" w:rsidRDefault="001F6069" w:rsidP="001F6069">
      <w:pPr>
        <w:pStyle w:val="ListParagraph"/>
        <w:numPr>
          <w:ilvl w:val="0"/>
          <w:numId w:val="36"/>
        </w:numPr>
        <w:spacing w:before="240" w:after="240" w:line="276" w:lineRule="auto"/>
        <w:rPr>
          <w:rFonts w:cs="Arial"/>
        </w:rPr>
      </w:pPr>
      <w:r w:rsidRPr="00C148F0">
        <w:rPr>
          <w:rFonts w:cs="Arial"/>
        </w:rPr>
        <w:t xml:space="preserve">Senate Select Committee on Autism inquiry, </w:t>
      </w:r>
      <w:hyperlink r:id="rId75" w:history="1">
        <w:r w:rsidRPr="00C148F0">
          <w:rPr>
            <w:rStyle w:val="Hyperlink"/>
            <w:rFonts w:cs="Arial"/>
          </w:rPr>
          <w:t>CYDA Submission</w:t>
        </w:r>
      </w:hyperlink>
    </w:p>
    <w:bookmarkEnd w:id="49"/>
    <w:p w14:paraId="586CE9BD" w14:textId="77777777" w:rsidR="001F6069" w:rsidRPr="003B0651" w:rsidRDefault="001F6069" w:rsidP="001F6069">
      <w:pPr>
        <w:pStyle w:val="ListParagraph"/>
        <w:numPr>
          <w:ilvl w:val="0"/>
          <w:numId w:val="36"/>
        </w:numPr>
        <w:spacing w:before="240" w:after="240" w:line="276" w:lineRule="auto"/>
        <w:rPr>
          <w:rStyle w:val="Hyperlink"/>
          <w:rFonts w:cs="Arial"/>
        </w:rPr>
      </w:pPr>
      <w:r w:rsidRPr="00C148F0">
        <w:rPr>
          <w:rFonts w:cs="Arial"/>
        </w:rPr>
        <w:t xml:space="preserve">Tasmania's Child and Youth Wellbeing Strategy, </w:t>
      </w:r>
      <w:hyperlink r:id="rId76" w:history="1">
        <w:r w:rsidRPr="00C148F0">
          <w:rPr>
            <w:rStyle w:val="Hyperlink"/>
            <w:rFonts w:cs="Arial"/>
          </w:rPr>
          <w:t>CYDA Submission</w:t>
        </w:r>
      </w:hyperlink>
    </w:p>
    <w:p w14:paraId="654FE7FA" w14:textId="77777777" w:rsidR="001F6069" w:rsidRPr="00C148F0" w:rsidRDefault="00000000" w:rsidP="001F6069">
      <w:pPr>
        <w:pStyle w:val="ListParagraph"/>
        <w:numPr>
          <w:ilvl w:val="0"/>
          <w:numId w:val="36"/>
        </w:numPr>
        <w:spacing w:line="276" w:lineRule="auto"/>
        <w:rPr>
          <w:rFonts w:cs="Arial"/>
        </w:rPr>
      </w:pPr>
      <w:hyperlink r:id="rId77" w:history="1">
        <w:r w:rsidR="001F6069" w:rsidRPr="00C148F0">
          <w:rPr>
            <w:rStyle w:val="Hyperlink"/>
            <w:rFonts w:cs="Arial"/>
          </w:rPr>
          <w:t>Submission</w:t>
        </w:r>
      </w:hyperlink>
      <w:r w:rsidR="001F6069" w:rsidRPr="00C148F0">
        <w:rPr>
          <w:rStyle w:val="Hyperlink"/>
          <w:rFonts w:cs="Arial"/>
        </w:rPr>
        <w:t xml:space="preserve"> </w:t>
      </w:r>
      <w:r w:rsidR="001F6069" w:rsidRPr="00C148F0">
        <w:rPr>
          <w:rFonts w:cs="Arial"/>
        </w:rPr>
        <w:t>to the National Disability Strategy beyond 2020</w:t>
      </w:r>
    </w:p>
    <w:p w14:paraId="45834660" w14:textId="77777777" w:rsidR="001F6069" w:rsidRPr="00C148F0" w:rsidRDefault="00000000" w:rsidP="001F6069">
      <w:pPr>
        <w:pStyle w:val="ListParagraph"/>
        <w:numPr>
          <w:ilvl w:val="0"/>
          <w:numId w:val="36"/>
        </w:numPr>
        <w:spacing w:line="276" w:lineRule="auto"/>
        <w:rPr>
          <w:rFonts w:cs="Arial"/>
        </w:rPr>
      </w:pPr>
      <w:hyperlink r:id="rId78" w:history="1">
        <w:r w:rsidR="001F6069" w:rsidRPr="00C148F0">
          <w:rPr>
            <w:rStyle w:val="Hyperlink"/>
            <w:rFonts w:cs="Arial"/>
          </w:rPr>
          <w:t xml:space="preserve">Response </w:t>
        </w:r>
      </w:hyperlink>
      <w:r w:rsidR="001F6069" w:rsidRPr="00C148F0">
        <w:rPr>
          <w:rFonts w:cs="Arial"/>
        </w:rPr>
        <w:t>to the DRC’s Rights and Attitudes issues paper</w:t>
      </w:r>
    </w:p>
    <w:p w14:paraId="582FA192" w14:textId="77777777" w:rsidR="001F6069" w:rsidRPr="00C148F0" w:rsidRDefault="00000000" w:rsidP="001F6069">
      <w:pPr>
        <w:pStyle w:val="ListParagraph"/>
        <w:numPr>
          <w:ilvl w:val="0"/>
          <w:numId w:val="36"/>
        </w:numPr>
        <w:spacing w:line="276" w:lineRule="auto"/>
        <w:rPr>
          <w:rFonts w:cs="Arial"/>
        </w:rPr>
      </w:pPr>
      <w:hyperlink r:id="rId79" w:history="1">
        <w:r w:rsidR="001F6069" w:rsidRPr="00C148F0">
          <w:rPr>
            <w:rStyle w:val="Hyperlink"/>
            <w:rFonts w:cs="Arial"/>
          </w:rPr>
          <w:t>What young people with disability said: Awareness, Access + Inclusion</w:t>
        </w:r>
      </w:hyperlink>
      <w:r w:rsidR="001F6069" w:rsidRPr="00C148F0">
        <w:rPr>
          <w:rFonts w:cs="Arial"/>
        </w:rPr>
        <w:t xml:space="preserve"> </w:t>
      </w:r>
    </w:p>
    <w:p w14:paraId="36564FEE" w14:textId="77777777" w:rsidR="001F6069" w:rsidRPr="00C148F0" w:rsidRDefault="00000000" w:rsidP="001F6069">
      <w:pPr>
        <w:pStyle w:val="ListParagraph"/>
        <w:numPr>
          <w:ilvl w:val="0"/>
          <w:numId w:val="36"/>
        </w:numPr>
        <w:spacing w:line="276" w:lineRule="auto"/>
        <w:rPr>
          <w:rFonts w:cs="Arial"/>
        </w:rPr>
      </w:pPr>
      <w:hyperlink r:id="rId80" w:history="1">
        <w:r w:rsidR="001F6069" w:rsidRPr="00C148F0">
          <w:rPr>
            <w:rStyle w:val="Hyperlink"/>
            <w:rFonts w:cs="Arial"/>
          </w:rPr>
          <w:t xml:space="preserve">Briefing Paper </w:t>
        </w:r>
      </w:hyperlink>
      <w:r w:rsidR="001F6069" w:rsidRPr="00C148F0">
        <w:rPr>
          <w:rFonts w:cs="Arial"/>
        </w:rPr>
        <w:t xml:space="preserve">for the Families Australia and Children and Young People with Disability Australia (CYDA) Forum </w:t>
      </w:r>
    </w:p>
    <w:p w14:paraId="28453AE6" w14:textId="77777777" w:rsidR="001F6069" w:rsidRPr="00FC72E8" w:rsidRDefault="00000000" w:rsidP="001F6069">
      <w:pPr>
        <w:pStyle w:val="ListParagraph"/>
        <w:numPr>
          <w:ilvl w:val="0"/>
          <w:numId w:val="36"/>
        </w:numPr>
        <w:spacing w:before="240" w:after="240" w:line="276" w:lineRule="auto"/>
        <w:rPr>
          <w:rFonts w:cs="Arial"/>
        </w:rPr>
      </w:pPr>
      <w:hyperlink r:id="rId81" w:history="1">
        <w:r w:rsidR="001F6069" w:rsidRPr="005B69D6">
          <w:rPr>
            <w:rStyle w:val="Hyperlink"/>
            <w:rFonts w:cs="Arial"/>
          </w:rPr>
          <w:t>Submission</w:t>
        </w:r>
      </w:hyperlink>
      <w:r w:rsidR="001F6069" w:rsidRPr="00FA2D1F">
        <w:rPr>
          <w:rFonts w:cs="Arial"/>
        </w:rPr>
        <w:t xml:space="preserve"> to the Supporting young children and their families early, to reach their full potential consultation paper</w:t>
      </w:r>
    </w:p>
    <w:p w14:paraId="02F15071" w14:textId="77777777" w:rsidR="001F6069" w:rsidRPr="00250345" w:rsidRDefault="001F6069" w:rsidP="001F6069">
      <w:pPr>
        <w:spacing w:before="0" w:line="276" w:lineRule="auto"/>
        <w:ind w:left="360"/>
        <w:rPr>
          <w:rFonts w:cs="Arial"/>
          <w:color w:val="0563C1" w:themeColor="hyperlink"/>
          <w:u w:val="single"/>
        </w:rPr>
      </w:pPr>
      <w:bookmarkStart w:id="51" w:name="_Toc119931808"/>
      <w:r w:rsidRPr="008B52A2">
        <w:rPr>
          <w:rFonts w:cs="Arial"/>
          <w:b/>
          <w:bCs/>
        </w:rPr>
        <w:t>CYDA fact sheets</w:t>
      </w:r>
      <w:bookmarkEnd w:id="51"/>
      <w:r w:rsidRPr="008B52A2">
        <w:rPr>
          <w:rFonts w:cs="Arial"/>
          <w:b/>
          <w:bCs/>
        </w:rPr>
        <w:t xml:space="preserve"> </w:t>
      </w:r>
    </w:p>
    <w:p w14:paraId="7EA7AC14" w14:textId="77777777" w:rsidR="001F6069" w:rsidRPr="00250345" w:rsidRDefault="00000000" w:rsidP="001F6069">
      <w:pPr>
        <w:pStyle w:val="ListParagraph"/>
        <w:numPr>
          <w:ilvl w:val="0"/>
          <w:numId w:val="37"/>
        </w:numPr>
        <w:spacing w:before="0" w:line="276" w:lineRule="auto"/>
        <w:rPr>
          <w:rFonts w:cs="Arial"/>
          <w:color w:val="0563C1" w:themeColor="hyperlink"/>
          <w:u w:val="single"/>
        </w:rPr>
      </w:pPr>
      <w:hyperlink r:id="rId82" w:tgtFrame="_blank" w:history="1">
        <w:r w:rsidR="001F6069" w:rsidRPr="00250345">
          <w:rPr>
            <w:rStyle w:val="Hyperlink"/>
            <w:rFonts w:cs="Arial"/>
          </w:rPr>
          <w:t>Understanding ECI language</w:t>
        </w:r>
      </w:hyperlink>
    </w:p>
    <w:p w14:paraId="018181D8" w14:textId="77777777" w:rsidR="001F6069" w:rsidRPr="00C148F0" w:rsidRDefault="00000000" w:rsidP="001F6069">
      <w:pPr>
        <w:pStyle w:val="ListParagraph"/>
        <w:numPr>
          <w:ilvl w:val="0"/>
          <w:numId w:val="37"/>
        </w:numPr>
        <w:spacing w:before="0" w:line="276" w:lineRule="auto"/>
        <w:rPr>
          <w:rStyle w:val="Hyperlink"/>
          <w:rFonts w:cs="Arial"/>
        </w:rPr>
      </w:pPr>
      <w:hyperlink r:id="rId83" w:tgtFrame="_blank" w:history="1">
        <w:r w:rsidR="001F6069" w:rsidRPr="00C148F0">
          <w:rPr>
            <w:rStyle w:val="Hyperlink"/>
            <w:rFonts w:cs="Arial"/>
          </w:rPr>
          <w:t>Supporting the development of children and young people with disability</w:t>
        </w:r>
      </w:hyperlink>
      <w:r w:rsidR="001F6069" w:rsidRPr="00C148F0">
        <w:rPr>
          <w:rStyle w:val="Hyperlink"/>
          <w:rFonts w:cs="Arial"/>
        </w:rPr>
        <w:t xml:space="preserve"> </w:t>
      </w:r>
    </w:p>
    <w:p w14:paraId="605EE859" w14:textId="77777777" w:rsidR="001F6069" w:rsidRPr="00C148F0" w:rsidRDefault="00000000" w:rsidP="001F6069">
      <w:pPr>
        <w:pStyle w:val="ListParagraph"/>
        <w:numPr>
          <w:ilvl w:val="0"/>
          <w:numId w:val="37"/>
        </w:numPr>
        <w:spacing w:before="0" w:line="276" w:lineRule="auto"/>
        <w:rPr>
          <w:rStyle w:val="Hyperlink"/>
          <w:rFonts w:cs="Arial"/>
        </w:rPr>
      </w:pPr>
      <w:hyperlink r:id="rId84" w:tgtFrame="_blank" w:history="1">
        <w:r w:rsidR="001F6069" w:rsidRPr="00C148F0">
          <w:rPr>
            <w:rStyle w:val="Hyperlink"/>
            <w:rFonts w:cs="Arial"/>
          </w:rPr>
          <w:t>Services and supports in the early years</w:t>
        </w:r>
      </w:hyperlink>
      <w:r w:rsidR="001F6069" w:rsidRPr="00C148F0">
        <w:rPr>
          <w:rStyle w:val="Hyperlink"/>
          <w:rFonts w:cs="Arial"/>
        </w:rPr>
        <w:t xml:space="preserve"> </w:t>
      </w:r>
    </w:p>
    <w:p w14:paraId="340496F8" w14:textId="77777777" w:rsidR="001F6069" w:rsidRPr="00C148F0" w:rsidRDefault="00000000" w:rsidP="001F6069">
      <w:pPr>
        <w:pStyle w:val="ListParagraph"/>
        <w:numPr>
          <w:ilvl w:val="0"/>
          <w:numId w:val="37"/>
        </w:numPr>
        <w:spacing w:before="0" w:line="276" w:lineRule="auto"/>
        <w:rPr>
          <w:rStyle w:val="Hyperlink"/>
          <w:rFonts w:cs="Arial"/>
        </w:rPr>
      </w:pPr>
      <w:hyperlink r:id="rId85" w:tgtFrame="_blank" w:history="1">
        <w:r w:rsidR="001F6069" w:rsidRPr="00C148F0">
          <w:rPr>
            <w:rStyle w:val="Hyperlink"/>
            <w:rFonts w:cs="Arial"/>
          </w:rPr>
          <w:t>About family-centred practice</w:t>
        </w:r>
      </w:hyperlink>
      <w:r w:rsidR="001F6069" w:rsidRPr="00C148F0">
        <w:rPr>
          <w:rStyle w:val="Hyperlink"/>
          <w:rFonts w:cs="Arial"/>
        </w:rPr>
        <w:t xml:space="preserve"> </w:t>
      </w:r>
    </w:p>
    <w:p w14:paraId="2F2077F8" w14:textId="77777777" w:rsidR="001F6069" w:rsidRPr="00C148F0" w:rsidRDefault="00000000" w:rsidP="001F6069">
      <w:pPr>
        <w:pStyle w:val="ListParagraph"/>
        <w:numPr>
          <w:ilvl w:val="0"/>
          <w:numId w:val="37"/>
        </w:numPr>
        <w:spacing w:before="0" w:line="276" w:lineRule="auto"/>
        <w:rPr>
          <w:rStyle w:val="Hyperlink"/>
          <w:rFonts w:cs="Arial"/>
        </w:rPr>
      </w:pPr>
      <w:hyperlink r:id="rId86" w:tgtFrame="_blank" w:history="1">
        <w:r w:rsidR="001F6069" w:rsidRPr="00C148F0">
          <w:rPr>
            <w:rStyle w:val="Hyperlink"/>
            <w:rFonts w:cs="Arial"/>
          </w:rPr>
          <w:t>Building strong families</w:t>
        </w:r>
      </w:hyperlink>
    </w:p>
    <w:p w14:paraId="0BA730B3" w14:textId="77777777" w:rsidR="001F6069" w:rsidRDefault="00000000" w:rsidP="001F6069">
      <w:pPr>
        <w:pStyle w:val="ListParagraph"/>
        <w:numPr>
          <w:ilvl w:val="0"/>
          <w:numId w:val="37"/>
        </w:numPr>
        <w:spacing w:before="0" w:line="276" w:lineRule="auto"/>
        <w:rPr>
          <w:rStyle w:val="Hyperlink"/>
          <w:rFonts w:cs="Arial"/>
        </w:rPr>
      </w:pPr>
      <w:hyperlink r:id="rId87" w:history="1">
        <w:r w:rsidR="001F6069" w:rsidRPr="00F46609">
          <w:rPr>
            <w:rStyle w:val="Hyperlink"/>
            <w:rFonts w:cs="Arial"/>
          </w:rPr>
          <w:t>Tips for early intervention from CYDA Webinar on Early Childhood</w:t>
        </w:r>
      </w:hyperlink>
    </w:p>
    <w:p w14:paraId="28040112" w14:textId="77777777" w:rsidR="001F6069" w:rsidRDefault="00000000" w:rsidP="001F6069">
      <w:pPr>
        <w:pStyle w:val="ListParagraph"/>
        <w:numPr>
          <w:ilvl w:val="0"/>
          <w:numId w:val="37"/>
        </w:numPr>
        <w:spacing w:before="0" w:line="276" w:lineRule="auto"/>
        <w:rPr>
          <w:rStyle w:val="Hyperlink"/>
          <w:rFonts w:cs="Arial"/>
        </w:rPr>
      </w:pPr>
      <w:hyperlink r:id="rId88" w:history="1">
        <w:r w:rsidR="001F6069" w:rsidRPr="00882BD3">
          <w:rPr>
            <w:rStyle w:val="Hyperlink"/>
            <w:rFonts w:cs="Arial"/>
          </w:rPr>
          <w:t>What is inclusive education?</w:t>
        </w:r>
      </w:hyperlink>
    </w:p>
    <w:p w14:paraId="3CA9D24D" w14:textId="77777777" w:rsidR="001F6069" w:rsidRDefault="00000000" w:rsidP="001F6069">
      <w:pPr>
        <w:pStyle w:val="ListParagraph"/>
        <w:numPr>
          <w:ilvl w:val="0"/>
          <w:numId w:val="37"/>
        </w:numPr>
        <w:spacing w:before="0" w:line="276" w:lineRule="auto"/>
        <w:rPr>
          <w:rStyle w:val="Hyperlink"/>
          <w:rFonts w:cs="Arial"/>
        </w:rPr>
      </w:pPr>
      <w:hyperlink r:id="rId89" w:history="1">
        <w:r w:rsidR="001F6069" w:rsidRPr="008468EC">
          <w:rPr>
            <w:rStyle w:val="Hyperlink"/>
            <w:rFonts w:cs="Arial"/>
          </w:rPr>
          <w:t>Addressing ableism in education</w:t>
        </w:r>
      </w:hyperlink>
    </w:p>
    <w:p w14:paraId="0AD3723F" w14:textId="77777777" w:rsidR="00AF04DE" w:rsidRPr="00611F08" w:rsidRDefault="00AF04DE" w:rsidP="00611F08">
      <w:pPr>
        <w:spacing w:before="0" w:line="259" w:lineRule="auto"/>
        <w:rPr>
          <w:rFonts w:ascii="Helvetica" w:eastAsiaTheme="majorEastAsia" w:hAnsi="Helvetica" w:cstheme="majorBidi"/>
          <w:color w:val="538135" w:themeColor="accent6" w:themeShade="BF"/>
          <w:sz w:val="32"/>
          <w:szCs w:val="32"/>
        </w:rPr>
      </w:pPr>
    </w:p>
    <w:sectPr w:rsidR="00AF04DE" w:rsidRPr="00611F08">
      <w:footerReference w:type="default" r:id="rId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16078" w14:textId="77777777" w:rsidR="00902E9F" w:rsidRDefault="00902E9F" w:rsidP="00C715B2">
      <w:pPr>
        <w:spacing w:before="0" w:after="0" w:line="240" w:lineRule="auto"/>
      </w:pPr>
      <w:r>
        <w:separator/>
      </w:r>
    </w:p>
  </w:endnote>
  <w:endnote w:type="continuationSeparator" w:id="0">
    <w:p w14:paraId="6BBC8B4C" w14:textId="77777777" w:rsidR="00902E9F" w:rsidRDefault="00902E9F" w:rsidP="00C715B2">
      <w:pPr>
        <w:spacing w:before="0" w:after="0" w:line="240" w:lineRule="auto"/>
      </w:pPr>
      <w:r>
        <w:continuationSeparator/>
      </w:r>
    </w:p>
  </w:endnote>
  <w:endnote w:type="continuationNotice" w:id="1">
    <w:p w14:paraId="1076367B" w14:textId="77777777" w:rsidR="00902E9F" w:rsidRDefault="00902E9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HelveticaNeue-Bold">
    <w:altName w:val="Arial"/>
    <w:charset w:val="4D"/>
    <w:family w:val="auto"/>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HelveticaNowTex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A963" w14:textId="77777777" w:rsidR="00905C00" w:rsidRDefault="00905C00">
    <w:pPr>
      <w:pStyle w:val="Footer"/>
      <w:jc w:val="center"/>
    </w:pPr>
    <w:r w:rsidRPr="006D5539">
      <w:rPr>
        <w:noProof/>
        <w:lang w:eastAsia="en-AU"/>
      </w:rPr>
      <w:drawing>
        <wp:anchor distT="0" distB="0" distL="114300" distR="114300" simplePos="0" relativeHeight="251658241" behindDoc="1" locked="0" layoutInCell="1" allowOverlap="1" wp14:anchorId="511E8186" wp14:editId="1A5BE1A0">
          <wp:simplePos x="0" y="0"/>
          <wp:positionH relativeFrom="margin">
            <wp:align>right</wp:align>
          </wp:positionH>
          <wp:positionV relativeFrom="paragraph">
            <wp:posOffset>-183543</wp:posOffset>
          </wp:positionV>
          <wp:extent cx="2186940" cy="689610"/>
          <wp:effectExtent l="0" t="0" r="3810" b="0"/>
          <wp:wrapTight wrapText="bothSides">
            <wp:wrapPolygon edited="0">
              <wp:start x="0" y="0"/>
              <wp:lineTo x="0" y="20884"/>
              <wp:lineTo x="21449" y="20884"/>
              <wp:lineTo x="21449" y="0"/>
              <wp:lineTo x="0" y="0"/>
            </wp:wrapPolygon>
          </wp:wrapTight>
          <wp:docPr id="5" name="Picture 5" descr="F:\ADMINISTRATION\CYDA Logos\CYDA logo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DMINISTRATION\CYDA Logos\CYDA logo - 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694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AC2FA0" w14:textId="77777777" w:rsidR="00905C00" w:rsidRDefault="00905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E2638" w14:textId="61CFD0B2" w:rsidR="005E74B0" w:rsidRDefault="00F458C3" w:rsidP="001F1911">
    <w:pPr>
      <w:pStyle w:val="Footer"/>
      <w:ind w:hanging="284"/>
    </w:pPr>
    <w:r>
      <w:t xml:space="preserve">CYDA’s submission </w:t>
    </w:r>
    <w:r w:rsidRPr="008503FD">
      <w:t xml:space="preserve">to </w:t>
    </w:r>
    <w:r>
      <w:t xml:space="preserve">the Australian Government’s </w:t>
    </w:r>
    <w:r w:rsidRPr="008503FD">
      <w:t>Early Years Strategy Discussion Paper</w:t>
    </w:r>
    <w:sdt>
      <w:sdtPr>
        <w:id w:val="1872725270"/>
        <w:docPartObj>
          <w:docPartGallery w:val="Page Numbers (Bottom of Page)"/>
          <w:docPartUnique/>
        </w:docPartObj>
      </w:sdtPr>
      <w:sdtEndPr>
        <w:rPr>
          <w:noProof/>
        </w:rPr>
      </w:sdtEndPr>
      <w:sdtContent>
        <w:r w:rsidR="001F1911">
          <w:t xml:space="preserve">  </w:t>
        </w:r>
        <w:r w:rsidR="005E74B0">
          <w:fldChar w:fldCharType="begin"/>
        </w:r>
        <w:r w:rsidR="005E74B0">
          <w:instrText xml:space="preserve"> PAGE   \* MERGEFORMAT </w:instrText>
        </w:r>
        <w:r w:rsidR="005E74B0">
          <w:fldChar w:fldCharType="separate"/>
        </w:r>
        <w:r w:rsidR="005E74B0">
          <w:rPr>
            <w:noProof/>
          </w:rPr>
          <w:t>2</w:t>
        </w:r>
        <w:r w:rsidR="005E74B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C60E0" w14:textId="77777777" w:rsidR="00902E9F" w:rsidRDefault="00902E9F" w:rsidP="00C715B2">
      <w:pPr>
        <w:spacing w:before="0" w:after="0" w:line="240" w:lineRule="auto"/>
      </w:pPr>
      <w:r>
        <w:separator/>
      </w:r>
    </w:p>
  </w:footnote>
  <w:footnote w:type="continuationSeparator" w:id="0">
    <w:p w14:paraId="197DA198" w14:textId="77777777" w:rsidR="00902E9F" w:rsidRDefault="00902E9F" w:rsidP="00C715B2">
      <w:pPr>
        <w:spacing w:before="0" w:after="0" w:line="240" w:lineRule="auto"/>
      </w:pPr>
      <w:r>
        <w:continuationSeparator/>
      </w:r>
    </w:p>
  </w:footnote>
  <w:footnote w:type="continuationNotice" w:id="1">
    <w:p w14:paraId="1E735028" w14:textId="77777777" w:rsidR="00902E9F" w:rsidRDefault="00902E9F">
      <w:pPr>
        <w:spacing w:before="0" w:after="0" w:line="240" w:lineRule="auto"/>
      </w:pPr>
    </w:p>
  </w:footnote>
  <w:footnote w:id="2">
    <w:p w14:paraId="40FB420F" w14:textId="77777777" w:rsidR="00066D4C" w:rsidRPr="008E6190" w:rsidRDefault="00066D4C" w:rsidP="00066D4C">
      <w:pPr>
        <w:pStyle w:val="FootnoteText"/>
        <w:rPr>
          <w:lang w:val="en-US"/>
        </w:rPr>
      </w:pPr>
      <w:r>
        <w:rPr>
          <w:rStyle w:val="FootnoteReference"/>
        </w:rPr>
        <w:footnoteRef/>
      </w:r>
      <w:r>
        <w:t xml:space="preserve"> </w:t>
      </w:r>
      <w:r w:rsidRPr="008E6190">
        <w:rPr>
          <w:sz w:val="18"/>
          <w:szCs w:val="18"/>
        </w:rPr>
        <w:t xml:space="preserve">Dickinson, H., Smith, C., Yates, S., Faulkner, A. (2022) Taking the first step in an inclusive life – experiences of Australian early childhood education and care. </w:t>
      </w:r>
      <w:bookmarkStart w:id="2" w:name="_Hlk133305735"/>
      <w:r w:rsidRPr="008E6190">
        <w:rPr>
          <w:sz w:val="18"/>
          <w:szCs w:val="18"/>
        </w:rPr>
        <w:t>Report prepared for Children and Young People with Disability Australia (CYDA),</w:t>
      </w:r>
      <w:bookmarkEnd w:id="2"/>
      <w:r w:rsidRPr="008E6190">
        <w:rPr>
          <w:sz w:val="18"/>
          <w:szCs w:val="18"/>
        </w:rPr>
        <w:t xml:space="preserve"> Melbourne.</w:t>
      </w:r>
      <w:hyperlink r:id="rId1" w:history="1">
        <w:r w:rsidRPr="0042475A">
          <w:rPr>
            <w:rStyle w:val="Hyperlink"/>
            <w:sz w:val="18"/>
            <w:szCs w:val="18"/>
          </w:rPr>
          <w:t>https://cyda.org.au/search/details/352/report-taking-the-first-step-in-an-inclusive-life-experiences-of-australian-early-childhood-education-and-care</w:t>
        </w:r>
      </w:hyperlink>
    </w:p>
  </w:footnote>
  <w:footnote w:id="3">
    <w:p w14:paraId="787FD571" w14:textId="77777777" w:rsidR="00443141" w:rsidRPr="004F7D74" w:rsidRDefault="00443141" w:rsidP="00443141">
      <w:pPr>
        <w:pStyle w:val="FootnoteText"/>
        <w:rPr>
          <w:sz w:val="18"/>
          <w:szCs w:val="18"/>
          <w:lang w:val="en-US"/>
        </w:rPr>
      </w:pPr>
      <w:r w:rsidRPr="004F7D74">
        <w:rPr>
          <w:rStyle w:val="FootnoteReference"/>
          <w:sz w:val="18"/>
          <w:szCs w:val="18"/>
        </w:rPr>
        <w:footnoteRef/>
      </w:r>
      <w:r w:rsidRPr="004F7D74">
        <w:rPr>
          <w:sz w:val="18"/>
          <w:szCs w:val="18"/>
        </w:rPr>
        <w:t xml:space="preserve"> Schmitt, M.T. Et. Al. (2014). </w:t>
      </w:r>
      <w:r w:rsidRPr="004F7D74">
        <w:rPr>
          <w:i/>
          <w:iCs/>
          <w:sz w:val="18"/>
          <w:szCs w:val="18"/>
        </w:rPr>
        <w:t>The Consequences of Perceived Discrimination for Psychological Well-Being: A Meta-Analytic Review.</w:t>
      </w:r>
      <w:r w:rsidRPr="004F7D74">
        <w:rPr>
          <w:sz w:val="18"/>
          <w:szCs w:val="18"/>
        </w:rPr>
        <w:t xml:space="preserve"> Psychological Bulletin, Vol 140(4), pp.921-948.</w:t>
      </w:r>
    </w:p>
  </w:footnote>
  <w:footnote w:id="4">
    <w:p w14:paraId="5B2C3A26" w14:textId="77777777" w:rsidR="00443141" w:rsidRPr="00F7687F" w:rsidRDefault="00443141" w:rsidP="00443141">
      <w:pPr>
        <w:pStyle w:val="FootnoteText"/>
        <w:rPr>
          <w:sz w:val="18"/>
          <w:szCs w:val="18"/>
          <w:lang w:val="en-US"/>
        </w:rPr>
      </w:pPr>
      <w:r w:rsidRPr="004F7D74">
        <w:rPr>
          <w:rStyle w:val="FootnoteReference"/>
          <w:sz w:val="18"/>
          <w:szCs w:val="18"/>
        </w:rPr>
        <w:footnoteRef/>
      </w:r>
      <w:r w:rsidRPr="004F7D74">
        <w:rPr>
          <w:sz w:val="18"/>
          <w:szCs w:val="18"/>
        </w:rPr>
        <w:t xml:space="preserve"> </w:t>
      </w:r>
      <w:r>
        <w:rPr>
          <w:sz w:val="18"/>
          <w:szCs w:val="18"/>
        </w:rPr>
        <w:t xml:space="preserve">Ullmann, H. Et Al. (2022). </w:t>
      </w:r>
      <w:r>
        <w:rPr>
          <w:i/>
          <w:iCs/>
          <w:sz w:val="18"/>
          <w:szCs w:val="18"/>
        </w:rPr>
        <w:t>Stressful Life Events Among Children Aged 5-17 Years by Disability Status: United States 2019</w:t>
      </w:r>
      <w:r>
        <w:rPr>
          <w:sz w:val="18"/>
          <w:szCs w:val="18"/>
        </w:rPr>
        <w:t>. NCHS Data Brief No. 431. Available at:</w:t>
      </w:r>
      <w:r w:rsidRPr="00F7687F">
        <w:t xml:space="preserve"> </w:t>
      </w:r>
      <w:hyperlink r:id="rId2" w:history="1">
        <w:r w:rsidRPr="00CC7E80">
          <w:rPr>
            <w:rStyle w:val="Hyperlink"/>
            <w:sz w:val="18"/>
            <w:szCs w:val="18"/>
          </w:rPr>
          <w:t>https://www.cdc.gov/nchs/products/databriefs/db431.htm</w:t>
        </w:r>
      </w:hyperlink>
      <w:r>
        <w:rPr>
          <w:sz w:val="18"/>
          <w:szCs w:val="18"/>
        </w:rPr>
        <w:t xml:space="preserve">  </w:t>
      </w:r>
    </w:p>
  </w:footnote>
  <w:footnote w:id="5">
    <w:p w14:paraId="4ABFA570" w14:textId="77777777" w:rsidR="00443141" w:rsidRPr="004F7D74" w:rsidRDefault="00443141" w:rsidP="00443141">
      <w:pPr>
        <w:pStyle w:val="FootnoteText"/>
        <w:rPr>
          <w:sz w:val="18"/>
          <w:szCs w:val="18"/>
          <w:lang w:val="en-US"/>
        </w:rPr>
      </w:pPr>
      <w:r w:rsidRPr="004F7D74">
        <w:rPr>
          <w:rStyle w:val="FootnoteReference"/>
          <w:sz w:val="18"/>
          <w:szCs w:val="18"/>
        </w:rPr>
        <w:footnoteRef/>
      </w:r>
      <w:r w:rsidRPr="004F7D74">
        <w:rPr>
          <w:sz w:val="18"/>
          <w:szCs w:val="18"/>
        </w:rPr>
        <w:t xml:space="preserve"> See </w:t>
      </w:r>
      <w:r>
        <w:rPr>
          <w:sz w:val="18"/>
          <w:szCs w:val="18"/>
        </w:rPr>
        <w:t xml:space="preserve">‘Document Library’ for progress reports </w:t>
      </w:r>
      <w:hyperlink r:id="rId3" w:history="1">
        <w:r w:rsidRPr="00CC7E80">
          <w:rPr>
            <w:rStyle w:val="Hyperlink"/>
            <w:sz w:val="18"/>
            <w:szCs w:val="18"/>
          </w:rPr>
          <w:t>https://disability.royalcommission.gov.au/document-library</w:t>
        </w:r>
      </w:hyperlink>
      <w:r>
        <w:rPr>
          <w:sz w:val="18"/>
          <w:szCs w:val="18"/>
        </w:rPr>
        <w:t xml:space="preserve"> </w:t>
      </w:r>
    </w:p>
  </w:footnote>
  <w:footnote w:id="6">
    <w:p w14:paraId="6BE8DF29" w14:textId="77777777" w:rsidR="00141A96" w:rsidRPr="00003972" w:rsidRDefault="00141A96" w:rsidP="00141A96">
      <w:pPr>
        <w:pStyle w:val="FootnoteText"/>
        <w:rPr>
          <w:rFonts w:cs="Arial"/>
        </w:rPr>
      </w:pPr>
      <w:r w:rsidRPr="00003972">
        <w:rPr>
          <w:rStyle w:val="FootnoteReference"/>
          <w:rFonts w:cs="Arial"/>
        </w:rPr>
        <w:footnoteRef/>
      </w:r>
      <w:r w:rsidRPr="00003972">
        <w:rPr>
          <w:rFonts w:cs="Arial"/>
        </w:rPr>
        <w:t xml:space="preserve"> Convention on the Rights of the Child, </w:t>
      </w:r>
      <w:r>
        <w:rPr>
          <w:rFonts w:cs="Arial"/>
        </w:rPr>
        <w:t xml:space="preserve">United Nations, </w:t>
      </w:r>
      <w:r w:rsidRPr="00003972">
        <w:rPr>
          <w:rFonts w:cs="Arial"/>
        </w:rPr>
        <w:t xml:space="preserve">1989 entry into force 2 September 1990, in accordance with article 49, </w:t>
      </w:r>
      <w:hyperlink r:id="rId4" w:history="1">
        <w:r w:rsidRPr="00003972">
          <w:rPr>
            <w:rStyle w:val="Hyperlink"/>
            <w:rFonts w:cs="Arial"/>
          </w:rPr>
          <w:t>https://www.unicef.org/child-rights-convention/convention-text</w:t>
        </w:r>
      </w:hyperlink>
      <w:r w:rsidRPr="00003972">
        <w:rPr>
          <w:rFonts w:cs="Arial"/>
        </w:rPr>
        <w:t xml:space="preserve"> </w:t>
      </w:r>
    </w:p>
  </w:footnote>
  <w:footnote w:id="7">
    <w:p w14:paraId="463BBFB3" w14:textId="77777777" w:rsidR="00FD3FDA" w:rsidRPr="00003972" w:rsidRDefault="00FD3FDA" w:rsidP="00FD3FDA">
      <w:pPr>
        <w:pStyle w:val="FootnoteText"/>
        <w:rPr>
          <w:rFonts w:cs="Arial"/>
        </w:rPr>
      </w:pPr>
      <w:r w:rsidRPr="00003972">
        <w:rPr>
          <w:rStyle w:val="FootnoteReference"/>
          <w:rFonts w:cs="Arial"/>
          <w:color w:val="000000" w:themeColor="text1"/>
        </w:rPr>
        <w:footnoteRef/>
      </w:r>
      <w:r w:rsidRPr="00003972">
        <w:rPr>
          <w:rFonts w:cs="Arial"/>
          <w:color w:val="000000" w:themeColor="text1"/>
        </w:rPr>
        <w:t xml:space="preserve"> The Front Project (2022) Supporting all children to thrive: The importance of equity in early childhood education. Available at: </w:t>
      </w:r>
      <w:hyperlink r:id="rId5" w:history="1">
        <w:r w:rsidRPr="00003972">
          <w:rPr>
            <w:rStyle w:val="Hyperlink"/>
            <w:rFonts w:cs="Arial"/>
          </w:rPr>
          <w:t>https://www.thefrontproject.org.au/policy-and-research/research-reports/supporting-all-children-to-thrive</w:t>
        </w:r>
      </w:hyperlink>
      <w:r w:rsidRPr="00003972">
        <w:rPr>
          <w:rFonts w:cs="Arial"/>
        </w:rPr>
        <w:t xml:space="preserve"> </w:t>
      </w:r>
    </w:p>
  </w:footnote>
  <w:footnote w:id="8">
    <w:p w14:paraId="72B3106C" w14:textId="5EC9A7B2" w:rsidR="005E74CE" w:rsidRDefault="005E74CE">
      <w:pPr>
        <w:pStyle w:val="FootnoteText"/>
      </w:pPr>
      <w:r>
        <w:rPr>
          <w:rStyle w:val="FootnoteReference"/>
        </w:rPr>
        <w:footnoteRef/>
      </w:r>
      <w:r>
        <w:t xml:space="preserve"> Taylor Fry, (2022),</w:t>
      </w:r>
      <w:r w:rsidRPr="00BC4CE3">
        <w:t xml:space="preserve"> 2021 AEDC indicators of development for children with disability</w:t>
      </w:r>
      <w:r>
        <w:t xml:space="preserve">, Australian Department of Education    </w:t>
      </w:r>
    </w:p>
  </w:footnote>
  <w:footnote w:id="9">
    <w:p w14:paraId="0FE49E3C" w14:textId="77777777" w:rsidR="00212190" w:rsidRDefault="00212190" w:rsidP="00212190">
      <w:pPr>
        <w:pStyle w:val="FootnoteText"/>
      </w:pPr>
      <w:r>
        <w:rPr>
          <w:rStyle w:val="FootnoteReference"/>
        </w:rPr>
        <w:footnoteRef/>
      </w:r>
      <w:r>
        <w:t xml:space="preserve"> Taylor Fry, (2022),</w:t>
      </w:r>
      <w:r w:rsidRPr="00BC4CE3">
        <w:t xml:space="preserve"> 2021 AEDC indicators of development for children with disability</w:t>
      </w:r>
      <w:r>
        <w:t xml:space="preserve">, Australian Department of Education   </w:t>
      </w:r>
    </w:p>
  </w:footnote>
  <w:footnote w:id="10">
    <w:p w14:paraId="1094FEA0" w14:textId="77777777" w:rsidR="00C7697E" w:rsidRPr="00AA4A28" w:rsidRDefault="00C7697E" w:rsidP="00C7697E">
      <w:pPr>
        <w:pStyle w:val="FootnoteText"/>
        <w:rPr>
          <w:rFonts w:cs="Arial"/>
        </w:rPr>
      </w:pPr>
      <w:r w:rsidRPr="00AA4A28">
        <w:rPr>
          <w:rStyle w:val="FootnoteReference"/>
          <w:rFonts w:cs="Arial"/>
        </w:rPr>
        <w:footnoteRef/>
      </w:r>
      <w:r w:rsidRPr="00AA4A28">
        <w:rPr>
          <w:rFonts w:cs="Arial"/>
        </w:rPr>
        <w:t xml:space="preserve"> Dickinson, H., Smith, C., Yates, S., Faulkner, A. (2022) Taking the first step in an inclusive life – experiences of Australian early childhood education and care. Report prepared for Children and Young People with Disability Australia (CYDA), Melbourne. </w:t>
      </w:r>
    </w:p>
  </w:footnote>
  <w:footnote w:id="11">
    <w:p w14:paraId="203019D8" w14:textId="77777777" w:rsidR="00F313A3" w:rsidRPr="00DD6E8B" w:rsidRDefault="00F313A3" w:rsidP="00F313A3">
      <w:pPr>
        <w:pStyle w:val="FootnoteText"/>
        <w:rPr>
          <w:sz w:val="18"/>
          <w:szCs w:val="18"/>
          <w:lang w:val="en-US"/>
        </w:rPr>
      </w:pPr>
      <w:r w:rsidRPr="00DD6E8B">
        <w:rPr>
          <w:rStyle w:val="FootnoteReference"/>
          <w:sz w:val="18"/>
          <w:szCs w:val="18"/>
        </w:rPr>
        <w:footnoteRef/>
      </w:r>
      <w:r w:rsidRPr="00DD6E8B">
        <w:rPr>
          <w:sz w:val="18"/>
          <w:szCs w:val="18"/>
        </w:rPr>
        <w:t xml:space="preserve"> Campbell, F. (2001) </w:t>
      </w:r>
      <w:r w:rsidRPr="00DD6E8B">
        <w:rPr>
          <w:i/>
          <w:iCs/>
          <w:sz w:val="18"/>
          <w:szCs w:val="18"/>
        </w:rPr>
        <w:t>Inciting legal fictions: ‘disability’s' date with ontology and the Ableist body of the law</w:t>
      </w:r>
      <w:r w:rsidRPr="00DD6E8B">
        <w:rPr>
          <w:sz w:val="18"/>
          <w:szCs w:val="18"/>
        </w:rPr>
        <w:t xml:space="preserve">. Griffith Law Review 2: 42–62. Available at: </w:t>
      </w:r>
      <w:hyperlink r:id="rId6" w:history="1">
        <w:r w:rsidRPr="00DD6E8B">
          <w:rPr>
            <w:rStyle w:val="Hyperlink"/>
            <w:sz w:val="18"/>
            <w:szCs w:val="18"/>
          </w:rPr>
          <w:t>https://research-repository.griffith.edu.au/handle/10072/3714</w:t>
        </w:r>
      </w:hyperlink>
      <w:r w:rsidRPr="00DD6E8B">
        <w:rPr>
          <w:sz w:val="18"/>
          <w:szCs w:val="18"/>
        </w:rPr>
        <w:t xml:space="preserve"> </w:t>
      </w:r>
    </w:p>
  </w:footnote>
  <w:footnote w:id="12">
    <w:p w14:paraId="705C31BB" w14:textId="77777777" w:rsidR="00F313A3" w:rsidRDefault="00F313A3" w:rsidP="00F313A3">
      <w:pPr>
        <w:pStyle w:val="FootnoteText"/>
      </w:pPr>
      <w:r w:rsidRPr="00DD6E8B">
        <w:rPr>
          <w:rStyle w:val="FootnoteReference"/>
          <w:sz w:val="18"/>
          <w:szCs w:val="18"/>
        </w:rPr>
        <w:footnoteRef/>
      </w:r>
      <w:r w:rsidRPr="00DD6E8B">
        <w:rPr>
          <w:sz w:val="18"/>
          <w:szCs w:val="18"/>
        </w:rPr>
        <w:t xml:space="preserve"> See Stella Young’s TED talk for more detail. </w:t>
      </w:r>
      <w:hyperlink r:id="rId7" w:history="1">
        <w:r w:rsidRPr="00DD6E8B">
          <w:rPr>
            <w:rStyle w:val="Hyperlink"/>
            <w:sz w:val="18"/>
            <w:szCs w:val="18"/>
          </w:rPr>
          <w:t>https://www.youtube.com/watch?v=SxrS7-I_sMQ</w:t>
        </w:r>
      </w:hyperlink>
      <w:r>
        <w:t xml:space="preserve"> </w:t>
      </w:r>
    </w:p>
  </w:footnote>
  <w:footnote w:id="13">
    <w:p w14:paraId="1BECD0F7" w14:textId="77777777" w:rsidR="00F313A3" w:rsidRPr="0034288F" w:rsidRDefault="00F313A3" w:rsidP="00F313A3">
      <w:pPr>
        <w:pStyle w:val="FootnoteText"/>
        <w:rPr>
          <w:sz w:val="18"/>
          <w:szCs w:val="18"/>
          <w:lang w:val="en-US"/>
        </w:rPr>
      </w:pPr>
      <w:r w:rsidRPr="006A7566">
        <w:rPr>
          <w:rStyle w:val="FootnoteReference"/>
          <w:sz w:val="18"/>
          <w:szCs w:val="18"/>
        </w:rPr>
        <w:footnoteRef/>
      </w:r>
      <w:r w:rsidRPr="006A7566">
        <w:rPr>
          <w:sz w:val="18"/>
          <w:szCs w:val="18"/>
        </w:rPr>
        <w:t xml:space="preserve"> </w:t>
      </w:r>
      <w:r w:rsidRPr="0034288F">
        <w:rPr>
          <w:sz w:val="18"/>
          <w:szCs w:val="18"/>
        </w:rPr>
        <w:t xml:space="preserve">Campbell, F. K. (2013). </w:t>
      </w:r>
      <w:r w:rsidRPr="0034288F">
        <w:rPr>
          <w:i/>
          <w:iCs/>
          <w:sz w:val="18"/>
          <w:szCs w:val="18"/>
        </w:rPr>
        <w:t>Problematizing Vulnerability: Engaging Studies in Ableism and Disability Jurisprudence</w:t>
      </w:r>
      <w:r w:rsidRPr="0034288F">
        <w:rPr>
          <w:sz w:val="18"/>
          <w:szCs w:val="18"/>
        </w:rPr>
        <w:t xml:space="preserve">, Keynote presentation. Available at: </w:t>
      </w:r>
      <w:hyperlink r:id="rId8" w:history="1">
        <w:r w:rsidRPr="0034288F">
          <w:rPr>
            <w:rStyle w:val="Hyperlink"/>
            <w:sz w:val="18"/>
            <w:szCs w:val="18"/>
          </w:rPr>
          <w:t>https://documents.uow.edu.au/content/groups/public/@web/@law/@lirc/documents/doc/uow166211.pdf</w:t>
        </w:r>
      </w:hyperlink>
      <w:r w:rsidRPr="0034288F">
        <w:rPr>
          <w:sz w:val="18"/>
          <w:szCs w:val="18"/>
        </w:rPr>
        <w:t xml:space="preserve"> </w:t>
      </w:r>
    </w:p>
  </w:footnote>
  <w:footnote w:id="14">
    <w:p w14:paraId="67195B49" w14:textId="77777777" w:rsidR="00F313A3" w:rsidRPr="005B38DC" w:rsidRDefault="00F313A3" w:rsidP="00F313A3">
      <w:pPr>
        <w:pStyle w:val="FootnoteText"/>
        <w:rPr>
          <w:sz w:val="18"/>
          <w:szCs w:val="18"/>
        </w:rPr>
      </w:pPr>
      <w:r w:rsidRPr="0034288F">
        <w:rPr>
          <w:rStyle w:val="FootnoteReference"/>
          <w:sz w:val="18"/>
          <w:szCs w:val="18"/>
        </w:rPr>
        <w:footnoteRef/>
      </w:r>
      <w:r w:rsidRPr="0034288F">
        <w:rPr>
          <w:sz w:val="18"/>
          <w:szCs w:val="18"/>
        </w:rPr>
        <w:t xml:space="preserve"> https://ourroyalcommission.com.au/endsegregation-joint-media-release/</w:t>
      </w:r>
    </w:p>
  </w:footnote>
  <w:footnote w:id="15">
    <w:p w14:paraId="52CFEB44" w14:textId="77777777" w:rsidR="00F313A3" w:rsidRPr="0034288F" w:rsidRDefault="00F313A3" w:rsidP="00F313A3">
      <w:pPr>
        <w:pStyle w:val="FootnoteText"/>
        <w:rPr>
          <w:sz w:val="18"/>
          <w:szCs w:val="18"/>
        </w:rPr>
      </w:pPr>
      <w:r>
        <w:rPr>
          <w:rStyle w:val="FootnoteReference"/>
        </w:rPr>
        <w:footnoteRef/>
      </w:r>
      <w:r>
        <w:t xml:space="preserve"> </w:t>
      </w:r>
      <w:r w:rsidRPr="0034288F">
        <w:rPr>
          <w:rFonts w:cs="Arial"/>
          <w:sz w:val="18"/>
          <w:szCs w:val="18"/>
        </w:rPr>
        <w:t xml:space="preserve">Our Watch, Australia’s National Research Organisation for Women’s Safety (ANROWS) and VicHealth. (2015). </w:t>
      </w:r>
      <w:r w:rsidRPr="0034288F">
        <w:rPr>
          <w:rFonts w:cs="Arial"/>
          <w:i/>
          <w:iCs/>
          <w:sz w:val="18"/>
          <w:szCs w:val="18"/>
        </w:rPr>
        <w:t>Change the story: A shared framework for the primary prevention of violence against women and their children in Australia.</w:t>
      </w:r>
      <w:r w:rsidRPr="0034288F">
        <w:rPr>
          <w:rFonts w:cs="Arial"/>
          <w:sz w:val="18"/>
          <w:szCs w:val="18"/>
        </w:rPr>
        <w:t xml:space="preserve"> Our Watch, Melbourne, Australia.</w:t>
      </w:r>
    </w:p>
  </w:footnote>
  <w:footnote w:id="16">
    <w:p w14:paraId="0D817130" w14:textId="77777777" w:rsidR="00F313A3" w:rsidRPr="0034288F" w:rsidRDefault="00F313A3" w:rsidP="00F313A3">
      <w:pPr>
        <w:pStyle w:val="FootnoteText"/>
        <w:rPr>
          <w:sz w:val="18"/>
          <w:szCs w:val="18"/>
        </w:rPr>
      </w:pPr>
      <w:r w:rsidRPr="0034288F">
        <w:rPr>
          <w:rStyle w:val="FootnoteReference"/>
          <w:sz w:val="18"/>
          <w:szCs w:val="18"/>
        </w:rPr>
        <w:footnoteRef/>
      </w:r>
      <w:r w:rsidRPr="0034288F">
        <w:rPr>
          <w:sz w:val="18"/>
          <w:szCs w:val="18"/>
        </w:rPr>
        <w:t xml:space="preserve"> Parliament of Victoria, Family and Community Development Committee, Inquiry into Social Inclusion and Victorians with Disability, Final Report (September 2014) p 20</w:t>
      </w:r>
    </w:p>
  </w:footnote>
  <w:footnote w:id="17">
    <w:p w14:paraId="39DFFDFA" w14:textId="77777777" w:rsidR="00F313A3" w:rsidRPr="0034288F" w:rsidRDefault="00F313A3" w:rsidP="00F313A3">
      <w:pPr>
        <w:pStyle w:val="FootnoteText"/>
        <w:rPr>
          <w:sz w:val="18"/>
          <w:szCs w:val="18"/>
        </w:rPr>
      </w:pPr>
      <w:r w:rsidRPr="0034288F">
        <w:rPr>
          <w:rStyle w:val="FootnoteReference"/>
          <w:sz w:val="18"/>
          <w:szCs w:val="18"/>
        </w:rPr>
        <w:footnoteRef/>
      </w:r>
      <w:r w:rsidRPr="0034288F">
        <w:rPr>
          <w:sz w:val="18"/>
          <w:szCs w:val="18"/>
        </w:rPr>
        <w:t xml:space="preserve"> Art Activism by Marie D.L. (2022). Available at: https://fb.watch/iKwJc-Jst6/</w:t>
      </w:r>
    </w:p>
  </w:footnote>
  <w:footnote w:id="18">
    <w:p w14:paraId="0621D800" w14:textId="77777777" w:rsidR="00F313A3" w:rsidRPr="00ED72FE" w:rsidRDefault="00F313A3" w:rsidP="00F313A3">
      <w:pPr>
        <w:pStyle w:val="FootnoteText"/>
        <w:rPr>
          <w:sz w:val="18"/>
          <w:szCs w:val="18"/>
          <w:lang w:val="en-US"/>
        </w:rPr>
      </w:pPr>
      <w:r w:rsidRPr="00ED72FE">
        <w:rPr>
          <w:rStyle w:val="FootnoteReference"/>
          <w:sz w:val="18"/>
          <w:szCs w:val="18"/>
        </w:rPr>
        <w:footnoteRef/>
      </w:r>
      <w:r w:rsidRPr="00ED72FE">
        <w:rPr>
          <w:sz w:val="18"/>
          <w:szCs w:val="18"/>
        </w:rPr>
        <w:t xml:space="preserve"> See Cheri Byrne-Haber’s (disability expert and activist) nine steps to being anti-ableist </w:t>
      </w:r>
      <w:hyperlink r:id="rId9" w:history="1">
        <w:r w:rsidRPr="00ED72FE">
          <w:rPr>
            <w:rStyle w:val="Hyperlink"/>
            <w:sz w:val="18"/>
            <w:szCs w:val="18"/>
          </w:rPr>
          <w:t>https://sheribyrnehaber.medium.com/are-you-ready-to-be-anti-ableist-in-2021-239103637949</w:t>
        </w:r>
      </w:hyperlink>
      <w:r w:rsidRPr="00ED72FE">
        <w:rPr>
          <w:sz w:val="18"/>
          <w:szCs w:val="18"/>
        </w:rPr>
        <w:t xml:space="preserve"> </w:t>
      </w:r>
    </w:p>
  </w:footnote>
  <w:footnote w:id="19">
    <w:p w14:paraId="587C8C7C" w14:textId="504939F2" w:rsidR="005714B7" w:rsidRDefault="005714B7">
      <w:pPr>
        <w:pStyle w:val="FootnoteText"/>
      </w:pPr>
      <w:r>
        <w:rPr>
          <w:rStyle w:val="FootnoteReference"/>
        </w:rPr>
        <w:footnoteRef/>
      </w:r>
      <w:r>
        <w:t xml:space="preserve"> </w:t>
      </w:r>
      <w:hyperlink r:id="rId10" w:history="1">
        <w:r w:rsidRPr="000A4A82">
          <w:rPr>
            <w:rStyle w:val="Hyperlink"/>
          </w:rPr>
          <w:t>https://engage.dss.gov.au/early-years-strategy/early-years-strategy-discussion-paper/</w:t>
        </w:r>
      </w:hyperlink>
    </w:p>
    <w:p w14:paraId="0CCEB9C9" w14:textId="77777777" w:rsidR="005714B7" w:rsidRPr="005714B7" w:rsidRDefault="005714B7">
      <w:pPr>
        <w:pStyle w:val="FootnoteText"/>
        <w:rPr>
          <w:lang w:val="en-US"/>
        </w:rPr>
      </w:pPr>
    </w:p>
  </w:footnote>
  <w:footnote w:id="20">
    <w:p w14:paraId="47E56725" w14:textId="77777777" w:rsidR="00F313A3" w:rsidRDefault="00F313A3" w:rsidP="00F313A3">
      <w:pPr>
        <w:pStyle w:val="FootnoteText"/>
      </w:pPr>
      <w:r w:rsidRPr="00ED72FE">
        <w:rPr>
          <w:rStyle w:val="FootnoteReference"/>
          <w:sz w:val="18"/>
          <w:szCs w:val="18"/>
        </w:rPr>
        <w:footnoteRef/>
      </w:r>
      <w:r w:rsidRPr="00ED72FE">
        <w:rPr>
          <w:sz w:val="18"/>
          <w:szCs w:val="18"/>
        </w:rPr>
        <w:t xml:space="preserve"> Amundson, R &amp; Taira, G. (2016). </w:t>
      </w:r>
      <w:r w:rsidRPr="00ED72FE">
        <w:rPr>
          <w:i/>
          <w:iCs/>
          <w:sz w:val="18"/>
          <w:szCs w:val="18"/>
        </w:rPr>
        <w:t>Our Lives and Ideologies: The Effect of Life Experience on the Perceived Morality of the Policy of Physician-Assisted Suicide</w:t>
      </w:r>
      <w:r w:rsidRPr="00ED72FE">
        <w:rPr>
          <w:sz w:val="18"/>
          <w:szCs w:val="18"/>
        </w:rPr>
        <w:t>, Journal of Disability Policy Studies, Vol16, p.54.</w:t>
      </w:r>
    </w:p>
  </w:footnote>
  <w:footnote w:id="21">
    <w:p w14:paraId="314D73A2" w14:textId="77777777" w:rsidR="00123177" w:rsidRPr="00BC7794" w:rsidRDefault="00123177" w:rsidP="00123177">
      <w:pPr>
        <w:pStyle w:val="FootnoteText"/>
        <w:rPr>
          <w:lang w:val="en-US"/>
        </w:rPr>
      </w:pPr>
      <w:r>
        <w:rPr>
          <w:rStyle w:val="FootnoteReference"/>
        </w:rPr>
        <w:footnoteRef/>
      </w:r>
      <w:r>
        <w:t xml:space="preserve"> </w:t>
      </w:r>
      <w:r w:rsidRPr="00BC7794">
        <w:t>The Early Years Strategy Discussion Paper (Section 2, p.10)</w:t>
      </w:r>
    </w:p>
  </w:footnote>
  <w:footnote w:id="22">
    <w:p w14:paraId="0365EFF2" w14:textId="763F27ED" w:rsidR="00312D0B" w:rsidRPr="00312D0B" w:rsidRDefault="00312D0B">
      <w:pPr>
        <w:pStyle w:val="FootnoteText"/>
        <w:rPr>
          <w:lang w:val="en-US"/>
        </w:rPr>
      </w:pPr>
      <w:r>
        <w:rPr>
          <w:rStyle w:val="FootnoteReference"/>
        </w:rPr>
        <w:footnoteRef/>
      </w:r>
      <w:r>
        <w:t xml:space="preserve"> </w:t>
      </w:r>
      <w:r w:rsidRPr="00312D0B">
        <w:t>Delalibera, B. R., Ferreira PC. Early childhood education and economic growth. Journal of Economic Dynamics and Control. 2019;98:82–109</w:t>
      </w:r>
    </w:p>
  </w:footnote>
  <w:footnote w:id="23">
    <w:p w14:paraId="3DC4690D" w14:textId="77777777" w:rsidR="00E90B4F" w:rsidRPr="00033A1F" w:rsidRDefault="00E90B4F" w:rsidP="00E90B4F">
      <w:pPr>
        <w:pStyle w:val="FootnoteText"/>
        <w:rPr>
          <w:sz w:val="18"/>
          <w:szCs w:val="18"/>
        </w:rPr>
      </w:pPr>
      <w:r w:rsidRPr="00033A1F">
        <w:rPr>
          <w:rStyle w:val="FootnoteReference"/>
          <w:sz w:val="18"/>
          <w:szCs w:val="18"/>
        </w:rPr>
        <w:footnoteRef/>
      </w:r>
      <w:r w:rsidRPr="00033A1F">
        <w:rPr>
          <w:sz w:val="18"/>
          <w:szCs w:val="18"/>
        </w:rPr>
        <w:t xml:space="preserve"> Blomkamp, E. (2018). </w:t>
      </w:r>
      <w:r w:rsidRPr="00033A1F">
        <w:rPr>
          <w:i/>
          <w:iCs/>
          <w:sz w:val="18"/>
          <w:szCs w:val="18"/>
        </w:rPr>
        <w:t>The Promise of Co-Design for Public Policy</w:t>
      </w:r>
      <w:r w:rsidRPr="00033A1F">
        <w:rPr>
          <w:sz w:val="18"/>
          <w:szCs w:val="18"/>
        </w:rPr>
        <w:t>, Australian Journal of Public Administration, vol. 77, no. 4, pp. 729–743</w:t>
      </w:r>
      <w:r w:rsidRPr="00033A1F">
        <w:rPr>
          <w:i/>
          <w:iCs/>
          <w:sz w:val="18"/>
          <w:szCs w:val="18"/>
        </w:rPr>
        <w:t xml:space="preserve">. </w:t>
      </w:r>
      <w:r w:rsidRPr="00033A1F">
        <w:rPr>
          <w:sz w:val="18"/>
          <w:szCs w:val="18"/>
        </w:rPr>
        <w:t xml:space="preserve">Available at: </w:t>
      </w:r>
      <w:hyperlink r:id="rId11" w:history="1">
        <w:r w:rsidRPr="00033A1F">
          <w:rPr>
            <w:rStyle w:val="Hyperlink"/>
            <w:sz w:val="18"/>
            <w:szCs w:val="18"/>
          </w:rPr>
          <w:t>https://doi-org.ezproxy.cqu.edu.au/10.1111/1467-8500.12310</w:t>
        </w:r>
      </w:hyperlink>
      <w:r w:rsidRPr="00033A1F">
        <w:rPr>
          <w:sz w:val="18"/>
          <w:szCs w:val="18"/>
        </w:rPr>
        <w:t xml:space="preserve"> </w:t>
      </w:r>
    </w:p>
  </w:footnote>
  <w:footnote w:id="24">
    <w:p w14:paraId="06B95547" w14:textId="77777777" w:rsidR="00D27140" w:rsidRPr="00137D2B" w:rsidRDefault="00D27140" w:rsidP="00D27140">
      <w:pPr>
        <w:pStyle w:val="FootnoteText"/>
        <w:rPr>
          <w:sz w:val="18"/>
          <w:szCs w:val="18"/>
          <w:lang w:val="en-US"/>
        </w:rPr>
      </w:pPr>
      <w:r w:rsidRPr="00033A1F">
        <w:rPr>
          <w:rStyle w:val="FootnoteReference"/>
          <w:sz w:val="18"/>
          <w:szCs w:val="18"/>
        </w:rPr>
        <w:footnoteRef/>
      </w:r>
      <w:r w:rsidRPr="00033A1F">
        <w:rPr>
          <w:sz w:val="18"/>
          <w:szCs w:val="18"/>
        </w:rPr>
        <w:t xml:space="preserve"> Fisher, K. Et. Al. (2022). </w:t>
      </w:r>
      <w:r w:rsidRPr="00033A1F">
        <w:rPr>
          <w:i/>
          <w:iCs/>
          <w:sz w:val="18"/>
          <w:szCs w:val="18"/>
        </w:rPr>
        <w:t>Research Report: Changing community attitudes to improve inclusion of people with disability</w:t>
      </w:r>
      <w:r w:rsidRPr="00033A1F">
        <w:rPr>
          <w:sz w:val="18"/>
          <w:szCs w:val="18"/>
        </w:rPr>
        <w:t xml:space="preserve">. Available at: </w:t>
      </w:r>
      <w:hyperlink r:id="rId12" w:history="1">
        <w:r w:rsidRPr="00033A1F">
          <w:rPr>
            <w:rStyle w:val="Hyperlink"/>
            <w:sz w:val="18"/>
            <w:szCs w:val="18"/>
          </w:rPr>
          <w:t>https://disability.royalcommission.gov.au/publications/changing-community-attitudes-improve-inclusion-people-disability</w:t>
        </w:r>
      </w:hyperlink>
      <w:r>
        <w:rPr>
          <w:sz w:val="18"/>
          <w:szCs w:val="18"/>
        </w:rPr>
        <w:t xml:space="preserve"> </w:t>
      </w:r>
    </w:p>
  </w:footnote>
  <w:footnote w:id="25">
    <w:p w14:paraId="09C7B349" w14:textId="755AC945" w:rsidR="001F5672" w:rsidRPr="001F5672" w:rsidRDefault="001F5672">
      <w:pPr>
        <w:pStyle w:val="FootnoteText"/>
        <w:rPr>
          <w:lang w:val="en-US"/>
        </w:rPr>
      </w:pPr>
      <w:r>
        <w:rPr>
          <w:rStyle w:val="FootnoteReference"/>
        </w:rPr>
        <w:footnoteRef/>
      </w:r>
      <w:r>
        <w:t xml:space="preserve"> </w:t>
      </w:r>
      <w:hyperlink r:id="rId13" w:history="1">
        <w:r w:rsidRPr="001F5672">
          <w:rPr>
            <w:rStyle w:val="Hyperlink"/>
          </w:rPr>
          <w:t>https://universaldesign.ie/what-is-universal-design/</w:t>
        </w:r>
      </w:hyperlink>
    </w:p>
  </w:footnote>
  <w:footnote w:id="26">
    <w:p w14:paraId="7DF0BD16" w14:textId="77777777" w:rsidR="00BF3876" w:rsidRPr="00843E96" w:rsidRDefault="00BF3876" w:rsidP="00BF3876">
      <w:pPr>
        <w:pStyle w:val="FootnoteText"/>
      </w:pPr>
      <w:r>
        <w:rPr>
          <w:rStyle w:val="FootnoteReference"/>
        </w:rPr>
        <w:footnoteRef/>
      </w:r>
      <w:r>
        <w:t xml:space="preserve"> </w:t>
      </w:r>
      <w:r w:rsidRPr="00843E96">
        <w:rPr>
          <w:rFonts w:ascii="Calibri" w:eastAsia="Calibri" w:hAnsi="Calibri"/>
          <w:kern w:val="2"/>
        </w:rPr>
        <w:t xml:space="preserve">Centre for Excellence in Universal Design. </w:t>
      </w:r>
      <w:r w:rsidRPr="00843E96">
        <w:rPr>
          <w:rFonts w:ascii="Calibri" w:eastAsia="Calibri" w:hAnsi="Calibri"/>
          <w:i/>
          <w:iCs/>
          <w:kern w:val="2"/>
        </w:rPr>
        <w:t xml:space="preserve">What is Universal Design. </w:t>
      </w:r>
      <w:r w:rsidRPr="00843E96">
        <w:rPr>
          <w:rFonts w:ascii="Calibri" w:eastAsia="Calibri" w:hAnsi="Calibri"/>
          <w:kern w:val="2"/>
        </w:rPr>
        <w:t xml:space="preserve">Available at </w:t>
      </w:r>
      <w:hyperlink r:id="rId14" w:history="1">
        <w:r w:rsidRPr="00843E96">
          <w:rPr>
            <w:rStyle w:val="Hyperlink"/>
            <w:rFonts w:ascii="Calibri" w:hAnsi="Calibri"/>
            <w:kern w:val="2"/>
          </w:rPr>
          <w:t>https://universaldesign.ie/what-is-universal-design/</w:t>
        </w:r>
      </w:hyperlink>
    </w:p>
  </w:footnote>
  <w:footnote w:id="27">
    <w:p w14:paraId="123A7508" w14:textId="77777777" w:rsidR="00611F08" w:rsidRPr="00843E96" w:rsidRDefault="00611F08" w:rsidP="00433FA7">
      <w:pPr>
        <w:spacing w:before="0" w:after="0" w:line="240" w:lineRule="auto"/>
        <w:rPr>
          <w:rFonts w:ascii="Calibri" w:eastAsia="Calibri" w:hAnsi="Calibri"/>
          <w:kern w:val="2"/>
          <w:sz w:val="20"/>
          <w:szCs w:val="20"/>
        </w:rPr>
      </w:pPr>
      <w:r>
        <w:rPr>
          <w:rStyle w:val="FootnoteReference"/>
        </w:rPr>
        <w:footnoteRef/>
      </w:r>
      <w:r>
        <w:t xml:space="preserve"> </w:t>
      </w:r>
      <w:r w:rsidRPr="00843E96">
        <w:rPr>
          <w:rFonts w:ascii="Calibri" w:eastAsia="Calibri" w:hAnsi="Calibri"/>
          <w:kern w:val="2"/>
          <w:sz w:val="20"/>
          <w:szCs w:val="20"/>
        </w:rPr>
        <w:t xml:space="preserve">Australia’s Disability Strategy 2021-2031. Available at </w:t>
      </w:r>
      <w:hyperlink r:id="rId15" w:history="1">
        <w:r w:rsidRPr="00843E96">
          <w:rPr>
            <w:rFonts w:ascii="Calibri" w:eastAsia="Calibri" w:hAnsi="Calibri"/>
            <w:color w:val="0563C1"/>
            <w:kern w:val="2"/>
            <w:sz w:val="20"/>
            <w:szCs w:val="20"/>
            <w:u w:val="single"/>
          </w:rPr>
          <w:t>https://www.disabilitygateway.gov.au/sites/default/files/documents/2021-11/1786-australias-disability.pdf</w:t>
        </w:r>
      </w:hyperlink>
      <w:r w:rsidRPr="00843E96">
        <w:rPr>
          <w:rFonts w:ascii="Calibri" w:eastAsia="Calibri" w:hAnsi="Calibri"/>
          <w:kern w:val="2"/>
          <w:sz w:val="20"/>
          <w:szCs w:val="20"/>
        </w:rPr>
        <w:t xml:space="preserve"> </w:t>
      </w:r>
    </w:p>
  </w:footnote>
  <w:footnote w:id="28">
    <w:p w14:paraId="67A87551" w14:textId="77777777" w:rsidR="00611F08" w:rsidRPr="00843E96" w:rsidRDefault="00611F08" w:rsidP="00433FA7">
      <w:pPr>
        <w:spacing w:before="0" w:after="0" w:line="240" w:lineRule="auto"/>
        <w:rPr>
          <w:rFonts w:ascii="Calibri" w:eastAsia="Calibri" w:hAnsi="Calibri"/>
          <w:kern w:val="2"/>
          <w:sz w:val="20"/>
          <w:szCs w:val="20"/>
        </w:rPr>
      </w:pPr>
      <w:r>
        <w:rPr>
          <w:rStyle w:val="FootnoteReference"/>
        </w:rPr>
        <w:footnoteRef/>
      </w:r>
      <w:r>
        <w:t xml:space="preserve"> </w:t>
      </w:r>
      <w:r w:rsidRPr="00843E96">
        <w:rPr>
          <w:rFonts w:ascii="Calibri" w:eastAsia="Calibri" w:hAnsi="Calibri"/>
          <w:kern w:val="2"/>
          <w:sz w:val="20"/>
          <w:szCs w:val="20"/>
        </w:rPr>
        <w:t xml:space="preserve">NDIS First Nations Strategy. Available at </w:t>
      </w:r>
      <w:hyperlink r:id="rId16" w:history="1">
        <w:r w:rsidRPr="00843E96">
          <w:rPr>
            <w:rFonts w:ascii="Calibri" w:eastAsia="Calibri" w:hAnsi="Calibri"/>
            <w:color w:val="0563C1"/>
            <w:kern w:val="2"/>
            <w:sz w:val="20"/>
            <w:szCs w:val="20"/>
            <w:u w:val="single"/>
          </w:rPr>
          <w:t>https://www.ndis.gov.au/about-us/strategies/first-nations-strategy</w:t>
        </w:r>
      </w:hyperlink>
      <w:r w:rsidRPr="00843E96">
        <w:rPr>
          <w:rFonts w:ascii="Calibri" w:eastAsia="Calibri" w:hAnsi="Calibri"/>
          <w:kern w:val="2"/>
          <w:sz w:val="20"/>
          <w:szCs w:val="20"/>
        </w:rPr>
        <w:t xml:space="preserve"> </w:t>
      </w:r>
    </w:p>
  </w:footnote>
  <w:footnote w:id="29">
    <w:p w14:paraId="44A99438" w14:textId="77777777" w:rsidR="00611F08" w:rsidRPr="00843E96" w:rsidRDefault="00611F08" w:rsidP="00433FA7">
      <w:pPr>
        <w:spacing w:before="0" w:after="0" w:line="240" w:lineRule="auto"/>
        <w:rPr>
          <w:rFonts w:ascii="Calibri" w:eastAsia="Calibri" w:hAnsi="Calibri"/>
          <w:kern w:val="2"/>
          <w:sz w:val="20"/>
          <w:szCs w:val="20"/>
        </w:rPr>
      </w:pPr>
      <w:r>
        <w:rPr>
          <w:rStyle w:val="FootnoteReference"/>
        </w:rPr>
        <w:footnoteRef/>
      </w:r>
      <w:r>
        <w:t xml:space="preserve"> </w:t>
      </w:r>
      <w:r w:rsidRPr="00843E96">
        <w:rPr>
          <w:rFonts w:ascii="Calibri" w:eastAsia="Calibri" w:hAnsi="Calibri"/>
          <w:kern w:val="2"/>
          <w:sz w:val="20"/>
          <w:szCs w:val="20"/>
        </w:rPr>
        <w:t xml:space="preserve">NDIS Cultural and Linguistic Diversity Strategy. Available at </w:t>
      </w:r>
      <w:hyperlink r:id="rId17" w:history="1">
        <w:r w:rsidRPr="00843E96">
          <w:rPr>
            <w:rFonts w:ascii="Calibri" w:eastAsia="Calibri" w:hAnsi="Calibri"/>
            <w:color w:val="0563C1"/>
            <w:kern w:val="2"/>
            <w:sz w:val="20"/>
            <w:szCs w:val="20"/>
            <w:u w:val="single"/>
          </w:rPr>
          <w:t>https://www.ndis.gov.au/about-us/strategies/cultural-and-linguistic-diversity-strategy</w:t>
        </w:r>
      </w:hyperlink>
      <w:r w:rsidRPr="00843E96">
        <w:rPr>
          <w:rFonts w:ascii="Calibri" w:eastAsia="Calibri" w:hAnsi="Calibri"/>
          <w:kern w:val="2"/>
          <w:sz w:val="20"/>
          <w:szCs w:val="20"/>
        </w:rPr>
        <w:t xml:space="preserve"> </w:t>
      </w:r>
    </w:p>
  </w:footnote>
  <w:footnote w:id="30">
    <w:p w14:paraId="38A8027C" w14:textId="77777777" w:rsidR="00611F08" w:rsidRPr="00843E96" w:rsidRDefault="00611F08" w:rsidP="00433FA7">
      <w:pPr>
        <w:pStyle w:val="FootnoteText"/>
      </w:pPr>
      <w:r>
        <w:rPr>
          <w:rStyle w:val="FootnoteReference"/>
        </w:rPr>
        <w:footnoteRef/>
      </w:r>
      <w:r>
        <w:t xml:space="preserve"> </w:t>
      </w:r>
      <w:r w:rsidRPr="00843E96">
        <w:rPr>
          <w:rFonts w:ascii="Calibri" w:eastAsia="Calibri" w:hAnsi="Calibri"/>
          <w:kern w:val="2"/>
        </w:rPr>
        <w:t xml:space="preserve">The Front Project. (2022). </w:t>
      </w:r>
      <w:r w:rsidRPr="00843E96">
        <w:rPr>
          <w:rFonts w:ascii="Calibri" w:eastAsia="Calibri" w:hAnsi="Calibri"/>
          <w:i/>
          <w:iCs/>
          <w:kern w:val="2"/>
        </w:rPr>
        <w:t xml:space="preserve">SUPPORTING ALL CHILDREN TO THRIVE; The importance of equity in early childhood education. Available at </w:t>
      </w:r>
      <w:hyperlink r:id="rId18" w:history="1">
        <w:r w:rsidRPr="00843E96">
          <w:rPr>
            <w:rFonts w:ascii="Calibri" w:eastAsia="Calibri" w:hAnsi="Calibri"/>
            <w:i/>
            <w:iCs/>
            <w:color w:val="0563C1"/>
            <w:kern w:val="2"/>
            <w:u w:val="single"/>
          </w:rPr>
          <w:t>https://www.thefrontproject.org.au/media/attachments/2022/05/04/supporting-all-children-to-thrive-report.pdf</w:t>
        </w:r>
      </w:hyperlink>
      <w:r w:rsidRPr="00843E96">
        <w:rPr>
          <w:rFonts w:ascii="Calibri" w:eastAsia="Calibri" w:hAnsi="Calibri"/>
          <w:i/>
          <w:iCs/>
          <w:kern w:val="2"/>
        </w:rPr>
        <w:t xml:space="preserve">   </w:t>
      </w:r>
    </w:p>
  </w:footnote>
  <w:footnote w:id="31">
    <w:p w14:paraId="2074163B" w14:textId="77777777" w:rsidR="00611F08" w:rsidRPr="00843E96" w:rsidRDefault="00611F08" w:rsidP="00433FA7">
      <w:pPr>
        <w:pStyle w:val="FootnoteText"/>
      </w:pPr>
      <w:r>
        <w:rPr>
          <w:rStyle w:val="FootnoteReference"/>
        </w:rPr>
        <w:footnoteRef/>
      </w:r>
      <w:r>
        <w:t xml:space="preserve"> </w:t>
      </w:r>
      <w:r w:rsidRPr="00843E96">
        <w:rPr>
          <w:rFonts w:ascii="Calibri" w:eastAsia="Calibri" w:hAnsi="Calibri"/>
          <w:kern w:val="2"/>
        </w:rPr>
        <w:t>The AEDC classifies children as ‘on track’, ‘at risk’ or ‘vulnerable’ depending on how they score in each area of development, known as a domain. Children who are developmentally vulnerable demonstrate a much lower than average ability in at least one AEDC domain. The five domains measured are physical health and wellbeing, social competence, emotional maturity, language and cognitive skills (school-based), and communication skills and general knowledge. - Ibid</w:t>
      </w:r>
    </w:p>
  </w:footnote>
  <w:footnote w:id="32">
    <w:p w14:paraId="0D535A94" w14:textId="77777777" w:rsidR="00A54428" w:rsidRPr="00C312FE" w:rsidRDefault="00A54428" w:rsidP="00A54428">
      <w:pPr>
        <w:pStyle w:val="FootnoteText"/>
        <w:rPr>
          <w:lang w:val="en-US"/>
        </w:rPr>
      </w:pPr>
      <w:r>
        <w:rPr>
          <w:rStyle w:val="FootnoteReference"/>
        </w:rPr>
        <w:footnoteRef/>
      </w:r>
      <w:r>
        <w:t xml:space="preserve"> LivedX series </w:t>
      </w:r>
      <w:hyperlink r:id="rId19" w:history="1">
        <w:r w:rsidRPr="00F27B99">
          <w:rPr>
            <w:rStyle w:val="Hyperlink"/>
            <w:sz w:val="18"/>
            <w:szCs w:val="18"/>
          </w:rPr>
          <w:t>https://cyda.org.au/search/details/353/livedx-2022-series-full-policy-paper-tertiary-education-and-learning</w:t>
        </w:r>
      </w:hyperlink>
    </w:p>
  </w:footnote>
  <w:footnote w:id="33">
    <w:p w14:paraId="48560843" w14:textId="77777777" w:rsidR="0041704E" w:rsidRPr="00AA4A28" w:rsidRDefault="0041704E" w:rsidP="0041704E">
      <w:pPr>
        <w:pStyle w:val="FootnoteText"/>
        <w:rPr>
          <w:rFonts w:cs="Arial"/>
          <w:i/>
          <w:iCs/>
        </w:rPr>
      </w:pPr>
      <w:r w:rsidRPr="00AA4A28">
        <w:rPr>
          <w:rStyle w:val="FootnoteReference"/>
          <w:rFonts w:cs="Arial"/>
        </w:rPr>
        <w:footnoteRef/>
      </w:r>
      <w:r w:rsidRPr="00AA4A28">
        <w:rPr>
          <w:rFonts w:cs="Arial"/>
        </w:rPr>
        <w:t xml:space="preserve"> Early Childhood Australia. (2016). </w:t>
      </w:r>
      <w:r w:rsidRPr="00AA4A28">
        <w:rPr>
          <w:rFonts w:cs="Arial"/>
          <w:i/>
          <w:iCs/>
        </w:rPr>
        <w:t xml:space="preserve">Statement on the inclusion of every child in early childhood education and care. Available at: </w:t>
      </w:r>
      <w:hyperlink r:id="rId20" w:history="1">
        <w:r w:rsidRPr="00AA4A28">
          <w:rPr>
            <w:rStyle w:val="Hyperlink"/>
            <w:rFonts w:cs="Arial"/>
            <w:i/>
            <w:iCs/>
          </w:rPr>
          <w:t>https://www.earlychildhoodaustralia.org.au/our-work/inclusion-resources/</w:t>
        </w:r>
      </w:hyperlink>
      <w:r w:rsidRPr="00AA4A28">
        <w:rPr>
          <w:rFonts w:cs="Arial"/>
          <w:i/>
          <w:iCs/>
        </w:rPr>
        <w:t xml:space="preserve"> </w:t>
      </w:r>
    </w:p>
  </w:footnote>
  <w:footnote w:id="34">
    <w:p w14:paraId="2787BE05" w14:textId="77777777" w:rsidR="0041704E" w:rsidRPr="00916B6E" w:rsidRDefault="0041704E" w:rsidP="0041704E">
      <w:pPr>
        <w:pStyle w:val="FootnoteText"/>
        <w:rPr>
          <w:rFonts w:cs="Arial"/>
        </w:rPr>
      </w:pPr>
      <w:r w:rsidRPr="00916B6E">
        <w:rPr>
          <w:rStyle w:val="FootnoteReference"/>
          <w:rFonts w:cs="Arial"/>
        </w:rPr>
        <w:footnoteRef/>
      </w:r>
      <w:r w:rsidRPr="00916B6E">
        <w:rPr>
          <w:rFonts w:cs="Arial"/>
        </w:rPr>
        <w:t xml:space="preserve"> Fiona McKenzie and Eve Millar, 2022. Mapping the systems that influence early childhood development outcomes. Prepared by Orange Compass for the Early Years Catalyst, August 2022. </w:t>
      </w:r>
      <w:hyperlink r:id="rId21" w:history="1">
        <w:r w:rsidRPr="00916B6E">
          <w:rPr>
            <w:rStyle w:val="Hyperlink"/>
            <w:rFonts w:cs="Arial"/>
          </w:rPr>
          <w:t>https://www.earlyyearscatalyst.org.au/field-insights/</w:t>
        </w:r>
      </w:hyperlink>
      <w:r w:rsidRPr="00916B6E">
        <w:rPr>
          <w:rFonts w:cs="Arial"/>
        </w:rPr>
        <w:t xml:space="preserve"> </w:t>
      </w:r>
    </w:p>
  </w:footnote>
  <w:footnote w:id="35">
    <w:p w14:paraId="3B74930C" w14:textId="77777777" w:rsidR="00611F08" w:rsidRPr="00BB42D0" w:rsidRDefault="00611F08" w:rsidP="00A57A14">
      <w:pPr>
        <w:pStyle w:val="FootnoteText"/>
        <w:rPr>
          <w:rFonts w:cs="Arial"/>
          <w:sz w:val="18"/>
          <w:szCs w:val="18"/>
        </w:rPr>
      </w:pPr>
      <w:r w:rsidRPr="00BB42D0">
        <w:rPr>
          <w:rStyle w:val="FootnoteReference"/>
          <w:rFonts w:cs="Arial"/>
          <w:sz w:val="18"/>
          <w:szCs w:val="18"/>
        </w:rPr>
        <w:footnoteRef/>
      </w:r>
      <w:r w:rsidRPr="00BB42D0">
        <w:rPr>
          <w:rFonts w:cs="Arial"/>
          <w:sz w:val="18"/>
          <w:szCs w:val="18"/>
        </w:rPr>
        <w:t xml:space="preserve"> Thrive by Five &amp; The Minderoo Foundation. (2017). </w:t>
      </w:r>
      <w:r w:rsidRPr="00BB42D0">
        <w:rPr>
          <w:rFonts w:cs="Arial"/>
          <w:i/>
          <w:iCs/>
          <w:sz w:val="18"/>
          <w:szCs w:val="18"/>
        </w:rPr>
        <w:t>Time to Act: Investing in our children and our future</w:t>
      </w:r>
      <w:r w:rsidRPr="00BB42D0">
        <w:rPr>
          <w:rFonts w:cs="Arial"/>
          <w:sz w:val="18"/>
          <w:szCs w:val="18"/>
        </w:rPr>
        <w:t xml:space="preserve">. Available at </w:t>
      </w:r>
      <w:hyperlink r:id="rId22" w:history="1">
        <w:r w:rsidRPr="00BB42D0">
          <w:rPr>
            <w:rStyle w:val="Hyperlink"/>
            <w:rFonts w:cs="Arial"/>
            <w:sz w:val="18"/>
            <w:szCs w:val="18"/>
          </w:rPr>
          <w:t>TB5_Time2Act_20170119_FNL_Digital-p.pdf (minderoo.org)</w:t>
        </w:r>
      </w:hyperlink>
    </w:p>
  </w:footnote>
  <w:footnote w:id="36">
    <w:p w14:paraId="0239FCA5" w14:textId="77777777" w:rsidR="00611F08" w:rsidRPr="00BB42D0" w:rsidRDefault="00611F08" w:rsidP="00A57A14">
      <w:pPr>
        <w:pStyle w:val="FootnoteText"/>
        <w:rPr>
          <w:rFonts w:cs="Arial"/>
          <w:sz w:val="18"/>
          <w:szCs w:val="18"/>
        </w:rPr>
      </w:pPr>
      <w:r w:rsidRPr="00BB42D0">
        <w:rPr>
          <w:rStyle w:val="FootnoteReference"/>
          <w:rFonts w:cs="Arial"/>
          <w:sz w:val="18"/>
          <w:szCs w:val="18"/>
        </w:rPr>
        <w:footnoteRef/>
      </w:r>
      <w:r w:rsidRPr="00BB42D0">
        <w:rPr>
          <w:rFonts w:cs="Arial"/>
          <w:sz w:val="18"/>
          <w:szCs w:val="18"/>
        </w:rPr>
        <w:t xml:space="preserve"> Australian Early Development Census .</w:t>
      </w:r>
      <w:r w:rsidRPr="00BB42D0">
        <w:rPr>
          <w:rFonts w:cs="Arial"/>
          <w:i/>
          <w:iCs/>
          <w:sz w:val="18"/>
          <w:szCs w:val="18"/>
        </w:rPr>
        <w:t xml:space="preserve">Australian Early Development Census National Report 2018: A Snapshot of Early Childhood Development in Australia. </w:t>
      </w:r>
      <w:r w:rsidRPr="00BB42D0">
        <w:rPr>
          <w:rFonts w:cs="Arial"/>
          <w:sz w:val="18"/>
          <w:szCs w:val="18"/>
        </w:rPr>
        <w:t xml:space="preserve">Department of Education and Training. Available at </w:t>
      </w:r>
      <w:hyperlink r:id="rId23" w:history="1">
        <w:r w:rsidRPr="00BB42D0">
          <w:rPr>
            <w:rStyle w:val="Hyperlink"/>
            <w:rFonts w:cs="Arial"/>
            <w:sz w:val="18"/>
            <w:szCs w:val="18"/>
          </w:rPr>
          <w:t>AEDC 2018 National Report.pdf</w:t>
        </w:r>
      </w:hyperlink>
    </w:p>
  </w:footnote>
  <w:footnote w:id="37">
    <w:p w14:paraId="059DEBC9" w14:textId="77777777" w:rsidR="00611F08" w:rsidRPr="00BB42D0" w:rsidRDefault="00611F08" w:rsidP="00A57A14">
      <w:pPr>
        <w:pStyle w:val="FootnoteText"/>
        <w:rPr>
          <w:rFonts w:cs="Arial"/>
          <w:sz w:val="18"/>
          <w:szCs w:val="18"/>
        </w:rPr>
      </w:pPr>
      <w:r w:rsidRPr="00BB42D0">
        <w:rPr>
          <w:rStyle w:val="FootnoteReference"/>
          <w:rFonts w:cs="Arial"/>
          <w:sz w:val="18"/>
          <w:szCs w:val="18"/>
        </w:rPr>
        <w:footnoteRef/>
      </w:r>
      <w:r w:rsidRPr="00BB42D0">
        <w:rPr>
          <w:rFonts w:cs="Arial"/>
          <w:sz w:val="18"/>
          <w:szCs w:val="18"/>
        </w:rPr>
        <w:t xml:space="preserve"> Australian Children’s Education and Care Quality Authority. (2020). </w:t>
      </w:r>
      <w:r w:rsidRPr="00BB42D0">
        <w:rPr>
          <w:rFonts w:cs="Arial"/>
          <w:i/>
          <w:iCs/>
          <w:sz w:val="18"/>
          <w:szCs w:val="18"/>
        </w:rPr>
        <w:t>NQF Snapshot: Q2 2020</w:t>
      </w:r>
      <w:r w:rsidRPr="00BB42D0">
        <w:rPr>
          <w:rFonts w:cs="Arial"/>
          <w:sz w:val="18"/>
          <w:szCs w:val="18"/>
        </w:rPr>
        <w:t xml:space="preserve">. Available at </w:t>
      </w:r>
      <w:hyperlink r:id="rId24" w:history="1">
        <w:r w:rsidRPr="00BB42D0">
          <w:rPr>
            <w:rStyle w:val="Hyperlink"/>
            <w:rFonts w:cs="Arial"/>
            <w:sz w:val="18"/>
            <w:szCs w:val="18"/>
          </w:rPr>
          <w:t>NQF_Snapshot_Q2_2020.pdf (acecqa.gov.au)</w:t>
        </w:r>
      </w:hyperlink>
    </w:p>
  </w:footnote>
  <w:footnote w:id="38">
    <w:p w14:paraId="166B2716" w14:textId="77777777" w:rsidR="00611F08" w:rsidRPr="00BB42D0" w:rsidRDefault="00611F08" w:rsidP="00A57A14">
      <w:pPr>
        <w:pStyle w:val="FootnoteText"/>
        <w:rPr>
          <w:rFonts w:cs="Arial"/>
          <w:sz w:val="18"/>
          <w:szCs w:val="18"/>
        </w:rPr>
      </w:pPr>
      <w:r w:rsidRPr="00BB42D0">
        <w:rPr>
          <w:rStyle w:val="FootnoteReference"/>
          <w:rFonts w:cs="Arial"/>
          <w:sz w:val="18"/>
          <w:szCs w:val="18"/>
        </w:rPr>
        <w:footnoteRef/>
      </w:r>
      <w:r w:rsidRPr="00BB42D0">
        <w:rPr>
          <w:rFonts w:cs="Arial"/>
          <w:sz w:val="18"/>
          <w:szCs w:val="18"/>
        </w:rPr>
        <w:t xml:space="preserve"> Ruppanner, L. (2019). </w:t>
      </w:r>
      <w:r w:rsidRPr="00BB42D0">
        <w:rPr>
          <w:rFonts w:cs="Arial"/>
          <w:i/>
          <w:iCs/>
          <w:sz w:val="18"/>
          <w:szCs w:val="18"/>
        </w:rPr>
        <w:t>HILDA findings on Australian families' experience of childcare should be a call-to-arms for government</w:t>
      </w:r>
      <w:r w:rsidRPr="00BB42D0">
        <w:rPr>
          <w:rFonts w:cs="Arial"/>
          <w:sz w:val="18"/>
          <w:szCs w:val="18"/>
        </w:rPr>
        <w:t xml:space="preserve">. Available at </w:t>
      </w:r>
      <w:hyperlink r:id="rId25" w:history="1">
        <w:r w:rsidRPr="00BB42D0">
          <w:rPr>
            <w:rStyle w:val="Hyperlink"/>
            <w:rFonts w:cs="Arial"/>
            <w:sz w:val="18"/>
            <w:szCs w:val="18"/>
          </w:rPr>
          <w:t>HILDA findings on Australian families' experience of childcare should be a call-to-arms for government (unimelb.edu.au)</w:t>
        </w:r>
      </w:hyperlink>
    </w:p>
  </w:footnote>
  <w:footnote w:id="39">
    <w:p w14:paraId="27C72FC8" w14:textId="77777777" w:rsidR="00611F08" w:rsidRPr="00BB42D0" w:rsidRDefault="00611F08" w:rsidP="00A57A14">
      <w:pPr>
        <w:pStyle w:val="FootnoteText"/>
        <w:rPr>
          <w:rFonts w:cs="Arial"/>
          <w:sz w:val="18"/>
          <w:szCs w:val="18"/>
        </w:rPr>
      </w:pPr>
      <w:r w:rsidRPr="00BB42D0">
        <w:rPr>
          <w:rStyle w:val="FootnoteReference"/>
          <w:rFonts w:cs="Arial"/>
          <w:sz w:val="18"/>
          <w:szCs w:val="18"/>
        </w:rPr>
        <w:footnoteRef/>
      </w:r>
      <w:r w:rsidRPr="00BB42D0">
        <w:rPr>
          <w:rFonts w:cs="Arial"/>
          <w:sz w:val="18"/>
          <w:szCs w:val="18"/>
        </w:rPr>
        <w:t xml:space="preserve"> ibid.</w:t>
      </w:r>
    </w:p>
  </w:footnote>
  <w:footnote w:id="40">
    <w:p w14:paraId="1F80CA1C" w14:textId="77777777" w:rsidR="00611F08" w:rsidRPr="00BB42D0" w:rsidRDefault="00611F08" w:rsidP="00A57A14">
      <w:pPr>
        <w:pStyle w:val="FootnoteText"/>
        <w:rPr>
          <w:rFonts w:cs="Arial"/>
          <w:sz w:val="18"/>
          <w:szCs w:val="18"/>
        </w:rPr>
      </w:pPr>
      <w:r w:rsidRPr="00BB42D0">
        <w:rPr>
          <w:rStyle w:val="FootnoteReference"/>
          <w:rFonts w:cs="Arial"/>
          <w:sz w:val="18"/>
          <w:szCs w:val="18"/>
        </w:rPr>
        <w:footnoteRef/>
      </w:r>
      <w:r w:rsidRPr="00BB42D0">
        <w:rPr>
          <w:rFonts w:cs="Arial"/>
          <w:sz w:val="18"/>
          <w:szCs w:val="18"/>
        </w:rPr>
        <w:t xml:space="preserve"> Dickinson, H., Yates, S. (2020). </w:t>
      </w:r>
      <w:hyperlink r:id="rId26" w:history="1">
        <w:r w:rsidRPr="00BB42D0">
          <w:rPr>
            <w:rStyle w:val="Hyperlink"/>
            <w:rFonts w:cs="Arial"/>
            <w:i/>
            <w:iCs/>
            <w:sz w:val="18"/>
            <w:szCs w:val="18"/>
          </w:rPr>
          <w:t>More than isolated: The experience of children and young people with disability and their families during the COVID-19 pandemic</w:t>
        </w:r>
      </w:hyperlink>
      <w:r w:rsidRPr="00BB42D0">
        <w:rPr>
          <w:rFonts w:cs="Arial"/>
          <w:sz w:val="18"/>
          <w:szCs w:val="18"/>
        </w:rPr>
        <w:t xml:space="preserve">. Report prepared for Children and Young People with Disability Australia (CYDA), Melbourne </w:t>
      </w:r>
    </w:p>
  </w:footnote>
  <w:footnote w:id="41">
    <w:p w14:paraId="2AD66A14" w14:textId="77777777" w:rsidR="00611F08" w:rsidRPr="00BB42D0" w:rsidRDefault="00611F08" w:rsidP="00A57A14">
      <w:pPr>
        <w:pStyle w:val="FootnoteText"/>
        <w:rPr>
          <w:rFonts w:cs="Arial"/>
          <w:sz w:val="18"/>
          <w:szCs w:val="18"/>
        </w:rPr>
      </w:pPr>
      <w:r w:rsidRPr="00BB42D0">
        <w:rPr>
          <w:rStyle w:val="FootnoteReference"/>
          <w:rFonts w:cs="Arial"/>
          <w:sz w:val="18"/>
          <w:szCs w:val="18"/>
        </w:rPr>
        <w:footnoteRef/>
      </w:r>
      <w:r w:rsidRPr="00BB42D0">
        <w:rPr>
          <w:rFonts w:cs="Arial"/>
          <w:sz w:val="18"/>
          <w:szCs w:val="18"/>
        </w:rPr>
        <w:t xml:space="preserve"> Commonwealth of Australia. (2021). </w:t>
      </w:r>
      <w:hyperlink r:id="rId27" w:history="1">
        <w:r w:rsidRPr="00BB42D0">
          <w:rPr>
            <w:rStyle w:val="Hyperlink"/>
            <w:rFonts w:cs="Arial"/>
            <w:i/>
            <w:iCs/>
            <w:sz w:val="18"/>
            <w:szCs w:val="18"/>
          </w:rPr>
          <w:t>Australia’s Disability Strategy 2021-2031</w:t>
        </w:r>
      </w:hyperlink>
    </w:p>
  </w:footnote>
  <w:footnote w:id="42">
    <w:p w14:paraId="38092B56" w14:textId="27F52298" w:rsidR="00341B99" w:rsidRPr="00341B99" w:rsidRDefault="00341B99">
      <w:pPr>
        <w:pStyle w:val="FootnoteText"/>
        <w:rPr>
          <w:sz w:val="18"/>
          <w:szCs w:val="18"/>
          <w:lang w:val="en-US"/>
        </w:rPr>
      </w:pPr>
      <w:r>
        <w:rPr>
          <w:rStyle w:val="FootnoteReference"/>
        </w:rPr>
        <w:footnoteRef/>
      </w:r>
      <w:r>
        <w:t xml:space="preserve"> </w:t>
      </w:r>
      <w:hyperlink r:id="rId28" w:history="1">
        <w:r w:rsidRPr="00341B99">
          <w:rPr>
            <w:rStyle w:val="Hyperlink"/>
            <w:sz w:val="18"/>
            <w:szCs w:val="18"/>
          </w:rPr>
          <w:t>https://engage.dss.gov.au/early-years-strategy/early-years-strategy-discussion-paper/</w:t>
        </w:r>
      </w:hyperlink>
      <w:r w:rsidRPr="00341B99">
        <w:rPr>
          <w:sz w:val="18"/>
          <w:szCs w:val="18"/>
        </w:rPr>
        <w:t xml:space="preserve"> (p.7)</w:t>
      </w:r>
    </w:p>
  </w:footnote>
  <w:footnote w:id="43">
    <w:p w14:paraId="1EA6CC58" w14:textId="2E58B51D" w:rsidR="0034655B" w:rsidRPr="00FB0838" w:rsidRDefault="0034655B" w:rsidP="0034655B">
      <w:pPr>
        <w:pStyle w:val="FootnoteText"/>
        <w:rPr>
          <w:lang w:val="en-US"/>
        </w:rPr>
      </w:pPr>
      <w:r>
        <w:rPr>
          <w:rStyle w:val="FootnoteReference"/>
        </w:rPr>
        <w:footnoteRef/>
      </w:r>
      <w:r>
        <w:t xml:space="preserve"> </w:t>
      </w:r>
      <w:r w:rsidRPr="0028777B">
        <w:rPr>
          <w:sz w:val="18"/>
          <w:szCs w:val="18"/>
        </w:rPr>
        <w:t xml:space="preserve">Australian Institute of Health and Welfare, Australia's children, web report, last updated 25 February 2022. </w:t>
      </w:r>
      <w:hyperlink r:id="rId29" w:history="1">
        <w:r w:rsidRPr="0028777B">
          <w:rPr>
            <w:rStyle w:val="Hyperlink"/>
            <w:sz w:val="18"/>
            <w:szCs w:val="18"/>
          </w:rPr>
          <w:t>https://www.aihw.gov.au/reports/children-youth/australias-children/contents/data-gaps/overarching-data-gaps</w:t>
        </w:r>
      </w:hyperlink>
    </w:p>
  </w:footnote>
  <w:footnote w:id="44">
    <w:p w14:paraId="42B3775E" w14:textId="649025FC" w:rsidR="00FB0838" w:rsidRDefault="00FB0838">
      <w:pPr>
        <w:pStyle w:val="FootnoteText"/>
      </w:pPr>
      <w:r>
        <w:rPr>
          <w:rStyle w:val="FootnoteReference"/>
        </w:rPr>
        <w:footnoteRef/>
      </w:r>
      <w:r>
        <w:t xml:space="preserve"> </w:t>
      </w:r>
      <w:r w:rsidR="007F3F7A">
        <w:rPr>
          <w:sz w:val="18"/>
          <w:szCs w:val="18"/>
        </w:rPr>
        <w:t>Ibid</w:t>
      </w:r>
    </w:p>
    <w:p w14:paraId="35306CC6" w14:textId="77777777" w:rsidR="0028777B" w:rsidRPr="00FB0838" w:rsidRDefault="0028777B">
      <w:pPr>
        <w:pStyle w:val="FootnoteText"/>
        <w:rPr>
          <w:lang w:val="en-US"/>
        </w:rPr>
      </w:pPr>
    </w:p>
  </w:footnote>
  <w:footnote w:id="45">
    <w:p w14:paraId="4B9B92C2" w14:textId="77777777" w:rsidR="00832588" w:rsidRPr="00003972" w:rsidRDefault="00832588" w:rsidP="00832588">
      <w:pPr>
        <w:pStyle w:val="FootnoteText"/>
        <w:rPr>
          <w:rFonts w:cs="Arial"/>
        </w:rPr>
      </w:pPr>
      <w:r w:rsidRPr="00003972">
        <w:rPr>
          <w:rStyle w:val="FootnoteReference"/>
          <w:rFonts w:cs="Arial"/>
        </w:rPr>
        <w:footnoteRef/>
      </w:r>
      <w:r w:rsidRPr="00003972">
        <w:rPr>
          <w:rFonts w:cs="Arial"/>
        </w:rPr>
        <w:t xml:space="preserve"> Wayland, S &amp; Hindmarsh, G. (2017). </w:t>
      </w:r>
      <w:r w:rsidRPr="00003972">
        <w:rPr>
          <w:rFonts w:cs="Arial"/>
          <w:i/>
          <w:iCs/>
        </w:rPr>
        <w:t>Understanding safeguarding practices for children with disability when engaging with organisations.</w:t>
      </w:r>
      <w:r w:rsidRPr="00003972">
        <w:rPr>
          <w:rFonts w:cs="Arial"/>
        </w:rPr>
        <w:t xml:space="preserve"> Available at </w:t>
      </w:r>
      <w:hyperlink r:id="rId30" w:history="1">
        <w:r w:rsidRPr="00003972">
          <w:rPr>
            <w:rStyle w:val="Hyperlink"/>
            <w:rFonts w:cs="Arial"/>
            <w:color w:val="5B9BD5" w:themeColor="accent5"/>
          </w:rPr>
          <w:t>Understanding safeguarding practices for children with disability when engaging with organisations | Child Family Community Australia (aifs.gov.au)</w:t>
        </w:r>
      </w:hyperlink>
    </w:p>
  </w:footnote>
  <w:footnote w:id="46">
    <w:p w14:paraId="2A59FC89" w14:textId="77777777" w:rsidR="00832588" w:rsidRPr="00DD0111" w:rsidRDefault="00832588" w:rsidP="00832588">
      <w:pPr>
        <w:pStyle w:val="FootnoteText"/>
        <w:rPr>
          <w:sz w:val="18"/>
          <w:szCs w:val="18"/>
        </w:rPr>
      </w:pPr>
      <w:r>
        <w:rPr>
          <w:rStyle w:val="FootnoteReference"/>
        </w:rPr>
        <w:footnoteRef/>
      </w:r>
      <w:r>
        <w:t xml:space="preserve"> </w:t>
      </w:r>
      <w:r w:rsidRPr="00DD0111">
        <w:rPr>
          <w:sz w:val="18"/>
          <w:szCs w:val="18"/>
        </w:rPr>
        <w:t xml:space="preserve">Davidson, P; Bradbury, B; and Wong, M (2023), Poverty in Australia 2023: Who is affected Poverty and Inequality Partnership Report no. 20. Australian Council of Social Service and UNSW Sydney </w:t>
      </w:r>
    </w:p>
  </w:footnote>
  <w:footnote w:id="47">
    <w:p w14:paraId="5939E85D" w14:textId="77777777" w:rsidR="00832588" w:rsidRPr="00DD0111" w:rsidRDefault="00832588" w:rsidP="00832588">
      <w:pPr>
        <w:pStyle w:val="FootnoteText"/>
        <w:rPr>
          <w:sz w:val="18"/>
          <w:szCs w:val="18"/>
        </w:rPr>
      </w:pPr>
      <w:r w:rsidRPr="00DD0111">
        <w:rPr>
          <w:rStyle w:val="FootnoteReference"/>
          <w:sz w:val="18"/>
          <w:szCs w:val="18"/>
        </w:rPr>
        <w:footnoteRef/>
      </w:r>
      <w:r w:rsidRPr="00DD0111">
        <w:rPr>
          <w:sz w:val="18"/>
          <w:szCs w:val="18"/>
        </w:rPr>
        <w:t xml:space="preserve"> Australian Institute of Health and Welfare (2022) People with disability in Australia, AIHW, Australian Government </w:t>
      </w:r>
    </w:p>
  </w:footnote>
  <w:footnote w:id="48">
    <w:p w14:paraId="1D941466" w14:textId="77777777" w:rsidR="00832588" w:rsidRPr="00DD0111" w:rsidRDefault="00832588" w:rsidP="00832588">
      <w:pPr>
        <w:pStyle w:val="FootnoteText"/>
        <w:rPr>
          <w:sz w:val="18"/>
          <w:szCs w:val="18"/>
        </w:rPr>
      </w:pPr>
      <w:r w:rsidRPr="00DD0111">
        <w:rPr>
          <w:rStyle w:val="FootnoteReference"/>
          <w:sz w:val="18"/>
          <w:szCs w:val="18"/>
        </w:rPr>
        <w:footnoteRef/>
      </w:r>
      <w:r w:rsidRPr="00DD0111">
        <w:rPr>
          <w:sz w:val="18"/>
          <w:szCs w:val="18"/>
        </w:rPr>
        <w:t xml:space="preserve"> </w:t>
      </w:r>
      <w:r w:rsidRPr="00DD0111">
        <w:rPr>
          <w:rFonts w:cs="Arial"/>
          <w:color w:val="000000" w:themeColor="text1"/>
          <w:sz w:val="18"/>
          <w:szCs w:val="18"/>
          <w:shd w:val="clear" w:color="auto" w:fill="FFFFFF"/>
        </w:rPr>
        <w:t xml:space="preserve">Australian Institute of Health and Welfare (2018) </w:t>
      </w:r>
      <w:r w:rsidRPr="00DD0111">
        <w:rPr>
          <w:rFonts w:cs="Arial"/>
          <w:sz w:val="18"/>
          <w:szCs w:val="18"/>
        </w:rPr>
        <w:t xml:space="preserve">Table LIVI6 2018, </w:t>
      </w:r>
      <w:r w:rsidRPr="00DD0111">
        <w:rPr>
          <w:rFonts w:cs="Arial"/>
          <w:color w:val="000000" w:themeColor="text1"/>
          <w:sz w:val="18"/>
          <w:szCs w:val="18"/>
          <w:shd w:val="clear" w:color="auto" w:fill="FFFFFF"/>
        </w:rPr>
        <w:t>AIHW, Australian Government</w:t>
      </w:r>
    </w:p>
  </w:footnote>
  <w:footnote w:id="49">
    <w:p w14:paraId="54DF5403" w14:textId="77777777" w:rsidR="00832588" w:rsidRPr="00DD0111" w:rsidRDefault="00832588" w:rsidP="00832588">
      <w:pPr>
        <w:pStyle w:val="FootnoteText"/>
        <w:rPr>
          <w:sz w:val="18"/>
          <w:szCs w:val="18"/>
        </w:rPr>
      </w:pPr>
      <w:r w:rsidRPr="00DD0111">
        <w:rPr>
          <w:rStyle w:val="FootnoteReference"/>
          <w:sz w:val="18"/>
          <w:szCs w:val="18"/>
        </w:rPr>
        <w:footnoteRef/>
      </w:r>
      <w:r w:rsidRPr="00DD0111">
        <w:rPr>
          <w:sz w:val="18"/>
          <w:szCs w:val="18"/>
        </w:rPr>
        <w:t xml:space="preserve"> </w:t>
      </w:r>
      <w:r w:rsidRPr="00DD0111">
        <w:rPr>
          <w:rFonts w:cs="Arial"/>
          <w:color w:val="000000" w:themeColor="text1"/>
          <w:sz w:val="18"/>
          <w:szCs w:val="18"/>
          <w:shd w:val="clear" w:color="auto" w:fill="FFFFFF"/>
        </w:rPr>
        <w:t xml:space="preserve">Australian Institute of Health and Welfare (2019) </w:t>
      </w:r>
      <w:r w:rsidRPr="00DD0111">
        <w:rPr>
          <w:rFonts w:cs="Arial"/>
          <w:sz w:val="18"/>
          <w:szCs w:val="18"/>
        </w:rPr>
        <w:t xml:space="preserve">Table SHSC3 2019, </w:t>
      </w:r>
      <w:r w:rsidRPr="00DD0111">
        <w:rPr>
          <w:rFonts w:cs="Arial"/>
          <w:color w:val="000000" w:themeColor="text1"/>
          <w:sz w:val="18"/>
          <w:szCs w:val="18"/>
          <w:shd w:val="clear" w:color="auto" w:fill="FFFFFF"/>
        </w:rPr>
        <w:t>AIHW, Australian Government</w:t>
      </w:r>
    </w:p>
  </w:footnote>
  <w:footnote w:id="50">
    <w:p w14:paraId="16A6D175" w14:textId="77777777" w:rsidR="00832588" w:rsidRPr="00DD0111" w:rsidRDefault="00832588" w:rsidP="00832588">
      <w:pPr>
        <w:pStyle w:val="FootnoteText"/>
        <w:rPr>
          <w:sz w:val="18"/>
          <w:szCs w:val="18"/>
        </w:rPr>
      </w:pPr>
      <w:r w:rsidRPr="00DD0111">
        <w:rPr>
          <w:rStyle w:val="FootnoteReference"/>
          <w:sz w:val="18"/>
          <w:szCs w:val="18"/>
        </w:rPr>
        <w:footnoteRef/>
      </w:r>
      <w:r w:rsidRPr="00DD0111">
        <w:rPr>
          <w:sz w:val="18"/>
          <w:szCs w:val="18"/>
        </w:rPr>
        <w:t xml:space="preserve"> </w:t>
      </w:r>
      <w:r w:rsidRPr="00DD0111">
        <w:rPr>
          <w:rFonts w:cs="Arial"/>
          <w:color w:val="000000" w:themeColor="text1"/>
          <w:sz w:val="18"/>
          <w:szCs w:val="18"/>
          <w:shd w:val="clear" w:color="auto" w:fill="FFFFFF"/>
        </w:rPr>
        <w:t xml:space="preserve">Australian Institute of Health and Welfare (2019) </w:t>
      </w:r>
      <w:r w:rsidRPr="00DD0111">
        <w:rPr>
          <w:rFonts w:cs="Arial"/>
          <w:sz w:val="18"/>
          <w:szCs w:val="18"/>
        </w:rPr>
        <w:t xml:space="preserve">Table NEED2 2018, </w:t>
      </w:r>
      <w:r w:rsidRPr="00DD0111">
        <w:rPr>
          <w:rFonts w:cs="Arial"/>
          <w:color w:val="000000" w:themeColor="text1"/>
          <w:sz w:val="18"/>
          <w:szCs w:val="18"/>
          <w:shd w:val="clear" w:color="auto" w:fill="FFFFFF"/>
        </w:rPr>
        <w:t>AIHW, Australian Government</w:t>
      </w:r>
    </w:p>
  </w:footnote>
  <w:footnote w:id="51">
    <w:p w14:paraId="18BE2B3B" w14:textId="77777777" w:rsidR="00832588" w:rsidRPr="00DD0111" w:rsidRDefault="00832588" w:rsidP="00832588">
      <w:pPr>
        <w:pStyle w:val="FootnoteText"/>
        <w:rPr>
          <w:rFonts w:cs="Arial"/>
          <w:color w:val="000000" w:themeColor="text1"/>
          <w:sz w:val="18"/>
          <w:szCs w:val="18"/>
        </w:rPr>
      </w:pPr>
      <w:r w:rsidRPr="00DD0111">
        <w:rPr>
          <w:rStyle w:val="FootnoteReference"/>
          <w:rFonts w:cs="Arial"/>
          <w:sz w:val="18"/>
          <w:szCs w:val="18"/>
        </w:rPr>
        <w:footnoteRef/>
      </w:r>
      <w:r w:rsidRPr="00DD0111">
        <w:rPr>
          <w:rFonts w:cs="Arial"/>
          <w:sz w:val="18"/>
          <w:szCs w:val="18"/>
        </w:rPr>
        <w:t xml:space="preserve"> </w:t>
      </w:r>
      <w:r w:rsidRPr="00DD0111">
        <w:rPr>
          <w:rFonts w:cs="Arial"/>
          <w:color w:val="000000" w:themeColor="text1"/>
          <w:sz w:val="18"/>
          <w:szCs w:val="18"/>
        </w:rPr>
        <w:t>ABS (2019) </w:t>
      </w:r>
      <w:hyperlink r:id="rId31" w:tgtFrame="_blank" w:history="1">
        <w:r w:rsidRPr="00DD0111">
          <w:rPr>
            <w:rStyle w:val="Hyperlink"/>
            <w:rFonts w:cs="Arial"/>
            <w:sz w:val="18"/>
            <w:szCs w:val="18"/>
          </w:rPr>
          <w:t>Disability, Ageing and Carers, Australia: Summary of Finding</w:t>
        </w:r>
        <w:r w:rsidRPr="00DD0111">
          <w:rPr>
            <w:rStyle w:val="Hyperlink"/>
            <w:rFonts w:cs="Arial"/>
            <w:i/>
            <w:iCs/>
            <w:color w:val="000000" w:themeColor="text1"/>
            <w:sz w:val="18"/>
            <w:szCs w:val="18"/>
          </w:rPr>
          <w:t>s</w:t>
        </w:r>
      </w:hyperlink>
      <w:r w:rsidRPr="00DD0111">
        <w:rPr>
          <w:rFonts w:cs="Arial"/>
          <w:color w:val="000000" w:themeColor="text1"/>
          <w:sz w:val="18"/>
          <w:szCs w:val="18"/>
        </w:rPr>
        <w:t xml:space="preserve">, ABS website, accessed 11 February 2022. </w:t>
      </w:r>
    </w:p>
  </w:footnote>
  <w:footnote w:id="52">
    <w:p w14:paraId="528D32FA" w14:textId="77777777" w:rsidR="00832588" w:rsidRPr="00DD0111" w:rsidRDefault="00832588" w:rsidP="00832588">
      <w:pPr>
        <w:pStyle w:val="FootnoteText"/>
        <w:rPr>
          <w:sz w:val="18"/>
          <w:szCs w:val="18"/>
        </w:rPr>
      </w:pPr>
      <w:r w:rsidRPr="00DD0111">
        <w:rPr>
          <w:rStyle w:val="FootnoteReference"/>
          <w:sz w:val="18"/>
          <w:szCs w:val="18"/>
        </w:rPr>
        <w:footnoteRef/>
      </w:r>
      <w:r w:rsidRPr="00DD0111">
        <w:rPr>
          <w:sz w:val="18"/>
          <w:szCs w:val="18"/>
        </w:rPr>
        <w:t xml:space="preserve"> </w:t>
      </w:r>
      <w:r w:rsidRPr="00DD0111">
        <w:rPr>
          <w:rFonts w:cs="Arial"/>
          <w:color w:val="000000" w:themeColor="text1"/>
          <w:sz w:val="18"/>
          <w:szCs w:val="18"/>
        </w:rPr>
        <w:t>ABS (2022) Profile of people with a core need for assistance in Australia, Information on need for assistance, Source: Disability and carers: Census 2021  </w:t>
      </w:r>
    </w:p>
  </w:footnote>
  <w:footnote w:id="53">
    <w:p w14:paraId="0DE971AC" w14:textId="77777777" w:rsidR="00832588" w:rsidRPr="001B3B6D" w:rsidRDefault="00832588" w:rsidP="00832588">
      <w:pPr>
        <w:pStyle w:val="FootnoteText"/>
        <w:rPr>
          <w:rFonts w:cs="Arial"/>
          <w:sz w:val="18"/>
          <w:szCs w:val="18"/>
        </w:rPr>
      </w:pPr>
      <w:r w:rsidRPr="001B3B6D">
        <w:rPr>
          <w:rStyle w:val="FootnoteReference"/>
          <w:rFonts w:cs="Arial"/>
          <w:sz w:val="18"/>
          <w:szCs w:val="18"/>
        </w:rPr>
        <w:footnoteRef/>
      </w:r>
      <w:r w:rsidRPr="001B3B6D">
        <w:rPr>
          <w:rFonts w:cs="Arial"/>
          <w:sz w:val="18"/>
          <w:szCs w:val="18"/>
        </w:rPr>
        <w:t xml:space="preserve"> Australian Institute of Health and Welfare (2022) People with disability in Australia, AIHW, Australian Government, accessed 03 November 2022. </w:t>
      </w:r>
    </w:p>
  </w:footnote>
  <w:footnote w:id="54">
    <w:p w14:paraId="4FBA8696" w14:textId="77777777" w:rsidR="00832588" w:rsidRPr="001B3B6D" w:rsidRDefault="00832588" w:rsidP="00832588">
      <w:pPr>
        <w:pStyle w:val="FootnoteText"/>
        <w:rPr>
          <w:sz w:val="18"/>
          <w:szCs w:val="18"/>
        </w:rPr>
      </w:pPr>
      <w:r w:rsidRPr="001B3B6D">
        <w:rPr>
          <w:rStyle w:val="FootnoteReference"/>
          <w:sz w:val="18"/>
          <w:szCs w:val="18"/>
        </w:rPr>
        <w:footnoteRef/>
      </w:r>
      <w:r w:rsidRPr="001B3B6D">
        <w:rPr>
          <w:sz w:val="18"/>
          <w:szCs w:val="18"/>
        </w:rPr>
        <w:t xml:space="preserve"> Australian Government, (2023) Australia’s Disability Strategy Outcomes Framework, March 2023</w:t>
      </w:r>
    </w:p>
  </w:footnote>
  <w:footnote w:id="55">
    <w:p w14:paraId="41C9FDB0" w14:textId="77777777" w:rsidR="00832588" w:rsidRPr="001B3B6D" w:rsidRDefault="00832588" w:rsidP="00832588">
      <w:pPr>
        <w:pStyle w:val="FootnoteText"/>
        <w:rPr>
          <w:sz w:val="18"/>
          <w:szCs w:val="18"/>
        </w:rPr>
      </w:pPr>
      <w:r w:rsidRPr="001B3B6D">
        <w:rPr>
          <w:rStyle w:val="FootnoteReference"/>
          <w:sz w:val="18"/>
          <w:szCs w:val="18"/>
        </w:rPr>
        <w:footnoteRef/>
      </w:r>
      <w:r w:rsidRPr="001B3B6D">
        <w:rPr>
          <w:sz w:val="18"/>
          <w:szCs w:val="18"/>
        </w:rPr>
        <w:t xml:space="preserve"> Graham, Killingly, Laurens, Sweller, (2021), Suspensions and expulsions could set our most vulnerable kids on a path to school drop-out, drug use and crime, The Conversation. Available at: </w:t>
      </w:r>
      <w:hyperlink r:id="rId32" w:history="1">
        <w:r w:rsidRPr="001B3B6D">
          <w:rPr>
            <w:rStyle w:val="Hyperlink"/>
            <w:sz w:val="18"/>
            <w:szCs w:val="18"/>
          </w:rPr>
          <w:t>https://theconversation.com/suspensions-and-expulsions-could-set-our-most-vulnerable-kids-on-a-path-to-school-drop-out-drug-use-and-crime-166827</w:t>
        </w:r>
      </w:hyperlink>
      <w:r w:rsidRPr="001B3B6D">
        <w:rPr>
          <w:sz w:val="18"/>
          <w:szCs w:val="18"/>
        </w:rPr>
        <w:t xml:space="preserve"> </w:t>
      </w:r>
    </w:p>
  </w:footnote>
  <w:footnote w:id="56">
    <w:p w14:paraId="7D161091" w14:textId="77777777" w:rsidR="00832588" w:rsidRPr="001B3B6D" w:rsidRDefault="00832588" w:rsidP="00832588">
      <w:pPr>
        <w:pStyle w:val="FootnoteText"/>
        <w:rPr>
          <w:sz w:val="18"/>
          <w:szCs w:val="18"/>
        </w:rPr>
      </w:pPr>
      <w:r w:rsidRPr="001B3B6D">
        <w:rPr>
          <w:rStyle w:val="FootnoteReference"/>
          <w:sz w:val="18"/>
          <w:szCs w:val="18"/>
        </w:rPr>
        <w:footnoteRef/>
      </w:r>
      <w:r w:rsidRPr="001B3B6D">
        <w:rPr>
          <w:sz w:val="18"/>
          <w:szCs w:val="18"/>
        </w:rPr>
        <w:t xml:space="preserve"> </w:t>
      </w:r>
      <w:r w:rsidRPr="001B3B6D">
        <w:rPr>
          <w:rFonts w:cs="Arial"/>
          <w:color w:val="000000" w:themeColor="text1"/>
          <w:sz w:val="18"/>
          <w:szCs w:val="18"/>
        </w:rPr>
        <w:t>ABS (2019) </w:t>
      </w:r>
      <w:hyperlink r:id="rId33" w:tgtFrame="_blank" w:history="1">
        <w:r w:rsidRPr="001B3B6D">
          <w:rPr>
            <w:rStyle w:val="Hyperlink"/>
            <w:rFonts w:cs="Arial"/>
            <w:sz w:val="18"/>
            <w:szCs w:val="18"/>
          </w:rPr>
          <w:t>Disability, Ageing and Carers, Australia: Summary of Finding</w:t>
        </w:r>
        <w:r w:rsidRPr="001B3B6D">
          <w:rPr>
            <w:rStyle w:val="Hyperlink"/>
            <w:rFonts w:cs="Arial"/>
            <w:i/>
            <w:iCs/>
            <w:color w:val="000000" w:themeColor="text1"/>
            <w:sz w:val="18"/>
            <w:szCs w:val="18"/>
          </w:rPr>
          <w:t>s</w:t>
        </w:r>
      </w:hyperlink>
      <w:r w:rsidRPr="001B3B6D">
        <w:rPr>
          <w:rFonts w:cs="Arial"/>
          <w:color w:val="000000" w:themeColor="text1"/>
          <w:sz w:val="18"/>
          <w:szCs w:val="18"/>
        </w:rPr>
        <w:t xml:space="preserve">, ABS website </w:t>
      </w:r>
    </w:p>
  </w:footnote>
  <w:footnote w:id="57">
    <w:p w14:paraId="52867D64" w14:textId="77777777" w:rsidR="00832588" w:rsidRPr="001B3B6D" w:rsidRDefault="00832588" w:rsidP="00832588">
      <w:pPr>
        <w:pStyle w:val="FootnoteText"/>
        <w:rPr>
          <w:rFonts w:cs="Arial"/>
          <w:sz w:val="18"/>
          <w:szCs w:val="18"/>
        </w:rPr>
      </w:pPr>
      <w:r w:rsidRPr="001B3B6D">
        <w:rPr>
          <w:rStyle w:val="FootnoteReference"/>
          <w:rFonts w:cs="Arial"/>
          <w:color w:val="000000" w:themeColor="text1"/>
          <w:sz w:val="18"/>
          <w:szCs w:val="18"/>
        </w:rPr>
        <w:footnoteRef/>
      </w:r>
      <w:r w:rsidRPr="001B3B6D">
        <w:rPr>
          <w:rFonts w:cs="Arial"/>
          <w:color w:val="000000" w:themeColor="text1"/>
          <w:sz w:val="18"/>
          <w:szCs w:val="18"/>
        </w:rPr>
        <w:t xml:space="preserve"> ABS 2019. </w:t>
      </w:r>
      <w:hyperlink r:id="rId34" w:tgtFrame="_blank" w:history="1">
        <w:r w:rsidRPr="001B3B6D">
          <w:rPr>
            <w:rStyle w:val="Hyperlink"/>
            <w:rFonts w:cs="Arial"/>
            <w:sz w:val="18"/>
            <w:szCs w:val="18"/>
          </w:rPr>
          <w:t>National Aboriginal and Torres Strait Islander Health Survey, 2018–19</w:t>
        </w:r>
      </w:hyperlink>
      <w:r w:rsidRPr="001B3B6D">
        <w:rPr>
          <w:rFonts w:cs="Arial"/>
          <w:color w:val="000000" w:themeColor="text1"/>
          <w:sz w:val="18"/>
          <w:szCs w:val="18"/>
        </w:rPr>
        <w:t>. Cat. no. 4715.0. Canberra: ABS.</w:t>
      </w:r>
    </w:p>
  </w:footnote>
  <w:footnote w:id="58">
    <w:p w14:paraId="0C8542C4" w14:textId="77777777" w:rsidR="00832588" w:rsidRPr="001B3B6D" w:rsidRDefault="00832588" w:rsidP="00832588">
      <w:pPr>
        <w:pStyle w:val="FootnoteText"/>
        <w:rPr>
          <w:sz w:val="18"/>
          <w:szCs w:val="18"/>
        </w:rPr>
      </w:pPr>
      <w:r w:rsidRPr="001B3B6D">
        <w:rPr>
          <w:rStyle w:val="FootnoteReference"/>
          <w:sz w:val="18"/>
          <w:szCs w:val="18"/>
        </w:rPr>
        <w:footnoteRef/>
      </w:r>
      <w:r w:rsidRPr="001B3B6D">
        <w:rPr>
          <w:sz w:val="18"/>
          <w:szCs w:val="18"/>
        </w:rPr>
        <w:t xml:space="preserve"> SSI. (2018). Still outside the tent, Cultural diversity and disability in a time of reform – a rapid review of evidence, Available at: </w:t>
      </w:r>
      <w:hyperlink r:id="rId35" w:history="1">
        <w:r w:rsidRPr="001B3B6D">
          <w:rPr>
            <w:rStyle w:val="Hyperlink"/>
            <w:sz w:val="18"/>
            <w:szCs w:val="18"/>
          </w:rPr>
          <w:t>https://www.ssi.org.au/images/stories/documents/publications/Still_Outside_the_Tent_Final.pdf</w:t>
        </w:r>
      </w:hyperlink>
      <w:r w:rsidRPr="001B3B6D">
        <w:rPr>
          <w:sz w:val="18"/>
          <w:szCs w:val="18"/>
        </w:rPr>
        <w:t xml:space="preserve"> </w:t>
      </w:r>
    </w:p>
  </w:footnote>
  <w:footnote w:id="59">
    <w:p w14:paraId="6F5F2015" w14:textId="77777777" w:rsidR="00832588" w:rsidRPr="001B3B6D" w:rsidRDefault="00832588" w:rsidP="00832588">
      <w:pPr>
        <w:pStyle w:val="FootnoteText"/>
        <w:rPr>
          <w:sz w:val="18"/>
          <w:szCs w:val="18"/>
        </w:rPr>
      </w:pPr>
      <w:r w:rsidRPr="001B3B6D">
        <w:rPr>
          <w:rStyle w:val="FootnoteReference"/>
          <w:sz w:val="18"/>
          <w:szCs w:val="18"/>
        </w:rPr>
        <w:footnoteRef/>
      </w:r>
      <w:r w:rsidRPr="001B3B6D">
        <w:rPr>
          <w:sz w:val="18"/>
          <w:szCs w:val="18"/>
        </w:rPr>
        <w:t xml:space="preserve"> NDIS. (2019) C</w:t>
      </w:r>
      <w:r w:rsidRPr="001B3B6D">
        <w:rPr>
          <w:rStyle w:val="Emphasis"/>
          <w:rFonts w:cs="Arial"/>
          <w:color w:val="222222"/>
          <w:sz w:val="18"/>
          <w:szCs w:val="18"/>
          <w:shd w:val="clear" w:color="auto" w:fill="FFFFFF"/>
        </w:rPr>
        <w:t xml:space="preserve">ulturally and Linguistically Diverse participants report. Available at: </w:t>
      </w:r>
      <w:hyperlink r:id="rId36" w:history="1">
        <w:r w:rsidRPr="001B3B6D">
          <w:rPr>
            <w:rStyle w:val="Hyperlink"/>
            <w:rFonts w:cs="Arial"/>
            <w:sz w:val="18"/>
            <w:szCs w:val="18"/>
            <w:shd w:val="clear" w:color="auto" w:fill="FFFFFF"/>
          </w:rPr>
          <w:t>https://data.ndis.gov.au/reports-and-analyses/participant-groups/culturally-and-linguistically-diverse-report</w:t>
        </w:r>
      </w:hyperlink>
      <w:r w:rsidRPr="001B3B6D">
        <w:rPr>
          <w:rStyle w:val="Emphasis"/>
          <w:rFonts w:cs="Arial"/>
          <w:color w:val="222222"/>
          <w:sz w:val="18"/>
          <w:szCs w:val="18"/>
          <w:shd w:val="clear" w:color="auto" w:fill="FFFFFF"/>
        </w:rPr>
        <w:t xml:space="preserve">  </w:t>
      </w:r>
    </w:p>
  </w:footnote>
  <w:footnote w:id="60">
    <w:p w14:paraId="6908CCD3" w14:textId="77777777" w:rsidR="002A0027" w:rsidRPr="00003972" w:rsidRDefault="002A0027" w:rsidP="002A0027">
      <w:pPr>
        <w:pStyle w:val="FootnoteText"/>
        <w:rPr>
          <w:rFonts w:cs="Arial"/>
          <w:color w:val="000000" w:themeColor="text1"/>
        </w:rPr>
      </w:pPr>
      <w:r w:rsidRPr="00003972">
        <w:rPr>
          <w:rStyle w:val="FootnoteReference"/>
          <w:rFonts w:cs="Arial"/>
          <w:color w:val="000000" w:themeColor="text1"/>
        </w:rPr>
        <w:footnoteRef/>
      </w:r>
      <w:r w:rsidRPr="00003972">
        <w:rPr>
          <w:rFonts w:cs="Arial"/>
          <w:color w:val="000000" w:themeColor="text1"/>
        </w:rPr>
        <w:t xml:space="preserve"> United Nations Children’s Fund 2013, </w:t>
      </w:r>
      <w:r w:rsidRPr="00003972">
        <w:rPr>
          <w:rFonts w:cs="Arial"/>
          <w:i/>
          <w:color w:val="000000" w:themeColor="text1"/>
        </w:rPr>
        <w:t xml:space="preserve">State of the World’s Children 2013: Children with Disabilities, </w:t>
      </w:r>
      <w:r w:rsidRPr="00003972">
        <w:rPr>
          <w:rFonts w:cs="Arial"/>
          <w:color w:val="000000" w:themeColor="text1"/>
        </w:rPr>
        <w:t>United Nations, New York, p. 63.</w:t>
      </w:r>
    </w:p>
  </w:footnote>
  <w:footnote w:id="61">
    <w:p w14:paraId="11A6A8F3" w14:textId="77777777" w:rsidR="002A0027" w:rsidRPr="00003972" w:rsidRDefault="002A0027" w:rsidP="002A0027">
      <w:pPr>
        <w:pStyle w:val="FootnoteText"/>
        <w:rPr>
          <w:rFonts w:cs="Arial"/>
        </w:rPr>
      </w:pPr>
      <w:r w:rsidRPr="00003972">
        <w:rPr>
          <w:rStyle w:val="FootnoteReference"/>
          <w:rFonts w:cs="Arial"/>
        </w:rPr>
        <w:footnoteRef/>
      </w:r>
      <w:r w:rsidRPr="00003972">
        <w:rPr>
          <w:rFonts w:cs="Arial"/>
        </w:rPr>
        <w:t xml:space="preserve"> Wayland, S &amp; Hindmarsh, G. (2017). Understanding safeguarding practices for children with disability when engaging with organisations. Available at </w:t>
      </w:r>
      <w:hyperlink r:id="rId37" w:history="1">
        <w:r w:rsidRPr="00003972">
          <w:rPr>
            <w:rStyle w:val="Hyperlink"/>
            <w:rFonts w:cs="Arial"/>
          </w:rPr>
          <w:t>Understanding safeguarding practices for children with disability when engaging with organisations | Child Family Community Australia</w:t>
        </w:r>
      </w:hyperlink>
      <w:r w:rsidRPr="00003972">
        <w:rPr>
          <w:rFonts w:cs="Arial"/>
        </w:rPr>
        <w:t xml:space="preserve"> (aifs.gov.au) </w:t>
      </w:r>
    </w:p>
  </w:footnote>
  <w:footnote w:id="62">
    <w:p w14:paraId="1E31B8CD" w14:textId="686AD624" w:rsidR="00430B61" w:rsidRDefault="00430B61">
      <w:pPr>
        <w:pStyle w:val="FootnoteText"/>
        <w:rPr>
          <w:rFonts w:cs="Arial"/>
        </w:rPr>
      </w:pPr>
      <w:r>
        <w:rPr>
          <w:rStyle w:val="FootnoteReference"/>
        </w:rPr>
        <w:footnoteRef/>
      </w:r>
      <w:r>
        <w:t xml:space="preserve"> </w:t>
      </w:r>
      <w:r w:rsidRPr="00AA4A28">
        <w:rPr>
          <w:rFonts w:cs="Arial"/>
        </w:rPr>
        <w:t xml:space="preserve">Australian Institute of Health and Welfare (2022) </w:t>
      </w:r>
      <w:r>
        <w:rPr>
          <w:rFonts w:cs="Arial"/>
        </w:rPr>
        <w:t xml:space="preserve">Children </w:t>
      </w:r>
      <w:r w:rsidRPr="00AA4A28">
        <w:rPr>
          <w:rFonts w:cs="Arial"/>
        </w:rPr>
        <w:t>with disability in Australia</w:t>
      </w:r>
      <w:r w:rsidR="00803D5E">
        <w:rPr>
          <w:rFonts w:cs="Arial"/>
        </w:rPr>
        <w:t xml:space="preserve">.  Available at: </w:t>
      </w:r>
      <w:hyperlink r:id="rId38" w:history="1">
        <w:r w:rsidR="00803D5E" w:rsidRPr="00C952B4">
          <w:rPr>
            <w:rStyle w:val="Hyperlink"/>
            <w:rFonts w:cs="Arial"/>
          </w:rPr>
          <w:t>https://www.aihw.gov.au/reports/children-youth/australias-children/contents/data-gaps/improve-evidence</w:t>
        </w:r>
      </w:hyperlink>
    </w:p>
    <w:p w14:paraId="2019F190" w14:textId="77777777" w:rsidR="00803D5E" w:rsidRPr="00430B61" w:rsidRDefault="00803D5E">
      <w:pPr>
        <w:pStyle w:val="FootnoteText"/>
        <w:rPr>
          <w:lang w:val="en-US"/>
        </w:rPr>
      </w:pPr>
    </w:p>
  </w:footnote>
  <w:footnote w:id="63">
    <w:p w14:paraId="469A1B15" w14:textId="77777777" w:rsidR="00611F08" w:rsidRPr="00003972" w:rsidRDefault="00611F08" w:rsidP="00DC1A91">
      <w:pPr>
        <w:pStyle w:val="FootnoteText"/>
        <w:rPr>
          <w:rFonts w:cs="Arial"/>
        </w:rPr>
      </w:pPr>
      <w:r w:rsidRPr="00003972">
        <w:rPr>
          <w:rStyle w:val="FootnoteReference"/>
          <w:rFonts w:cs="Arial"/>
        </w:rPr>
        <w:footnoteRef/>
      </w:r>
      <w:r w:rsidRPr="00003972">
        <w:rPr>
          <w:rFonts w:cs="Arial"/>
        </w:rPr>
        <w:t xml:space="preserve"> Australian Human Rights Commission. (2022). ‘Mental health shapes my life’: COVID-19 &amp; kids’ wellbeing Available at: </w:t>
      </w:r>
      <w:hyperlink r:id="rId39" w:history="1">
        <w:r w:rsidRPr="00003972">
          <w:rPr>
            <w:rStyle w:val="Hyperlink"/>
            <w:rFonts w:cs="Arial"/>
          </w:rPr>
          <w:t>https://humanrights.gov.au/our-work/childrens-rights/publications/mental-health-shapes-my-life-covid-19-kids-wellbeing-2022</w:t>
        </w:r>
      </w:hyperlink>
      <w:r w:rsidRPr="00003972">
        <w:rPr>
          <w:rFonts w:cs="Arial"/>
        </w:rPr>
        <w:t xml:space="preserve"> </w:t>
      </w:r>
    </w:p>
  </w:footnote>
  <w:footnote w:id="64">
    <w:p w14:paraId="210DCAE0" w14:textId="77777777" w:rsidR="00611F08" w:rsidRPr="00003972" w:rsidRDefault="00611F08" w:rsidP="00DC1A91">
      <w:pPr>
        <w:pStyle w:val="FootnoteText"/>
        <w:rPr>
          <w:rFonts w:cs="Arial"/>
        </w:rPr>
      </w:pPr>
      <w:r w:rsidRPr="00003972">
        <w:rPr>
          <w:rStyle w:val="FootnoteReference"/>
          <w:rFonts w:cs="Arial"/>
        </w:rPr>
        <w:footnoteRef/>
      </w:r>
      <w:r w:rsidRPr="00003972">
        <w:rPr>
          <w:rFonts w:cs="Arial"/>
        </w:rPr>
        <w:t xml:space="preserve"> AIHW, Australia’s children (Online Report, 2020) 93 Available at:  </w:t>
      </w:r>
      <w:hyperlink r:id="rId40" w:history="1">
        <w:r w:rsidRPr="00003972">
          <w:rPr>
            <w:rStyle w:val="Hyperlink"/>
            <w:rFonts w:cs="Arial"/>
          </w:rPr>
          <w:t>https://www.aihw.gov.au/reports/children-youth/australias-children/contents/about</w:t>
        </w:r>
      </w:hyperlink>
      <w:r w:rsidRPr="00003972">
        <w:rPr>
          <w:rFonts w:cs="Arial"/>
        </w:rPr>
        <w:t xml:space="preserve"> </w:t>
      </w:r>
    </w:p>
  </w:footnote>
  <w:footnote w:id="65">
    <w:p w14:paraId="4329992F" w14:textId="6CDEC9C1" w:rsidR="00611F08" w:rsidRDefault="00611F08">
      <w:pPr>
        <w:pStyle w:val="FootnoteText"/>
      </w:pPr>
      <w:r>
        <w:rPr>
          <w:rStyle w:val="FootnoteReference"/>
        </w:rPr>
        <w:footnoteRef/>
      </w:r>
      <w:r>
        <w:t xml:space="preserve"> </w:t>
      </w:r>
      <w:r w:rsidRPr="00611F08">
        <w:t>AIHW. (2022). People with disability in Australia. Available at: Engagement in Education (aihw.gov.au)</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11009"/>
      <w:docPartObj>
        <w:docPartGallery w:val="Page Numbers (Top of Page)"/>
        <w:docPartUnique/>
      </w:docPartObj>
    </w:sdtPr>
    <w:sdtEndPr>
      <w:rPr>
        <w:noProof/>
      </w:rPr>
    </w:sdtEndPr>
    <w:sdtContent>
      <w:p w14:paraId="7ACAFFE4" w14:textId="0A3F9BC4" w:rsidR="00905C00" w:rsidRDefault="00905C00" w:rsidP="00FD6020">
        <w:pPr>
          <w:pStyle w:val="Header"/>
        </w:pPr>
        <w:r w:rsidRPr="00DC7281">
          <w:rPr>
            <w:rFonts w:eastAsia="Times New Roman"/>
            <w:noProof/>
            <w:sz w:val="2"/>
            <w:szCs w:val="2"/>
            <w:lang w:eastAsia="en-AU"/>
          </w:rPr>
          <w:drawing>
            <wp:anchor distT="0" distB="0" distL="114300" distR="114300" simplePos="0" relativeHeight="251658240" behindDoc="1" locked="0" layoutInCell="1" allowOverlap="1" wp14:anchorId="3558544C" wp14:editId="18A6C69F">
              <wp:simplePos x="0" y="0"/>
              <wp:positionH relativeFrom="margin">
                <wp:posOffset>-656590</wp:posOffset>
              </wp:positionH>
              <wp:positionV relativeFrom="paragraph">
                <wp:posOffset>-421005</wp:posOffset>
              </wp:positionV>
              <wp:extent cx="7549515" cy="1257300"/>
              <wp:effectExtent l="38100" t="57150" r="51435" b="57150"/>
              <wp:wrapTight wrapText="bothSides">
                <wp:wrapPolygon edited="0">
                  <wp:start x="-109" y="-982"/>
                  <wp:lineTo x="-109" y="22255"/>
                  <wp:lineTo x="21693" y="22255"/>
                  <wp:lineTo x="21693" y="-982"/>
                  <wp:lineTo x="-109" y="-982"/>
                </wp:wrapPolygon>
              </wp:wrapTight>
              <wp:docPr id="23" name="Picture 23" descr="cid:175D8C79-473E-452A-A424-A7CA34EA055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62C2B-2A2A-43E4-9D15-9CBE69E9F30C" descr="cid:175D8C79-473E-452A-A424-A7CA34EA055A@Hom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549515" cy="1257300"/>
                      </a:xfrm>
                      <a:prstGeom prst="rect">
                        <a:avLst/>
                      </a:prstGeom>
                      <a:noFill/>
                      <a:ln>
                        <a:noFill/>
                      </a:ln>
                      <a:scene3d>
                        <a:camera prst="orthographicFront">
                          <a:rot lat="0" lon="0" rev="0"/>
                        </a:camera>
                        <a:lightRig rig="threePt" dir="t"/>
                      </a:scene3d>
                    </pic:spPr>
                  </pic:pic>
                </a:graphicData>
              </a:graphic>
              <wp14:sizeRelH relativeFrom="page">
                <wp14:pctWidth>0</wp14:pctWidth>
              </wp14:sizeRelH>
              <wp14:sizeRelV relativeFrom="page">
                <wp14:pctHeight>0</wp14:pctHeight>
              </wp14:sizeRelV>
            </wp:anchor>
          </w:drawing>
        </w:r>
      </w:p>
    </w:sdtContent>
  </w:sdt>
  <w:p w14:paraId="58C7B7DA" w14:textId="77777777" w:rsidR="00905C00" w:rsidRDefault="00905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49981" w14:textId="77777777" w:rsidR="00905C00" w:rsidRDefault="00905C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A14C6D4A">
      <w:start w:val="1"/>
      <w:numFmt w:val="bullet"/>
      <w:lvlText w:val=""/>
      <w:lvlJc w:val="left"/>
      <w:pPr>
        <w:ind w:left="720" w:hanging="360"/>
      </w:pPr>
      <w:rPr>
        <w:rFonts w:ascii="Symbol" w:hAnsi="Symbol"/>
      </w:rPr>
    </w:lvl>
    <w:lvl w:ilvl="1" w:tplc="23A87014">
      <w:start w:val="1"/>
      <w:numFmt w:val="bullet"/>
      <w:lvlText w:val="o"/>
      <w:lvlJc w:val="left"/>
      <w:pPr>
        <w:tabs>
          <w:tab w:val="num" w:pos="1440"/>
        </w:tabs>
        <w:ind w:left="1440" w:hanging="360"/>
      </w:pPr>
      <w:rPr>
        <w:rFonts w:ascii="Courier New" w:hAnsi="Courier New"/>
      </w:rPr>
    </w:lvl>
    <w:lvl w:ilvl="2" w:tplc="3F4E193C">
      <w:start w:val="1"/>
      <w:numFmt w:val="bullet"/>
      <w:lvlText w:val=""/>
      <w:lvlJc w:val="left"/>
      <w:pPr>
        <w:tabs>
          <w:tab w:val="num" w:pos="2160"/>
        </w:tabs>
        <w:ind w:left="2160" w:hanging="360"/>
      </w:pPr>
      <w:rPr>
        <w:rFonts w:ascii="Wingdings" w:hAnsi="Wingdings"/>
      </w:rPr>
    </w:lvl>
    <w:lvl w:ilvl="3" w:tplc="6854B842">
      <w:start w:val="1"/>
      <w:numFmt w:val="bullet"/>
      <w:lvlText w:val=""/>
      <w:lvlJc w:val="left"/>
      <w:pPr>
        <w:tabs>
          <w:tab w:val="num" w:pos="2880"/>
        </w:tabs>
        <w:ind w:left="2880" w:hanging="360"/>
      </w:pPr>
      <w:rPr>
        <w:rFonts w:ascii="Symbol" w:hAnsi="Symbol"/>
      </w:rPr>
    </w:lvl>
    <w:lvl w:ilvl="4" w:tplc="48EA85A4">
      <w:start w:val="1"/>
      <w:numFmt w:val="bullet"/>
      <w:lvlText w:val="o"/>
      <w:lvlJc w:val="left"/>
      <w:pPr>
        <w:tabs>
          <w:tab w:val="num" w:pos="3600"/>
        </w:tabs>
        <w:ind w:left="3600" w:hanging="360"/>
      </w:pPr>
      <w:rPr>
        <w:rFonts w:ascii="Courier New" w:hAnsi="Courier New"/>
      </w:rPr>
    </w:lvl>
    <w:lvl w:ilvl="5" w:tplc="87762B0E">
      <w:start w:val="1"/>
      <w:numFmt w:val="bullet"/>
      <w:lvlText w:val=""/>
      <w:lvlJc w:val="left"/>
      <w:pPr>
        <w:tabs>
          <w:tab w:val="num" w:pos="4320"/>
        </w:tabs>
        <w:ind w:left="4320" w:hanging="360"/>
      </w:pPr>
      <w:rPr>
        <w:rFonts w:ascii="Wingdings" w:hAnsi="Wingdings"/>
      </w:rPr>
    </w:lvl>
    <w:lvl w:ilvl="6" w:tplc="3CD0421C">
      <w:start w:val="1"/>
      <w:numFmt w:val="bullet"/>
      <w:lvlText w:val=""/>
      <w:lvlJc w:val="left"/>
      <w:pPr>
        <w:tabs>
          <w:tab w:val="num" w:pos="5040"/>
        </w:tabs>
        <w:ind w:left="5040" w:hanging="360"/>
      </w:pPr>
      <w:rPr>
        <w:rFonts w:ascii="Symbol" w:hAnsi="Symbol"/>
      </w:rPr>
    </w:lvl>
    <w:lvl w:ilvl="7" w:tplc="ADEA61D0">
      <w:start w:val="1"/>
      <w:numFmt w:val="bullet"/>
      <w:lvlText w:val="o"/>
      <w:lvlJc w:val="left"/>
      <w:pPr>
        <w:tabs>
          <w:tab w:val="num" w:pos="5760"/>
        </w:tabs>
        <w:ind w:left="5760" w:hanging="360"/>
      </w:pPr>
      <w:rPr>
        <w:rFonts w:ascii="Courier New" w:hAnsi="Courier New"/>
      </w:rPr>
    </w:lvl>
    <w:lvl w:ilvl="8" w:tplc="EF10F9A8">
      <w:start w:val="1"/>
      <w:numFmt w:val="bullet"/>
      <w:lvlText w:val=""/>
      <w:lvlJc w:val="left"/>
      <w:pPr>
        <w:tabs>
          <w:tab w:val="num" w:pos="6480"/>
        </w:tabs>
        <w:ind w:left="6480" w:hanging="360"/>
      </w:pPr>
      <w:rPr>
        <w:rFonts w:ascii="Wingdings" w:hAnsi="Wingdings"/>
      </w:rPr>
    </w:lvl>
  </w:abstractNum>
  <w:abstractNum w:abstractNumId="1" w15:restartNumberingAfterBreak="0">
    <w:nsid w:val="02470B6B"/>
    <w:multiLevelType w:val="hybridMultilevel"/>
    <w:tmpl w:val="3466B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731252"/>
    <w:multiLevelType w:val="hybridMultilevel"/>
    <w:tmpl w:val="F73C41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46D7BC0"/>
    <w:multiLevelType w:val="hybridMultilevel"/>
    <w:tmpl w:val="388837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50D6B67"/>
    <w:multiLevelType w:val="hybridMultilevel"/>
    <w:tmpl w:val="6E7C1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1E6C9E"/>
    <w:multiLevelType w:val="hybridMultilevel"/>
    <w:tmpl w:val="8C4A656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470266"/>
    <w:multiLevelType w:val="hybridMultilevel"/>
    <w:tmpl w:val="58CC0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752CAC"/>
    <w:multiLevelType w:val="hybridMultilevel"/>
    <w:tmpl w:val="A7482220"/>
    <w:lvl w:ilvl="0" w:tplc="0C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43156C4"/>
    <w:multiLevelType w:val="hybridMultilevel"/>
    <w:tmpl w:val="C214240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15371D38"/>
    <w:multiLevelType w:val="hybridMultilevel"/>
    <w:tmpl w:val="600284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63070CE"/>
    <w:multiLevelType w:val="hybridMultilevel"/>
    <w:tmpl w:val="DA22F0B2"/>
    <w:lvl w:ilvl="0" w:tplc="20F0F616">
      <w:start w:val="1"/>
      <w:numFmt w:val="decimal"/>
      <w:lvlText w:val="%1."/>
      <w:lvlJc w:val="left"/>
      <w:pPr>
        <w:ind w:left="720" w:hanging="360"/>
      </w:pPr>
      <w:rPr>
        <w:rFonts w:ascii="Arial" w:hAnsi="Arial" w:hint="default"/>
        <w:b w:val="0"/>
        <w:i w:val="0"/>
        <w:color w:val="000000" w:themeColor="text1"/>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F953C1"/>
    <w:multiLevelType w:val="hybridMultilevel"/>
    <w:tmpl w:val="C9A8D8FE"/>
    <w:lvl w:ilvl="0" w:tplc="FD74F790">
      <w:start w:val="1"/>
      <w:numFmt w:val="decimal"/>
      <w:lvlText w:val="%1."/>
      <w:lvlJc w:val="left"/>
      <w:pPr>
        <w:ind w:left="828" w:hanging="720"/>
      </w:pPr>
      <w:rPr>
        <w:rFonts w:hint="default"/>
      </w:rPr>
    </w:lvl>
    <w:lvl w:ilvl="1" w:tplc="0C090019" w:tentative="1">
      <w:start w:val="1"/>
      <w:numFmt w:val="lowerLetter"/>
      <w:lvlText w:val="%2."/>
      <w:lvlJc w:val="left"/>
      <w:pPr>
        <w:ind w:left="1188" w:hanging="360"/>
      </w:pPr>
    </w:lvl>
    <w:lvl w:ilvl="2" w:tplc="0C09001B" w:tentative="1">
      <w:start w:val="1"/>
      <w:numFmt w:val="lowerRoman"/>
      <w:lvlText w:val="%3."/>
      <w:lvlJc w:val="right"/>
      <w:pPr>
        <w:ind w:left="1908" w:hanging="180"/>
      </w:pPr>
    </w:lvl>
    <w:lvl w:ilvl="3" w:tplc="0C09000F" w:tentative="1">
      <w:start w:val="1"/>
      <w:numFmt w:val="decimal"/>
      <w:lvlText w:val="%4."/>
      <w:lvlJc w:val="left"/>
      <w:pPr>
        <w:ind w:left="2628" w:hanging="360"/>
      </w:pPr>
    </w:lvl>
    <w:lvl w:ilvl="4" w:tplc="0C090019" w:tentative="1">
      <w:start w:val="1"/>
      <w:numFmt w:val="lowerLetter"/>
      <w:lvlText w:val="%5."/>
      <w:lvlJc w:val="left"/>
      <w:pPr>
        <w:ind w:left="3348" w:hanging="360"/>
      </w:pPr>
    </w:lvl>
    <w:lvl w:ilvl="5" w:tplc="0C09001B" w:tentative="1">
      <w:start w:val="1"/>
      <w:numFmt w:val="lowerRoman"/>
      <w:lvlText w:val="%6."/>
      <w:lvlJc w:val="right"/>
      <w:pPr>
        <w:ind w:left="4068" w:hanging="180"/>
      </w:pPr>
    </w:lvl>
    <w:lvl w:ilvl="6" w:tplc="0C09000F" w:tentative="1">
      <w:start w:val="1"/>
      <w:numFmt w:val="decimal"/>
      <w:lvlText w:val="%7."/>
      <w:lvlJc w:val="left"/>
      <w:pPr>
        <w:ind w:left="4788" w:hanging="360"/>
      </w:pPr>
    </w:lvl>
    <w:lvl w:ilvl="7" w:tplc="0C090019" w:tentative="1">
      <w:start w:val="1"/>
      <w:numFmt w:val="lowerLetter"/>
      <w:lvlText w:val="%8."/>
      <w:lvlJc w:val="left"/>
      <w:pPr>
        <w:ind w:left="5508" w:hanging="360"/>
      </w:pPr>
    </w:lvl>
    <w:lvl w:ilvl="8" w:tplc="0C09001B" w:tentative="1">
      <w:start w:val="1"/>
      <w:numFmt w:val="lowerRoman"/>
      <w:lvlText w:val="%9."/>
      <w:lvlJc w:val="right"/>
      <w:pPr>
        <w:ind w:left="6228" w:hanging="180"/>
      </w:pPr>
    </w:lvl>
  </w:abstractNum>
  <w:abstractNum w:abstractNumId="12" w15:restartNumberingAfterBreak="0">
    <w:nsid w:val="1904513E"/>
    <w:multiLevelType w:val="hybridMultilevel"/>
    <w:tmpl w:val="FABA6D3A"/>
    <w:lvl w:ilvl="0" w:tplc="FFFFFFF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AE579D5"/>
    <w:multiLevelType w:val="hybridMultilevel"/>
    <w:tmpl w:val="7AF23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F7192"/>
    <w:multiLevelType w:val="hybridMultilevel"/>
    <w:tmpl w:val="7D7693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F27ADD"/>
    <w:multiLevelType w:val="hybridMultilevel"/>
    <w:tmpl w:val="F656C22E"/>
    <w:lvl w:ilvl="0" w:tplc="FFFFFFFF">
      <w:start w:val="1"/>
      <w:numFmt w:val="decimal"/>
      <w:lvlText w:val="%1."/>
      <w:lvlJc w:val="left"/>
      <w:pPr>
        <w:ind w:left="828" w:hanging="720"/>
      </w:pPr>
      <w:rPr>
        <w:rFonts w:hint="default"/>
      </w:rPr>
    </w:lvl>
    <w:lvl w:ilvl="1" w:tplc="FFFFFFFF" w:tentative="1">
      <w:start w:val="1"/>
      <w:numFmt w:val="lowerLetter"/>
      <w:lvlText w:val="%2."/>
      <w:lvlJc w:val="left"/>
      <w:pPr>
        <w:ind w:left="1188" w:hanging="360"/>
      </w:pPr>
    </w:lvl>
    <w:lvl w:ilvl="2" w:tplc="FFFFFFFF" w:tentative="1">
      <w:start w:val="1"/>
      <w:numFmt w:val="lowerRoman"/>
      <w:lvlText w:val="%3."/>
      <w:lvlJc w:val="right"/>
      <w:pPr>
        <w:ind w:left="1908" w:hanging="180"/>
      </w:pPr>
    </w:lvl>
    <w:lvl w:ilvl="3" w:tplc="FFFFFFFF" w:tentative="1">
      <w:start w:val="1"/>
      <w:numFmt w:val="decimal"/>
      <w:lvlText w:val="%4."/>
      <w:lvlJc w:val="left"/>
      <w:pPr>
        <w:ind w:left="2628" w:hanging="360"/>
      </w:pPr>
    </w:lvl>
    <w:lvl w:ilvl="4" w:tplc="FFFFFFFF" w:tentative="1">
      <w:start w:val="1"/>
      <w:numFmt w:val="lowerLetter"/>
      <w:lvlText w:val="%5."/>
      <w:lvlJc w:val="left"/>
      <w:pPr>
        <w:ind w:left="3348" w:hanging="360"/>
      </w:pPr>
    </w:lvl>
    <w:lvl w:ilvl="5" w:tplc="FFFFFFFF" w:tentative="1">
      <w:start w:val="1"/>
      <w:numFmt w:val="lowerRoman"/>
      <w:lvlText w:val="%6."/>
      <w:lvlJc w:val="right"/>
      <w:pPr>
        <w:ind w:left="4068" w:hanging="180"/>
      </w:pPr>
    </w:lvl>
    <w:lvl w:ilvl="6" w:tplc="FFFFFFFF" w:tentative="1">
      <w:start w:val="1"/>
      <w:numFmt w:val="decimal"/>
      <w:lvlText w:val="%7."/>
      <w:lvlJc w:val="left"/>
      <w:pPr>
        <w:ind w:left="4788" w:hanging="360"/>
      </w:pPr>
    </w:lvl>
    <w:lvl w:ilvl="7" w:tplc="FFFFFFFF" w:tentative="1">
      <w:start w:val="1"/>
      <w:numFmt w:val="lowerLetter"/>
      <w:lvlText w:val="%8."/>
      <w:lvlJc w:val="left"/>
      <w:pPr>
        <w:ind w:left="5508" w:hanging="360"/>
      </w:pPr>
    </w:lvl>
    <w:lvl w:ilvl="8" w:tplc="FFFFFFFF" w:tentative="1">
      <w:start w:val="1"/>
      <w:numFmt w:val="lowerRoman"/>
      <w:lvlText w:val="%9."/>
      <w:lvlJc w:val="right"/>
      <w:pPr>
        <w:ind w:left="6228" w:hanging="180"/>
      </w:pPr>
    </w:lvl>
  </w:abstractNum>
  <w:abstractNum w:abstractNumId="16" w15:restartNumberingAfterBreak="0">
    <w:nsid w:val="1FD96D8C"/>
    <w:multiLevelType w:val="hybridMultilevel"/>
    <w:tmpl w:val="CD26A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25657D"/>
    <w:multiLevelType w:val="hybridMultilevel"/>
    <w:tmpl w:val="595C8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F467AE"/>
    <w:multiLevelType w:val="hybridMultilevel"/>
    <w:tmpl w:val="8A3A7C4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2830670C"/>
    <w:multiLevelType w:val="hybridMultilevel"/>
    <w:tmpl w:val="6BD2E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624844"/>
    <w:multiLevelType w:val="hybridMultilevel"/>
    <w:tmpl w:val="C5B40D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2BA92730"/>
    <w:multiLevelType w:val="hybridMultilevel"/>
    <w:tmpl w:val="5C2C74BC"/>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DC10A9B"/>
    <w:multiLevelType w:val="hybridMultilevel"/>
    <w:tmpl w:val="117C0C72"/>
    <w:lvl w:ilvl="0" w:tplc="FFFFFFFF">
      <w:start w:val="1"/>
      <w:numFmt w:val="decimal"/>
      <w:lvlText w:val="%1."/>
      <w:lvlJc w:val="left"/>
      <w:pPr>
        <w:ind w:left="828"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078373F"/>
    <w:multiLevelType w:val="multilevel"/>
    <w:tmpl w:val="68DE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586347"/>
    <w:multiLevelType w:val="hybridMultilevel"/>
    <w:tmpl w:val="AB5A3A9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7D82139"/>
    <w:multiLevelType w:val="hybridMultilevel"/>
    <w:tmpl w:val="7ECE0D78"/>
    <w:lvl w:ilvl="0" w:tplc="C218AFCC">
      <w:numFmt w:val="bullet"/>
      <w:lvlText w:val="-"/>
      <w:lvlJc w:val="left"/>
      <w:pPr>
        <w:ind w:left="1080" w:hanging="360"/>
      </w:pPr>
      <w:rPr>
        <w:rFonts w:ascii="Arial" w:eastAsiaTheme="minorHAnsi" w:hAnsi="Arial" w:cs="Arial" w:hint="default"/>
        <w:i w:val="0"/>
        <w:sz w:val="3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386941F3"/>
    <w:multiLevelType w:val="hybridMultilevel"/>
    <w:tmpl w:val="9FD435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88920C8"/>
    <w:multiLevelType w:val="hybridMultilevel"/>
    <w:tmpl w:val="9BCA0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8F307F3"/>
    <w:multiLevelType w:val="hybridMultilevel"/>
    <w:tmpl w:val="4EC8B44A"/>
    <w:lvl w:ilvl="0" w:tplc="6790A08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C8E4AC7"/>
    <w:multiLevelType w:val="hybridMultilevel"/>
    <w:tmpl w:val="EBA8138A"/>
    <w:lvl w:ilvl="0" w:tplc="34F29C8E">
      <w:start w:val="1"/>
      <w:numFmt w:val="bullet"/>
      <w:lvlText w:val="à"/>
      <w:lvlJc w:val="left"/>
      <w:pPr>
        <w:ind w:left="720" w:hanging="360"/>
      </w:pPr>
      <w:rPr>
        <w:rFonts w:ascii="Wingdings" w:hAnsi="Wingdings" w:hint="default"/>
        <w:color w:val="385623" w:themeColor="accent6"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EB5683D"/>
    <w:multiLevelType w:val="hybridMultilevel"/>
    <w:tmpl w:val="60901164"/>
    <w:lvl w:ilvl="0" w:tplc="C218AFCC">
      <w:numFmt w:val="bullet"/>
      <w:lvlText w:val="-"/>
      <w:lvlJc w:val="left"/>
      <w:pPr>
        <w:ind w:left="1440" w:hanging="360"/>
      </w:pPr>
      <w:rPr>
        <w:rFonts w:ascii="Arial" w:eastAsiaTheme="minorHAnsi" w:hAnsi="Arial" w:cs="Arial" w:hint="default"/>
        <w:i w:val="0"/>
        <w:sz w:val="3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43DD2D9E"/>
    <w:multiLevelType w:val="hybridMultilevel"/>
    <w:tmpl w:val="6684746E"/>
    <w:lvl w:ilvl="0" w:tplc="0C090001">
      <w:start w:val="1"/>
      <w:numFmt w:val="bullet"/>
      <w:lvlText w:val=""/>
      <w:lvlJc w:val="left"/>
      <w:pPr>
        <w:ind w:left="360" w:hanging="360"/>
      </w:pPr>
      <w:rPr>
        <w:rFonts w:ascii="Symbol" w:hAnsi="Symbol" w:hint="default"/>
      </w:rPr>
    </w:lvl>
    <w:lvl w:ilvl="1" w:tplc="E9D2DA68">
      <w:numFmt w:val="bullet"/>
      <w:lvlText w:val="•"/>
      <w:lvlJc w:val="left"/>
      <w:pPr>
        <w:ind w:left="1440" w:hanging="720"/>
      </w:pPr>
      <w:rPr>
        <w:rFonts w:ascii="Arial" w:eastAsiaTheme="minorHAnsi" w:hAnsi="Arial"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4506F13"/>
    <w:multiLevelType w:val="hybridMultilevel"/>
    <w:tmpl w:val="E38AAA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44DC5D9C"/>
    <w:multiLevelType w:val="hybridMultilevel"/>
    <w:tmpl w:val="DA742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7346A56"/>
    <w:multiLevelType w:val="hybridMultilevel"/>
    <w:tmpl w:val="25EC2522"/>
    <w:lvl w:ilvl="0" w:tplc="FFFFFFFF">
      <w:start w:val="1"/>
      <w:numFmt w:val="decimal"/>
      <w:lvlText w:val="%1."/>
      <w:lvlJc w:val="left"/>
      <w:pPr>
        <w:ind w:left="828" w:hanging="720"/>
      </w:pPr>
      <w:rPr>
        <w:rFonts w:hint="default"/>
      </w:rPr>
    </w:lvl>
    <w:lvl w:ilvl="1" w:tplc="FFFFFFFF" w:tentative="1">
      <w:start w:val="1"/>
      <w:numFmt w:val="lowerLetter"/>
      <w:lvlText w:val="%2."/>
      <w:lvlJc w:val="left"/>
      <w:pPr>
        <w:ind w:left="1188" w:hanging="360"/>
      </w:pPr>
    </w:lvl>
    <w:lvl w:ilvl="2" w:tplc="FFFFFFFF" w:tentative="1">
      <w:start w:val="1"/>
      <w:numFmt w:val="lowerRoman"/>
      <w:lvlText w:val="%3."/>
      <w:lvlJc w:val="right"/>
      <w:pPr>
        <w:ind w:left="1908" w:hanging="180"/>
      </w:pPr>
    </w:lvl>
    <w:lvl w:ilvl="3" w:tplc="FFFFFFFF" w:tentative="1">
      <w:start w:val="1"/>
      <w:numFmt w:val="decimal"/>
      <w:lvlText w:val="%4."/>
      <w:lvlJc w:val="left"/>
      <w:pPr>
        <w:ind w:left="2628" w:hanging="360"/>
      </w:pPr>
    </w:lvl>
    <w:lvl w:ilvl="4" w:tplc="FFFFFFFF" w:tentative="1">
      <w:start w:val="1"/>
      <w:numFmt w:val="lowerLetter"/>
      <w:lvlText w:val="%5."/>
      <w:lvlJc w:val="left"/>
      <w:pPr>
        <w:ind w:left="3348" w:hanging="360"/>
      </w:pPr>
    </w:lvl>
    <w:lvl w:ilvl="5" w:tplc="FFFFFFFF" w:tentative="1">
      <w:start w:val="1"/>
      <w:numFmt w:val="lowerRoman"/>
      <w:lvlText w:val="%6."/>
      <w:lvlJc w:val="right"/>
      <w:pPr>
        <w:ind w:left="4068" w:hanging="180"/>
      </w:pPr>
    </w:lvl>
    <w:lvl w:ilvl="6" w:tplc="FFFFFFFF" w:tentative="1">
      <w:start w:val="1"/>
      <w:numFmt w:val="decimal"/>
      <w:lvlText w:val="%7."/>
      <w:lvlJc w:val="left"/>
      <w:pPr>
        <w:ind w:left="4788" w:hanging="360"/>
      </w:pPr>
    </w:lvl>
    <w:lvl w:ilvl="7" w:tplc="FFFFFFFF" w:tentative="1">
      <w:start w:val="1"/>
      <w:numFmt w:val="lowerLetter"/>
      <w:lvlText w:val="%8."/>
      <w:lvlJc w:val="left"/>
      <w:pPr>
        <w:ind w:left="5508" w:hanging="360"/>
      </w:pPr>
    </w:lvl>
    <w:lvl w:ilvl="8" w:tplc="FFFFFFFF" w:tentative="1">
      <w:start w:val="1"/>
      <w:numFmt w:val="lowerRoman"/>
      <w:lvlText w:val="%9."/>
      <w:lvlJc w:val="right"/>
      <w:pPr>
        <w:ind w:left="6228" w:hanging="180"/>
      </w:pPr>
    </w:lvl>
  </w:abstractNum>
  <w:abstractNum w:abstractNumId="35" w15:restartNumberingAfterBreak="0">
    <w:nsid w:val="496730FD"/>
    <w:multiLevelType w:val="hybridMultilevel"/>
    <w:tmpl w:val="19089474"/>
    <w:lvl w:ilvl="0" w:tplc="0C090001">
      <w:start w:val="1"/>
      <w:numFmt w:val="bullet"/>
      <w:lvlText w:val=""/>
      <w:lvlJc w:val="left"/>
      <w:pPr>
        <w:ind w:left="720" w:hanging="360"/>
      </w:pPr>
      <w:rPr>
        <w:rFonts w:ascii="Symbol" w:hAnsi="Symbol" w:hint="default"/>
      </w:rPr>
    </w:lvl>
    <w:lvl w:ilvl="1" w:tplc="CB64574C">
      <w:numFmt w:val="bullet"/>
      <w:lvlText w:val="•"/>
      <w:lvlJc w:val="left"/>
      <w:pPr>
        <w:ind w:left="1800" w:hanging="72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4DFB6BCF"/>
    <w:multiLevelType w:val="hybridMultilevel"/>
    <w:tmpl w:val="66C040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529270B8"/>
    <w:multiLevelType w:val="hybridMultilevel"/>
    <w:tmpl w:val="19C4FA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58533DE4"/>
    <w:multiLevelType w:val="hybridMultilevel"/>
    <w:tmpl w:val="05E226EA"/>
    <w:lvl w:ilvl="0" w:tplc="FFFFFFFF">
      <w:start w:val="1"/>
      <w:numFmt w:val="decimal"/>
      <w:lvlText w:val="%1."/>
      <w:lvlJc w:val="left"/>
      <w:pPr>
        <w:ind w:left="828"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C0D1F6F"/>
    <w:multiLevelType w:val="hybridMultilevel"/>
    <w:tmpl w:val="EA4AB65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6504120D"/>
    <w:multiLevelType w:val="hybridMultilevel"/>
    <w:tmpl w:val="54606C48"/>
    <w:lvl w:ilvl="0" w:tplc="1220B97E">
      <w:numFmt w:val="bullet"/>
      <w:lvlText w:val="•"/>
      <w:lvlJc w:val="left"/>
      <w:pPr>
        <w:ind w:left="720" w:hanging="72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7CC4B1A"/>
    <w:multiLevelType w:val="hybridMultilevel"/>
    <w:tmpl w:val="C3D41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9CE618C"/>
    <w:multiLevelType w:val="hybridMultilevel"/>
    <w:tmpl w:val="3A401C4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69D14FB1"/>
    <w:multiLevelType w:val="hybridMultilevel"/>
    <w:tmpl w:val="954CEDFC"/>
    <w:lvl w:ilvl="0" w:tplc="C218AFCC">
      <w:numFmt w:val="bullet"/>
      <w:lvlText w:val="-"/>
      <w:lvlJc w:val="left"/>
      <w:pPr>
        <w:ind w:left="720" w:hanging="360"/>
      </w:pPr>
      <w:rPr>
        <w:rFonts w:ascii="Arial" w:eastAsiaTheme="minorHAnsi" w:hAnsi="Arial" w:cs="Arial" w:hint="default"/>
        <w:i w:val="0"/>
        <w:sz w:val="3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1551EDF"/>
    <w:multiLevelType w:val="hybridMultilevel"/>
    <w:tmpl w:val="3FCA902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71CC674C"/>
    <w:multiLevelType w:val="hybridMultilevel"/>
    <w:tmpl w:val="E780BA9A"/>
    <w:lvl w:ilvl="0" w:tplc="FFFFFFFF">
      <w:start w:val="1"/>
      <w:numFmt w:val="decimal"/>
      <w:lvlText w:val="%1."/>
      <w:lvlJc w:val="left"/>
      <w:pPr>
        <w:ind w:left="828" w:hanging="720"/>
      </w:pPr>
      <w:rPr>
        <w:rFonts w:hint="default"/>
      </w:rPr>
    </w:lvl>
    <w:lvl w:ilvl="1" w:tplc="FFFFFFFF" w:tentative="1">
      <w:start w:val="1"/>
      <w:numFmt w:val="lowerLetter"/>
      <w:lvlText w:val="%2."/>
      <w:lvlJc w:val="left"/>
      <w:pPr>
        <w:ind w:left="1188" w:hanging="360"/>
      </w:pPr>
    </w:lvl>
    <w:lvl w:ilvl="2" w:tplc="FFFFFFFF" w:tentative="1">
      <w:start w:val="1"/>
      <w:numFmt w:val="lowerRoman"/>
      <w:lvlText w:val="%3."/>
      <w:lvlJc w:val="right"/>
      <w:pPr>
        <w:ind w:left="1908" w:hanging="180"/>
      </w:pPr>
    </w:lvl>
    <w:lvl w:ilvl="3" w:tplc="FFFFFFFF" w:tentative="1">
      <w:start w:val="1"/>
      <w:numFmt w:val="decimal"/>
      <w:lvlText w:val="%4."/>
      <w:lvlJc w:val="left"/>
      <w:pPr>
        <w:ind w:left="2628" w:hanging="360"/>
      </w:pPr>
    </w:lvl>
    <w:lvl w:ilvl="4" w:tplc="FFFFFFFF" w:tentative="1">
      <w:start w:val="1"/>
      <w:numFmt w:val="lowerLetter"/>
      <w:lvlText w:val="%5."/>
      <w:lvlJc w:val="left"/>
      <w:pPr>
        <w:ind w:left="3348" w:hanging="360"/>
      </w:pPr>
    </w:lvl>
    <w:lvl w:ilvl="5" w:tplc="FFFFFFFF" w:tentative="1">
      <w:start w:val="1"/>
      <w:numFmt w:val="lowerRoman"/>
      <w:lvlText w:val="%6."/>
      <w:lvlJc w:val="right"/>
      <w:pPr>
        <w:ind w:left="4068" w:hanging="180"/>
      </w:pPr>
    </w:lvl>
    <w:lvl w:ilvl="6" w:tplc="FFFFFFFF" w:tentative="1">
      <w:start w:val="1"/>
      <w:numFmt w:val="decimal"/>
      <w:lvlText w:val="%7."/>
      <w:lvlJc w:val="left"/>
      <w:pPr>
        <w:ind w:left="4788" w:hanging="360"/>
      </w:pPr>
    </w:lvl>
    <w:lvl w:ilvl="7" w:tplc="FFFFFFFF" w:tentative="1">
      <w:start w:val="1"/>
      <w:numFmt w:val="lowerLetter"/>
      <w:lvlText w:val="%8."/>
      <w:lvlJc w:val="left"/>
      <w:pPr>
        <w:ind w:left="5508" w:hanging="360"/>
      </w:pPr>
    </w:lvl>
    <w:lvl w:ilvl="8" w:tplc="FFFFFFFF" w:tentative="1">
      <w:start w:val="1"/>
      <w:numFmt w:val="lowerRoman"/>
      <w:lvlText w:val="%9."/>
      <w:lvlJc w:val="right"/>
      <w:pPr>
        <w:ind w:left="6228" w:hanging="180"/>
      </w:pPr>
    </w:lvl>
  </w:abstractNum>
  <w:abstractNum w:abstractNumId="46" w15:restartNumberingAfterBreak="0">
    <w:nsid w:val="7A5C6D0D"/>
    <w:multiLevelType w:val="multilevel"/>
    <w:tmpl w:val="931AD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3320AD"/>
    <w:multiLevelType w:val="hybridMultilevel"/>
    <w:tmpl w:val="8AF8C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DDA6F8D"/>
    <w:multiLevelType w:val="hybridMultilevel"/>
    <w:tmpl w:val="D65C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74310790">
    <w:abstractNumId w:val="47"/>
  </w:num>
  <w:num w:numId="2" w16cid:durableId="1485202079">
    <w:abstractNumId w:val="27"/>
  </w:num>
  <w:num w:numId="3" w16cid:durableId="889807143">
    <w:abstractNumId w:val="19"/>
  </w:num>
  <w:num w:numId="4" w16cid:durableId="1708483782">
    <w:abstractNumId w:val="48"/>
  </w:num>
  <w:num w:numId="5" w16cid:durableId="1602643099">
    <w:abstractNumId w:val="9"/>
  </w:num>
  <w:num w:numId="6" w16cid:durableId="1710030918">
    <w:abstractNumId w:val="28"/>
  </w:num>
  <w:num w:numId="7" w16cid:durableId="330987112">
    <w:abstractNumId w:val="14"/>
  </w:num>
  <w:num w:numId="8" w16cid:durableId="1181166276">
    <w:abstractNumId w:val="6"/>
  </w:num>
  <w:num w:numId="9" w16cid:durableId="425619966">
    <w:abstractNumId w:val="24"/>
  </w:num>
  <w:num w:numId="10" w16cid:durableId="406925015">
    <w:abstractNumId w:val="16"/>
  </w:num>
  <w:num w:numId="11" w16cid:durableId="276134057">
    <w:abstractNumId w:val="26"/>
  </w:num>
  <w:num w:numId="12" w16cid:durableId="1152411808">
    <w:abstractNumId w:val="11"/>
  </w:num>
  <w:num w:numId="13" w16cid:durableId="1183320693">
    <w:abstractNumId w:val="15"/>
  </w:num>
  <w:num w:numId="14" w16cid:durableId="1742172456">
    <w:abstractNumId w:val="38"/>
  </w:num>
  <w:num w:numId="15" w16cid:durableId="449666692">
    <w:abstractNumId w:val="45"/>
  </w:num>
  <w:num w:numId="16" w16cid:durableId="252401567">
    <w:abstractNumId w:val="22"/>
  </w:num>
  <w:num w:numId="17" w16cid:durableId="676231746">
    <w:abstractNumId w:val="34"/>
  </w:num>
  <w:num w:numId="18" w16cid:durableId="1026835424">
    <w:abstractNumId w:val="13"/>
  </w:num>
  <w:num w:numId="19" w16cid:durableId="291862412">
    <w:abstractNumId w:val="4"/>
  </w:num>
  <w:num w:numId="20" w16cid:durableId="76025914">
    <w:abstractNumId w:val="5"/>
  </w:num>
  <w:num w:numId="21" w16cid:durableId="1527864310">
    <w:abstractNumId w:val="41"/>
  </w:num>
  <w:num w:numId="22" w16cid:durableId="886137459">
    <w:abstractNumId w:val="33"/>
  </w:num>
  <w:num w:numId="23" w16cid:durableId="507715369">
    <w:abstractNumId w:val="2"/>
  </w:num>
  <w:num w:numId="24" w16cid:durableId="758454334">
    <w:abstractNumId w:val="0"/>
  </w:num>
  <w:num w:numId="25" w16cid:durableId="943220819">
    <w:abstractNumId w:val="35"/>
  </w:num>
  <w:num w:numId="26" w16cid:durableId="760250088">
    <w:abstractNumId w:val="31"/>
  </w:num>
  <w:num w:numId="27" w16cid:durableId="808399946">
    <w:abstractNumId w:val="36"/>
  </w:num>
  <w:num w:numId="28" w16cid:durableId="1521116434">
    <w:abstractNumId w:val="37"/>
  </w:num>
  <w:num w:numId="29" w16cid:durableId="1994023627">
    <w:abstractNumId w:val="7"/>
  </w:num>
  <w:num w:numId="30" w16cid:durableId="1214999814">
    <w:abstractNumId w:val="43"/>
  </w:num>
  <w:num w:numId="31" w16cid:durableId="2025814555">
    <w:abstractNumId w:val="20"/>
  </w:num>
  <w:num w:numId="32" w16cid:durableId="497499777">
    <w:abstractNumId w:val="23"/>
  </w:num>
  <w:num w:numId="33" w16cid:durableId="1623418230">
    <w:abstractNumId w:val="21"/>
  </w:num>
  <w:num w:numId="34" w16cid:durableId="194925977">
    <w:abstractNumId w:val="1"/>
  </w:num>
  <w:num w:numId="35" w16cid:durableId="1072508565">
    <w:abstractNumId w:val="40"/>
  </w:num>
  <w:num w:numId="36" w16cid:durableId="1652833237">
    <w:abstractNumId w:val="10"/>
  </w:num>
  <w:num w:numId="37" w16cid:durableId="288246943">
    <w:abstractNumId w:val="17"/>
  </w:num>
  <w:num w:numId="38" w16cid:durableId="1249148450">
    <w:abstractNumId w:val="44"/>
  </w:num>
  <w:num w:numId="39" w16cid:durableId="368262410">
    <w:abstractNumId w:val="46"/>
  </w:num>
  <w:num w:numId="40" w16cid:durableId="1582325222">
    <w:abstractNumId w:val="3"/>
  </w:num>
  <w:num w:numId="41" w16cid:durableId="145167334">
    <w:abstractNumId w:val="8"/>
  </w:num>
  <w:num w:numId="42" w16cid:durableId="471794674">
    <w:abstractNumId w:val="29"/>
  </w:num>
  <w:num w:numId="43" w16cid:durableId="194200698">
    <w:abstractNumId w:val="39"/>
  </w:num>
  <w:num w:numId="44" w16cid:durableId="364525321">
    <w:abstractNumId w:val="12"/>
  </w:num>
  <w:num w:numId="45" w16cid:durableId="23949775">
    <w:abstractNumId w:val="18"/>
  </w:num>
  <w:num w:numId="46" w16cid:durableId="10887066">
    <w:abstractNumId w:val="42"/>
  </w:num>
  <w:num w:numId="47" w16cid:durableId="1570651795">
    <w:abstractNumId w:val="32"/>
  </w:num>
  <w:num w:numId="48" w16cid:durableId="1103040290">
    <w:abstractNumId w:val="30"/>
  </w:num>
  <w:num w:numId="49" w16cid:durableId="130666796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B2"/>
    <w:rsid w:val="00000458"/>
    <w:rsid w:val="0000192B"/>
    <w:rsid w:val="00001939"/>
    <w:rsid w:val="00001A8D"/>
    <w:rsid w:val="00003F7B"/>
    <w:rsid w:val="00004684"/>
    <w:rsid w:val="0000471C"/>
    <w:rsid w:val="00005C14"/>
    <w:rsid w:val="00007FE6"/>
    <w:rsid w:val="00012029"/>
    <w:rsid w:val="000122EB"/>
    <w:rsid w:val="00015D0E"/>
    <w:rsid w:val="000208EC"/>
    <w:rsid w:val="00025880"/>
    <w:rsid w:val="000267F0"/>
    <w:rsid w:val="0002731E"/>
    <w:rsid w:val="00030E66"/>
    <w:rsid w:val="00031A96"/>
    <w:rsid w:val="00031BAF"/>
    <w:rsid w:val="00031E37"/>
    <w:rsid w:val="000362CD"/>
    <w:rsid w:val="00037FAF"/>
    <w:rsid w:val="00040633"/>
    <w:rsid w:val="00040B44"/>
    <w:rsid w:val="00040BAF"/>
    <w:rsid w:val="00041DD7"/>
    <w:rsid w:val="00043ECA"/>
    <w:rsid w:val="00044B8E"/>
    <w:rsid w:val="00044BB0"/>
    <w:rsid w:val="00045576"/>
    <w:rsid w:val="0005515D"/>
    <w:rsid w:val="00055438"/>
    <w:rsid w:val="000559E9"/>
    <w:rsid w:val="00056B86"/>
    <w:rsid w:val="0006024A"/>
    <w:rsid w:val="00062E26"/>
    <w:rsid w:val="000631E2"/>
    <w:rsid w:val="0006358E"/>
    <w:rsid w:val="00065979"/>
    <w:rsid w:val="00066D4C"/>
    <w:rsid w:val="000678A9"/>
    <w:rsid w:val="000701D8"/>
    <w:rsid w:val="00070293"/>
    <w:rsid w:val="00071AEE"/>
    <w:rsid w:val="000743D6"/>
    <w:rsid w:val="000779CD"/>
    <w:rsid w:val="000817F4"/>
    <w:rsid w:val="00090E04"/>
    <w:rsid w:val="00092C5A"/>
    <w:rsid w:val="00093AE5"/>
    <w:rsid w:val="00094FFA"/>
    <w:rsid w:val="0009637B"/>
    <w:rsid w:val="000966E5"/>
    <w:rsid w:val="00096829"/>
    <w:rsid w:val="000A11B6"/>
    <w:rsid w:val="000A3D2A"/>
    <w:rsid w:val="000A5790"/>
    <w:rsid w:val="000B08A8"/>
    <w:rsid w:val="000B2693"/>
    <w:rsid w:val="000B26BE"/>
    <w:rsid w:val="000C0AA5"/>
    <w:rsid w:val="000C0EAF"/>
    <w:rsid w:val="000C2F19"/>
    <w:rsid w:val="000C41B6"/>
    <w:rsid w:val="000C424E"/>
    <w:rsid w:val="000C5702"/>
    <w:rsid w:val="000D16BA"/>
    <w:rsid w:val="000D3A2B"/>
    <w:rsid w:val="000E0332"/>
    <w:rsid w:val="000E05D0"/>
    <w:rsid w:val="000E0E3A"/>
    <w:rsid w:val="000E135F"/>
    <w:rsid w:val="000E1F62"/>
    <w:rsid w:val="000E4CF0"/>
    <w:rsid w:val="000E56DE"/>
    <w:rsid w:val="000E60F8"/>
    <w:rsid w:val="000F2B9C"/>
    <w:rsid w:val="000F41F2"/>
    <w:rsid w:val="000F73FD"/>
    <w:rsid w:val="00100621"/>
    <w:rsid w:val="0010297A"/>
    <w:rsid w:val="0010462E"/>
    <w:rsid w:val="0010660E"/>
    <w:rsid w:val="001069BF"/>
    <w:rsid w:val="00107993"/>
    <w:rsid w:val="0011049D"/>
    <w:rsid w:val="00110D9E"/>
    <w:rsid w:val="001147FD"/>
    <w:rsid w:val="00114CB6"/>
    <w:rsid w:val="00117913"/>
    <w:rsid w:val="001206CB"/>
    <w:rsid w:val="00123177"/>
    <w:rsid w:val="0012453F"/>
    <w:rsid w:val="001259FF"/>
    <w:rsid w:val="00125F36"/>
    <w:rsid w:val="00131E2A"/>
    <w:rsid w:val="0013505D"/>
    <w:rsid w:val="001360DD"/>
    <w:rsid w:val="001373B0"/>
    <w:rsid w:val="00137FB5"/>
    <w:rsid w:val="00141A96"/>
    <w:rsid w:val="001439FE"/>
    <w:rsid w:val="00143B13"/>
    <w:rsid w:val="0014521A"/>
    <w:rsid w:val="00145E0B"/>
    <w:rsid w:val="00145E17"/>
    <w:rsid w:val="00146B89"/>
    <w:rsid w:val="00147629"/>
    <w:rsid w:val="00150A1A"/>
    <w:rsid w:val="0015182F"/>
    <w:rsid w:val="00154456"/>
    <w:rsid w:val="00154F02"/>
    <w:rsid w:val="0015515B"/>
    <w:rsid w:val="001564CF"/>
    <w:rsid w:val="00156DBD"/>
    <w:rsid w:val="001624A3"/>
    <w:rsid w:val="00166CC2"/>
    <w:rsid w:val="001703D2"/>
    <w:rsid w:val="0017208A"/>
    <w:rsid w:val="001724FF"/>
    <w:rsid w:val="00173BB2"/>
    <w:rsid w:val="00174206"/>
    <w:rsid w:val="00174764"/>
    <w:rsid w:val="0017529D"/>
    <w:rsid w:val="00175416"/>
    <w:rsid w:val="00177DB7"/>
    <w:rsid w:val="0018182A"/>
    <w:rsid w:val="00183E52"/>
    <w:rsid w:val="00184F89"/>
    <w:rsid w:val="00186B2B"/>
    <w:rsid w:val="00187BFF"/>
    <w:rsid w:val="00187D8D"/>
    <w:rsid w:val="00192EA6"/>
    <w:rsid w:val="001956C8"/>
    <w:rsid w:val="00196A7A"/>
    <w:rsid w:val="00196B78"/>
    <w:rsid w:val="00196C0E"/>
    <w:rsid w:val="0019741F"/>
    <w:rsid w:val="001A0F5D"/>
    <w:rsid w:val="001A3D5E"/>
    <w:rsid w:val="001A3EFB"/>
    <w:rsid w:val="001A4B6D"/>
    <w:rsid w:val="001A6307"/>
    <w:rsid w:val="001A6669"/>
    <w:rsid w:val="001A7338"/>
    <w:rsid w:val="001A78B8"/>
    <w:rsid w:val="001B2115"/>
    <w:rsid w:val="001B2C40"/>
    <w:rsid w:val="001B2C41"/>
    <w:rsid w:val="001B3B6D"/>
    <w:rsid w:val="001B405C"/>
    <w:rsid w:val="001B4068"/>
    <w:rsid w:val="001B554F"/>
    <w:rsid w:val="001B61BA"/>
    <w:rsid w:val="001B65A1"/>
    <w:rsid w:val="001B69D0"/>
    <w:rsid w:val="001B6CE5"/>
    <w:rsid w:val="001B75E1"/>
    <w:rsid w:val="001B7D07"/>
    <w:rsid w:val="001C0A25"/>
    <w:rsid w:val="001C268E"/>
    <w:rsid w:val="001C29DA"/>
    <w:rsid w:val="001C41CD"/>
    <w:rsid w:val="001C4A90"/>
    <w:rsid w:val="001C69E8"/>
    <w:rsid w:val="001C706B"/>
    <w:rsid w:val="001D04D1"/>
    <w:rsid w:val="001D1734"/>
    <w:rsid w:val="001D1DA3"/>
    <w:rsid w:val="001D1E31"/>
    <w:rsid w:val="001D6B48"/>
    <w:rsid w:val="001E0450"/>
    <w:rsid w:val="001E0AA0"/>
    <w:rsid w:val="001E3F19"/>
    <w:rsid w:val="001E57F3"/>
    <w:rsid w:val="001E59B7"/>
    <w:rsid w:val="001E7217"/>
    <w:rsid w:val="001F1911"/>
    <w:rsid w:val="001F268F"/>
    <w:rsid w:val="001F2C44"/>
    <w:rsid w:val="001F2E16"/>
    <w:rsid w:val="001F554C"/>
    <w:rsid w:val="001F5672"/>
    <w:rsid w:val="001F5968"/>
    <w:rsid w:val="001F6069"/>
    <w:rsid w:val="00205004"/>
    <w:rsid w:val="002105CD"/>
    <w:rsid w:val="0021180F"/>
    <w:rsid w:val="002120F4"/>
    <w:rsid w:val="00212190"/>
    <w:rsid w:val="00212663"/>
    <w:rsid w:val="002128EC"/>
    <w:rsid w:val="00214C99"/>
    <w:rsid w:val="00215640"/>
    <w:rsid w:val="00217298"/>
    <w:rsid w:val="00217EDC"/>
    <w:rsid w:val="00220DB4"/>
    <w:rsid w:val="00220E7F"/>
    <w:rsid w:val="00222FFC"/>
    <w:rsid w:val="002234AC"/>
    <w:rsid w:val="00223FAF"/>
    <w:rsid w:val="00225FC4"/>
    <w:rsid w:val="00226F1B"/>
    <w:rsid w:val="00230C96"/>
    <w:rsid w:val="00232B51"/>
    <w:rsid w:val="00232C3C"/>
    <w:rsid w:val="0023612C"/>
    <w:rsid w:val="00240C5A"/>
    <w:rsid w:val="002416F6"/>
    <w:rsid w:val="0024498A"/>
    <w:rsid w:val="00254B6E"/>
    <w:rsid w:val="002577A5"/>
    <w:rsid w:val="00261B99"/>
    <w:rsid w:val="00261F0B"/>
    <w:rsid w:val="00264783"/>
    <w:rsid w:val="00264BB5"/>
    <w:rsid w:val="0026579A"/>
    <w:rsid w:val="002705C5"/>
    <w:rsid w:val="00272811"/>
    <w:rsid w:val="002736E6"/>
    <w:rsid w:val="00275058"/>
    <w:rsid w:val="002755A1"/>
    <w:rsid w:val="002763B8"/>
    <w:rsid w:val="0027779C"/>
    <w:rsid w:val="00277EE6"/>
    <w:rsid w:val="00280B84"/>
    <w:rsid w:val="00281C71"/>
    <w:rsid w:val="002830BA"/>
    <w:rsid w:val="00284271"/>
    <w:rsid w:val="00285CA2"/>
    <w:rsid w:val="0028636A"/>
    <w:rsid w:val="0028777B"/>
    <w:rsid w:val="0028799C"/>
    <w:rsid w:val="00287B36"/>
    <w:rsid w:val="00292311"/>
    <w:rsid w:val="0029361B"/>
    <w:rsid w:val="00295828"/>
    <w:rsid w:val="00297CC6"/>
    <w:rsid w:val="002A0027"/>
    <w:rsid w:val="002A249D"/>
    <w:rsid w:val="002A39F2"/>
    <w:rsid w:val="002A3E96"/>
    <w:rsid w:val="002A4685"/>
    <w:rsid w:val="002A4B47"/>
    <w:rsid w:val="002A58BA"/>
    <w:rsid w:val="002A6755"/>
    <w:rsid w:val="002B10FA"/>
    <w:rsid w:val="002B2C28"/>
    <w:rsid w:val="002B47CD"/>
    <w:rsid w:val="002B68B1"/>
    <w:rsid w:val="002B79A7"/>
    <w:rsid w:val="002B7CBC"/>
    <w:rsid w:val="002C0C98"/>
    <w:rsid w:val="002C0EB8"/>
    <w:rsid w:val="002C11BB"/>
    <w:rsid w:val="002C37EC"/>
    <w:rsid w:val="002C388A"/>
    <w:rsid w:val="002C48B8"/>
    <w:rsid w:val="002C4D24"/>
    <w:rsid w:val="002C63F2"/>
    <w:rsid w:val="002D0B9B"/>
    <w:rsid w:val="002D2C65"/>
    <w:rsid w:val="002D356A"/>
    <w:rsid w:val="002D5AD2"/>
    <w:rsid w:val="002D723A"/>
    <w:rsid w:val="002E05F0"/>
    <w:rsid w:val="002E06A3"/>
    <w:rsid w:val="002E2A6A"/>
    <w:rsid w:val="002E39BF"/>
    <w:rsid w:val="002E3E51"/>
    <w:rsid w:val="002E591D"/>
    <w:rsid w:val="002E6EF5"/>
    <w:rsid w:val="002F033F"/>
    <w:rsid w:val="002F47FF"/>
    <w:rsid w:val="002F5992"/>
    <w:rsid w:val="002F5AE5"/>
    <w:rsid w:val="002F7ABA"/>
    <w:rsid w:val="00300102"/>
    <w:rsid w:val="0030194A"/>
    <w:rsid w:val="00301AF0"/>
    <w:rsid w:val="003020F1"/>
    <w:rsid w:val="00304001"/>
    <w:rsid w:val="0030589A"/>
    <w:rsid w:val="003074A6"/>
    <w:rsid w:val="0031112B"/>
    <w:rsid w:val="00312D0B"/>
    <w:rsid w:val="003157F3"/>
    <w:rsid w:val="003170A5"/>
    <w:rsid w:val="00317A69"/>
    <w:rsid w:val="00322DDF"/>
    <w:rsid w:val="00323191"/>
    <w:rsid w:val="0032331E"/>
    <w:rsid w:val="003240D2"/>
    <w:rsid w:val="00326195"/>
    <w:rsid w:val="00330E86"/>
    <w:rsid w:val="00331ED0"/>
    <w:rsid w:val="0033226F"/>
    <w:rsid w:val="003328DF"/>
    <w:rsid w:val="00332964"/>
    <w:rsid w:val="003333F3"/>
    <w:rsid w:val="00333E6C"/>
    <w:rsid w:val="003341B9"/>
    <w:rsid w:val="0034029A"/>
    <w:rsid w:val="00341B99"/>
    <w:rsid w:val="003436A1"/>
    <w:rsid w:val="003446D5"/>
    <w:rsid w:val="0034655B"/>
    <w:rsid w:val="00346A85"/>
    <w:rsid w:val="00347CF6"/>
    <w:rsid w:val="0035058A"/>
    <w:rsid w:val="003514F2"/>
    <w:rsid w:val="00353F98"/>
    <w:rsid w:val="003546B2"/>
    <w:rsid w:val="00354A5B"/>
    <w:rsid w:val="00356B0E"/>
    <w:rsid w:val="00357F51"/>
    <w:rsid w:val="0036341B"/>
    <w:rsid w:val="00367BB1"/>
    <w:rsid w:val="003716A1"/>
    <w:rsid w:val="00372D5B"/>
    <w:rsid w:val="0037330B"/>
    <w:rsid w:val="00374622"/>
    <w:rsid w:val="00375BCA"/>
    <w:rsid w:val="00377D65"/>
    <w:rsid w:val="00380685"/>
    <w:rsid w:val="00381186"/>
    <w:rsid w:val="00383DFE"/>
    <w:rsid w:val="00384144"/>
    <w:rsid w:val="00384B37"/>
    <w:rsid w:val="003851FA"/>
    <w:rsid w:val="0038550A"/>
    <w:rsid w:val="00386F6D"/>
    <w:rsid w:val="00392BA2"/>
    <w:rsid w:val="00392FBB"/>
    <w:rsid w:val="00393DAA"/>
    <w:rsid w:val="00395798"/>
    <w:rsid w:val="00395D6E"/>
    <w:rsid w:val="00396333"/>
    <w:rsid w:val="00397787"/>
    <w:rsid w:val="003A25F1"/>
    <w:rsid w:val="003A3154"/>
    <w:rsid w:val="003A4C56"/>
    <w:rsid w:val="003A603E"/>
    <w:rsid w:val="003A6BEB"/>
    <w:rsid w:val="003B00CF"/>
    <w:rsid w:val="003B20BB"/>
    <w:rsid w:val="003B3206"/>
    <w:rsid w:val="003B4C8C"/>
    <w:rsid w:val="003B4ECA"/>
    <w:rsid w:val="003B4FFB"/>
    <w:rsid w:val="003B6D41"/>
    <w:rsid w:val="003C0698"/>
    <w:rsid w:val="003C22CB"/>
    <w:rsid w:val="003C25E0"/>
    <w:rsid w:val="003C3316"/>
    <w:rsid w:val="003C3FCE"/>
    <w:rsid w:val="003C44D0"/>
    <w:rsid w:val="003C62D4"/>
    <w:rsid w:val="003C7157"/>
    <w:rsid w:val="003D1587"/>
    <w:rsid w:val="003D2C59"/>
    <w:rsid w:val="003D2F5F"/>
    <w:rsid w:val="003D3631"/>
    <w:rsid w:val="003D50CB"/>
    <w:rsid w:val="003D67EF"/>
    <w:rsid w:val="003E0BFE"/>
    <w:rsid w:val="003E2EC5"/>
    <w:rsid w:val="003E3F34"/>
    <w:rsid w:val="003E5125"/>
    <w:rsid w:val="003F26E7"/>
    <w:rsid w:val="003F35DE"/>
    <w:rsid w:val="003F4255"/>
    <w:rsid w:val="003F5EC7"/>
    <w:rsid w:val="003F687C"/>
    <w:rsid w:val="003F6FBC"/>
    <w:rsid w:val="00402716"/>
    <w:rsid w:val="00404BE6"/>
    <w:rsid w:val="004072B6"/>
    <w:rsid w:val="004074C1"/>
    <w:rsid w:val="00407743"/>
    <w:rsid w:val="00407F40"/>
    <w:rsid w:val="00410AD1"/>
    <w:rsid w:val="004111A4"/>
    <w:rsid w:val="00411341"/>
    <w:rsid w:val="00412F3E"/>
    <w:rsid w:val="00416A77"/>
    <w:rsid w:val="0041704E"/>
    <w:rsid w:val="00417428"/>
    <w:rsid w:val="0042077A"/>
    <w:rsid w:val="004209C9"/>
    <w:rsid w:val="00422AAC"/>
    <w:rsid w:val="0042475A"/>
    <w:rsid w:val="00424767"/>
    <w:rsid w:val="00425AAA"/>
    <w:rsid w:val="00430B61"/>
    <w:rsid w:val="00431163"/>
    <w:rsid w:val="00431B4D"/>
    <w:rsid w:val="00431D86"/>
    <w:rsid w:val="00432A0B"/>
    <w:rsid w:val="00432BC6"/>
    <w:rsid w:val="004339CA"/>
    <w:rsid w:val="00433FA7"/>
    <w:rsid w:val="0043423B"/>
    <w:rsid w:val="0043450F"/>
    <w:rsid w:val="0043623E"/>
    <w:rsid w:val="004369A8"/>
    <w:rsid w:val="004429BE"/>
    <w:rsid w:val="00443141"/>
    <w:rsid w:val="00443C48"/>
    <w:rsid w:val="0044665E"/>
    <w:rsid w:val="00446E3F"/>
    <w:rsid w:val="004474FA"/>
    <w:rsid w:val="00447C29"/>
    <w:rsid w:val="004500E5"/>
    <w:rsid w:val="00451281"/>
    <w:rsid w:val="00452640"/>
    <w:rsid w:val="004529AB"/>
    <w:rsid w:val="00454D6C"/>
    <w:rsid w:val="004553D3"/>
    <w:rsid w:val="00456A31"/>
    <w:rsid w:val="00457F8B"/>
    <w:rsid w:val="004617DC"/>
    <w:rsid w:val="00462993"/>
    <w:rsid w:val="004638B6"/>
    <w:rsid w:val="00464CBD"/>
    <w:rsid w:val="004656DE"/>
    <w:rsid w:val="00466EB3"/>
    <w:rsid w:val="00467657"/>
    <w:rsid w:val="004716AE"/>
    <w:rsid w:val="0047178C"/>
    <w:rsid w:val="004771A6"/>
    <w:rsid w:val="00477BAF"/>
    <w:rsid w:val="004809D6"/>
    <w:rsid w:val="004825C0"/>
    <w:rsid w:val="00484F92"/>
    <w:rsid w:val="004857BB"/>
    <w:rsid w:val="00485957"/>
    <w:rsid w:val="004866B2"/>
    <w:rsid w:val="0048682F"/>
    <w:rsid w:val="00490CBE"/>
    <w:rsid w:val="00491AAC"/>
    <w:rsid w:val="00491ACB"/>
    <w:rsid w:val="00494F35"/>
    <w:rsid w:val="00495B50"/>
    <w:rsid w:val="004968A5"/>
    <w:rsid w:val="00497B23"/>
    <w:rsid w:val="004A103B"/>
    <w:rsid w:val="004A1060"/>
    <w:rsid w:val="004A11CA"/>
    <w:rsid w:val="004A1F7D"/>
    <w:rsid w:val="004A63F5"/>
    <w:rsid w:val="004A6945"/>
    <w:rsid w:val="004B0457"/>
    <w:rsid w:val="004B4AD8"/>
    <w:rsid w:val="004B679B"/>
    <w:rsid w:val="004B6D7B"/>
    <w:rsid w:val="004C114F"/>
    <w:rsid w:val="004C3ED6"/>
    <w:rsid w:val="004D0C8F"/>
    <w:rsid w:val="004D20DD"/>
    <w:rsid w:val="004D3917"/>
    <w:rsid w:val="004D4000"/>
    <w:rsid w:val="004D4344"/>
    <w:rsid w:val="004D573E"/>
    <w:rsid w:val="004E0802"/>
    <w:rsid w:val="004E5A59"/>
    <w:rsid w:val="004E7C40"/>
    <w:rsid w:val="004F1BB0"/>
    <w:rsid w:val="004F3FB7"/>
    <w:rsid w:val="004F6BD5"/>
    <w:rsid w:val="004F7706"/>
    <w:rsid w:val="0050367C"/>
    <w:rsid w:val="00504571"/>
    <w:rsid w:val="00504CC0"/>
    <w:rsid w:val="0050659A"/>
    <w:rsid w:val="005146BA"/>
    <w:rsid w:val="00514EDE"/>
    <w:rsid w:val="005168F7"/>
    <w:rsid w:val="00516CCA"/>
    <w:rsid w:val="00520380"/>
    <w:rsid w:val="00521B15"/>
    <w:rsid w:val="005222A0"/>
    <w:rsid w:val="00522AE9"/>
    <w:rsid w:val="00522C43"/>
    <w:rsid w:val="00522DED"/>
    <w:rsid w:val="005239A1"/>
    <w:rsid w:val="0052508B"/>
    <w:rsid w:val="005265C5"/>
    <w:rsid w:val="0052692D"/>
    <w:rsid w:val="0053033D"/>
    <w:rsid w:val="005318F5"/>
    <w:rsid w:val="0053210A"/>
    <w:rsid w:val="00533031"/>
    <w:rsid w:val="005360B8"/>
    <w:rsid w:val="00540D11"/>
    <w:rsid w:val="00541C48"/>
    <w:rsid w:val="005441BB"/>
    <w:rsid w:val="00544B9D"/>
    <w:rsid w:val="00544DB0"/>
    <w:rsid w:val="00545EA8"/>
    <w:rsid w:val="00545EFF"/>
    <w:rsid w:val="00546F01"/>
    <w:rsid w:val="00546F6B"/>
    <w:rsid w:val="00553E2B"/>
    <w:rsid w:val="00556A37"/>
    <w:rsid w:val="0056080A"/>
    <w:rsid w:val="00561CF4"/>
    <w:rsid w:val="005622A9"/>
    <w:rsid w:val="005624BA"/>
    <w:rsid w:val="00563956"/>
    <w:rsid w:val="00564D41"/>
    <w:rsid w:val="00565749"/>
    <w:rsid w:val="00565E5C"/>
    <w:rsid w:val="005660A8"/>
    <w:rsid w:val="00570F80"/>
    <w:rsid w:val="005714B7"/>
    <w:rsid w:val="00573FC5"/>
    <w:rsid w:val="005742C6"/>
    <w:rsid w:val="0057642E"/>
    <w:rsid w:val="005828FB"/>
    <w:rsid w:val="0058570F"/>
    <w:rsid w:val="0058783C"/>
    <w:rsid w:val="005903CC"/>
    <w:rsid w:val="0059212F"/>
    <w:rsid w:val="005930DD"/>
    <w:rsid w:val="00593520"/>
    <w:rsid w:val="00594C8D"/>
    <w:rsid w:val="005969A0"/>
    <w:rsid w:val="00596DB4"/>
    <w:rsid w:val="005A05AE"/>
    <w:rsid w:val="005A2AC0"/>
    <w:rsid w:val="005A2AE1"/>
    <w:rsid w:val="005A2B7E"/>
    <w:rsid w:val="005A34DE"/>
    <w:rsid w:val="005A4594"/>
    <w:rsid w:val="005A5FF8"/>
    <w:rsid w:val="005B38B4"/>
    <w:rsid w:val="005C0D37"/>
    <w:rsid w:val="005C183A"/>
    <w:rsid w:val="005C22AD"/>
    <w:rsid w:val="005C2B1C"/>
    <w:rsid w:val="005C5727"/>
    <w:rsid w:val="005C689A"/>
    <w:rsid w:val="005C7E9A"/>
    <w:rsid w:val="005D033E"/>
    <w:rsid w:val="005D0D58"/>
    <w:rsid w:val="005D11ED"/>
    <w:rsid w:val="005D3028"/>
    <w:rsid w:val="005D59A0"/>
    <w:rsid w:val="005D62BF"/>
    <w:rsid w:val="005D6356"/>
    <w:rsid w:val="005D6A65"/>
    <w:rsid w:val="005D7ADB"/>
    <w:rsid w:val="005D7E0D"/>
    <w:rsid w:val="005E1BDC"/>
    <w:rsid w:val="005E224F"/>
    <w:rsid w:val="005E24A1"/>
    <w:rsid w:val="005E2663"/>
    <w:rsid w:val="005E2B75"/>
    <w:rsid w:val="005E74B0"/>
    <w:rsid w:val="005E74CE"/>
    <w:rsid w:val="005E7D6D"/>
    <w:rsid w:val="005F0819"/>
    <w:rsid w:val="005F0BC0"/>
    <w:rsid w:val="005F2374"/>
    <w:rsid w:val="005F2443"/>
    <w:rsid w:val="005F35DD"/>
    <w:rsid w:val="005F6CB3"/>
    <w:rsid w:val="005F6DAF"/>
    <w:rsid w:val="005F7924"/>
    <w:rsid w:val="00600710"/>
    <w:rsid w:val="00601C0A"/>
    <w:rsid w:val="00605961"/>
    <w:rsid w:val="006069C3"/>
    <w:rsid w:val="00610F77"/>
    <w:rsid w:val="006117D8"/>
    <w:rsid w:val="00611F08"/>
    <w:rsid w:val="00612FEA"/>
    <w:rsid w:val="00613EA6"/>
    <w:rsid w:val="00616A6B"/>
    <w:rsid w:val="0061775D"/>
    <w:rsid w:val="00621840"/>
    <w:rsid w:val="006260AD"/>
    <w:rsid w:val="006321EB"/>
    <w:rsid w:val="0063449E"/>
    <w:rsid w:val="00634937"/>
    <w:rsid w:val="00636283"/>
    <w:rsid w:val="0064356A"/>
    <w:rsid w:val="00645D63"/>
    <w:rsid w:val="0064722C"/>
    <w:rsid w:val="006523B6"/>
    <w:rsid w:val="006536DA"/>
    <w:rsid w:val="00655906"/>
    <w:rsid w:val="0066168E"/>
    <w:rsid w:val="00661C6F"/>
    <w:rsid w:val="0066573C"/>
    <w:rsid w:val="00667EBE"/>
    <w:rsid w:val="0067217F"/>
    <w:rsid w:val="006746FC"/>
    <w:rsid w:val="00676AB0"/>
    <w:rsid w:val="0067740C"/>
    <w:rsid w:val="00680A14"/>
    <w:rsid w:val="00680A66"/>
    <w:rsid w:val="0068170E"/>
    <w:rsid w:val="00681C57"/>
    <w:rsid w:val="00683BF5"/>
    <w:rsid w:val="00683DBE"/>
    <w:rsid w:val="00686B65"/>
    <w:rsid w:val="00687425"/>
    <w:rsid w:val="00687642"/>
    <w:rsid w:val="00690D9A"/>
    <w:rsid w:val="006914E7"/>
    <w:rsid w:val="00691558"/>
    <w:rsid w:val="00694AFF"/>
    <w:rsid w:val="006A02CE"/>
    <w:rsid w:val="006A108C"/>
    <w:rsid w:val="006A1355"/>
    <w:rsid w:val="006A22E9"/>
    <w:rsid w:val="006A586D"/>
    <w:rsid w:val="006A650F"/>
    <w:rsid w:val="006A72C8"/>
    <w:rsid w:val="006B1DB0"/>
    <w:rsid w:val="006B31DB"/>
    <w:rsid w:val="006B5A19"/>
    <w:rsid w:val="006B5F23"/>
    <w:rsid w:val="006B6510"/>
    <w:rsid w:val="006B6C7C"/>
    <w:rsid w:val="006C053C"/>
    <w:rsid w:val="006C5A0C"/>
    <w:rsid w:val="006C6F1D"/>
    <w:rsid w:val="006C75D6"/>
    <w:rsid w:val="006C770D"/>
    <w:rsid w:val="006C777F"/>
    <w:rsid w:val="006C77E9"/>
    <w:rsid w:val="006C7D7C"/>
    <w:rsid w:val="006D0110"/>
    <w:rsid w:val="006D341E"/>
    <w:rsid w:val="006D3AE2"/>
    <w:rsid w:val="006D5B62"/>
    <w:rsid w:val="006D6078"/>
    <w:rsid w:val="006E394A"/>
    <w:rsid w:val="006E5EF0"/>
    <w:rsid w:val="006E6BA4"/>
    <w:rsid w:val="006E7B0D"/>
    <w:rsid w:val="006F1552"/>
    <w:rsid w:val="006F2D64"/>
    <w:rsid w:val="006F7C33"/>
    <w:rsid w:val="006F7E7D"/>
    <w:rsid w:val="00701CB6"/>
    <w:rsid w:val="0070209C"/>
    <w:rsid w:val="0070263F"/>
    <w:rsid w:val="00710281"/>
    <w:rsid w:val="00710819"/>
    <w:rsid w:val="00710BD5"/>
    <w:rsid w:val="00713C4C"/>
    <w:rsid w:val="007153D1"/>
    <w:rsid w:val="007155BC"/>
    <w:rsid w:val="00722B11"/>
    <w:rsid w:val="00724F84"/>
    <w:rsid w:val="00725070"/>
    <w:rsid w:val="0072599A"/>
    <w:rsid w:val="0072620D"/>
    <w:rsid w:val="00727174"/>
    <w:rsid w:val="00727475"/>
    <w:rsid w:val="00730062"/>
    <w:rsid w:val="00731FA1"/>
    <w:rsid w:val="00732890"/>
    <w:rsid w:val="0073292C"/>
    <w:rsid w:val="00735814"/>
    <w:rsid w:val="00737173"/>
    <w:rsid w:val="007378E7"/>
    <w:rsid w:val="007421BE"/>
    <w:rsid w:val="00743287"/>
    <w:rsid w:val="00743DCC"/>
    <w:rsid w:val="00743E62"/>
    <w:rsid w:val="00745D12"/>
    <w:rsid w:val="007463AA"/>
    <w:rsid w:val="00747A83"/>
    <w:rsid w:val="00750B43"/>
    <w:rsid w:val="00751854"/>
    <w:rsid w:val="00752531"/>
    <w:rsid w:val="00752BCD"/>
    <w:rsid w:val="00752D82"/>
    <w:rsid w:val="00753219"/>
    <w:rsid w:val="00754099"/>
    <w:rsid w:val="00754AEF"/>
    <w:rsid w:val="00755BD0"/>
    <w:rsid w:val="00755D64"/>
    <w:rsid w:val="00756B8A"/>
    <w:rsid w:val="007575E2"/>
    <w:rsid w:val="007609F6"/>
    <w:rsid w:val="00761E65"/>
    <w:rsid w:val="007635BB"/>
    <w:rsid w:val="00765687"/>
    <w:rsid w:val="00765D17"/>
    <w:rsid w:val="00766DD3"/>
    <w:rsid w:val="00767D27"/>
    <w:rsid w:val="00772A8E"/>
    <w:rsid w:val="00776EEF"/>
    <w:rsid w:val="0077712C"/>
    <w:rsid w:val="0078076B"/>
    <w:rsid w:val="00783B38"/>
    <w:rsid w:val="00784B82"/>
    <w:rsid w:val="00784EC9"/>
    <w:rsid w:val="00786365"/>
    <w:rsid w:val="0078770D"/>
    <w:rsid w:val="00787FA4"/>
    <w:rsid w:val="007935B9"/>
    <w:rsid w:val="00794859"/>
    <w:rsid w:val="007A0D01"/>
    <w:rsid w:val="007A1723"/>
    <w:rsid w:val="007A2245"/>
    <w:rsid w:val="007A26E0"/>
    <w:rsid w:val="007A33FF"/>
    <w:rsid w:val="007A3C3F"/>
    <w:rsid w:val="007A6572"/>
    <w:rsid w:val="007A7F67"/>
    <w:rsid w:val="007B0EF1"/>
    <w:rsid w:val="007B104C"/>
    <w:rsid w:val="007B22E8"/>
    <w:rsid w:val="007B32F3"/>
    <w:rsid w:val="007B5A73"/>
    <w:rsid w:val="007B606C"/>
    <w:rsid w:val="007B713F"/>
    <w:rsid w:val="007B78B5"/>
    <w:rsid w:val="007C3CC1"/>
    <w:rsid w:val="007C41AB"/>
    <w:rsid w:val="007C44BD"/>
    <w:rsid w:val="007C5F24"/>
    <w:rsid w:val="007D0AB1"/>
    <w:rsid w:val="007D0C44"/>
    <w:rsid w:val="007D0F73"/>
    <w:rsid w:val="007D1CE4"/>
    <w:rsid w:val="007D1DF0"/>
    <w:rsid w:val="007D1E9F"/>
    <w:rsid w:val="007D2E86"/>
    <w:rsid w:val="007D43DC"/>
    <w:rsid w:val="007D5AB6"/>
    <w:rsid w:val="007E1AF5"/>
    <w:rsid w:val="007E47AC"/>
    <w:rsid w:val="007E4AAF"/>
    <w:rsid w:val="007E664B"/>
    <w:rsid w:val="007E76A0"/>
    <w:rsid w:val="007E7A70"/>
    <w:rsid w:val="007F03C8"/>
    <w:rsid w:val="007F3004"/>
    <w:rsid w:val="007F3F7A"/>
    <w:rsid w:val="007F4320"/>
    <w:rsid w:val="007F47D7"/>
    <w:rsid w:val="007F63F8"/>
    <w:rsid w:val="007F702F"/>
    <w:rsid w:val="007F758F"/>
    <w:rsid w:val="007F7BCA"/>
    <w:rsid w:val="008011B2"/>
    <w:rsid w:val="00801944"/>
    <w:rsid w:val="00801C42"/>
    <w:rsid w:val="008033C5"/>
    <w:rsid w:val="00803D5E"/>
    <w:rsid w:val="00804BDF"/>
    <w:rsid w:val="00806F39"/>
    <w:rsid w:val="00816A37"/>
    <w:rsid w:val="0081754A"/>
    <w:rsid w:val="00825FB0"/>
    <w:rsid w:val="00827077"/>
    <w:rsid w:val="008273EF"/>
    <w:rsid w:val="0083080B"/>
    <w:rsid w:val="00830ECA"/>
    <w:rsid w:val="00832588"/>
    <w:rsid w:val="0083320B"/>
    <w:rsid w:val="00833541"/>
    <w:rsid w:val="00833977"/>
    <w:rsid w:val="00842089"/>
    <w:rsid w:val="00843327"/>
    <w:rsid w:val="0084506B"/>
    <w:rsid w:val="00845FFC"/>
    <w:rsid w:val="00846C3E"/>
    <w:rsid w:val="008503FD"/>
    <w:rsid w:val="008518D9"/>
    <w:rsid w:val="008520BC"/>
    <w:rsid w:val="00855543"/>
    <w:rsid w:val="00855A9C"/>
    <w:rsid w:val="0085632E"/>
    <w:rsid w:val="00857503"/>
    <w:rsid w:val="008611D7"/>
    <w:rsid w:val="00861675"/>
    <w:rsid w:val="00862DE5"/>
    <w:rsid w:val="00865C7B"/>
    <w:rsid w:val="0086601C"/>
    <w:rsid w:val="00871693"/>
    <w:rsid w:val="00873976"/>
    <w:rsid w:val="00873FA2"/>
    <w:rsid w:val="00880489"/>
    <w:rsid w:val="00881E51"/>
    <w:rsid w:val="00883209"/>
    <w:rsid w:val="00884555"/>
    <w:rsid w:val="0088666A"/>
    <w:rsid w:val="008918C6"/>
    <w:rsid w:val="00891B05"/>
    <w:rsid w:val="00892CC2"/>
    <w:rsid w:val="008930DB"/>
    <w:rsid w:val="00893C44"/>
    <w:rsid w:val="00893C64"/>
    <w:rsid w:val="0089471C"/>
    <w:rsid w:val="00894AAA"/>
    <w:rsid w:val="0089600A"/>
    <w:rsid w:val="008A012B"/>
    <w:rsid w:val="008A155C"/>
    <w:rsid w:val="008A2694"/>
    <w:rsid w:val="008A370A"/>
    <w:rsid w:val="008A6C80"/>
    <w:rsid w:val="008A6E14"/>
    <w:rsid w:val="008A7F6B"/>
    <w:rsid w:val="008B2BD7"/>
    <w:rsid w:val="008B4D0E"/>
    <w:rsid w:val="008B6BBE"/>
    <w:rsid w:val="008B7384"/>
    <w:rsid w:val="008C1FA1"/>
    <w:rsid w:val="008C2D70"/>
    <w:rsid w:val="008C2E59"/>
    <w:rsid w:val="008C3F01"/>
    <w:rsid w:val="008C4914"/>
    <w:rsid w:val="008C4F48"/>
    <w:rsid w:val="008C5BC9"/>
    <w:rsid w:val="008C68F9"/>
    <w:rsid w:val="008C702F"/>
    <w:rsid w:val="008C7E70"/>
    <w:rsid w:val="008D0BD2"/>
    <w:rsid w:val="008D1023"/>
    <w:rsid w:val="008D21FC"/>
    <w:rsid w:val="008D32BF"/>
    <w:rsid w:val="008D390D"/>
    <w:rsid w:val="008D3A1D"/>
    <w:rsid w:val="008D4100"/>
    <w:rsid w:val="008D4D89"/>
    <w:rsid w:val="008D5ADC"/>
    <w:rsid w:val="008D7CDB"/>
    <w:rsid w:val="008E05A7"/>
    <w:rsid w:val="008E0640"/>
    <w:rsid w:val="008E4F3E"/>
    <w:rsid w:val="008E6190"/>
    <w:rsid w:val="008E703B"/>
    <w:rsid w:val="008E72EC"/>
    <w:rsid w:val="008F464F"/>
    <w:rsid w:val="008F66B5"/>
    <w:rsid w:val="008F7635"/>
    <w:rsid w:val="009008BC"/>
    <w:rsid w:val="00900E8F"/>
    <w:rsid w:val="00902164"/>
    <w:rsid w:val="00902E9F"/>
    <w:rsid w:val="00905B82"/>
    <w:rsid w:val="00905C00"/>
    <w:rsid w:val="00905C9C"/>
    <w:rsid w:val="009071F4"/>
    <w:rsid w:val="00907F91"/>
    <w:rsid w:val="0091202F"/>
    <w:rsid w:val="00912039"/>
    <w:rsid w:val="009135F7"/>
    <w:rsid w:val="009139D5"/>
    <w:rsid w:val="009177F8"/>
    <w:rsid w:val="00920530"/>
    <w:rsid w:val="00923A20"/>
    <w:rsid w:val="00924278"/>
    <w:rsid w:val="00924D55"/>
    <w:rsid w:val="00927A92"/>
    <w:rsid w:val="0093113B"/>
    <w:rsid w:val="009317B0"/>
    <w:rsid w:val="009335DF"/>
    <w:rsid w:val="009338C0"/>
    <w:rsid w:val="0093410B"/>
    <w:rsid w:val="00934430"/>
    <w:rsid w:val="00934A70"/>
    <w:rsid w:val="00934ACC"/>
    <w:rsid w:val="00935CFD"/>
    <w:rsid w:val="00936F8F"/>
    <w:rsid w:val="00942600"/>
    <w:rsid w:val="0094384E"/>
    <w:rsid w:val="00946441"/>
    <w:rsid w:val="009474B3"/>
    <w:rsid w:val="00947D86"/>
    <w:rsid w:val="009507E8"/>
    <w:rsid w:val="00952124"/>
    <w:rsid w:val="00954BB4"/>
    <w:rsid w:val="00954EA9"/>
    <w:rsid w:val="00955143"/>
    <w:rsid w:val="009554AE"/>
    <w:rsid w:val="009554C4"/>
    <w:rsid w:val="00957090"/>
    <w:rsid w:val="00961C11"/>
    <w:rsid w:val="009645CD"/>
    <w:rsid w:val="00964D84"/>
    <w:rsid w:val="00965E3C"/>
    <w:rsid w:val="00970365"/>
    <w:rsid w:val="009716F0"/>
    <w:rsid w:val="00972D27"/>
    <w:rsid w:val="00972DB0"/>
    <w:rsid w:val="009733BE"/>
    <w:rsid w:val="0097480E"/>
    <w:rsid w:val="00974D56"/>
    <w:rsid w:val="00974FE6"/>
    <w:rsid w:val="009815B1"/>
    <w:rsid w:val="00981D27"/>
    <w:rsid w:val="00983C18"/>
    <w:rsid w:val="009841F1"/>
    <w:rsid w:val="009872D9"/>
    <w:rsid w:val="00990D16"/>
    <w:rsid w:val="00991831"/>
    <w:rsid w:val="00992253"/>
    <w:rsid w:val="00992AB8"/>
    <w:rsid w:val="00992E45"/>
    <w:rsid w:val="00996B56"/>
    <w:rsid w:val="00996FBE"/>
    <w:rsid w:val="009A0E93"/>
    <w:rsid w:val="009A24F1"/>
    <w:rsid w:val="009A2579"/>
    <w:rsid w:val="009A3960"/>
    <w:rsid w:val="009A4E62"/>
    <w:rsid w:val="009A5748"/>
    <w:rsid w:val="009A6267"/>
    <w:rsid w:val="009B0081"/>
    <w:rsid w:val="009B059B"/>
    <w:rsid w:val="009B18A9"/>
    <w:rsid w:val="009B1FDA"/>
    <w:rsid w:val="009B4268"/>
    <w:rsid w:val="009B547E"/>
    <w:rsid w:val="009B7399"/>
    <w:rsid w:val="009B7419"/>
    <w:rsid w:val="009C0C60"/>
    <w:rsid w:val="009C2CF9"/>
    <w:rsid w:val="009C2E6C"/>
    <w:rsid w:val="009C3ECA"/>
    <w:rsid w:val="009D0125"/>
    <w:rsid w:val="009D037A"/>
    <w:rsid w:val="009D0B40"/>
    <w:rsid w:val="009D1597"/>
    <w:rsid w:val="009D1CE1"/>
    <w:rsid w:val="009D514C"/>
    <w:rsid w:val="009D5239"/>
    <w:rsid w:val="009D52C7"/>
    <w:rsid w:val="009D5D9B"/>
    <w:rsid w:val="009D6D39"/>
    <w:rsid w:val="009E0315"/>
    <w:rsid w:val="009E0BC6"/>
    <w:rsid w:val="009E442F"/>
    <w:rsid w:val="009E484B"/>
    <w:rsid w:val="009E6425"/>
    <w:rsid w:val="009E7A27"/>
    <w:rsid w:val="009F03C2"/>
    <w:rsid w:val="009F057A"/>
    <w:rsid w:val="009F2E8E"/>
    <w:rsid w:val="009F345D"/>
    <w:rsid w:val="009F3CB2"/>
    <w:rsid w:val="009F5C9B"/>
    <w:rsid w:val="009F6484"/>
    <w:rsid w:val="009F726E"/>
    <w:rsid w:val="00A0013F"/>
    <w:rsid w:val="00A01D46"/>
    <w:rsid w:val="00A04965"/>
    <w:rsid w:val="00A04BE7"/>
    <w:rsid w:val="00A05516"/>
    <w:rsid w:val="00A12A92"/>
    <w:rsid w:val="00A12E00"/>
    <w:rsid w:val="00A143DF"/>
    <w:rsid w:val="00A16528"/>
    <w:rsid w:val="00A21888"/>
    <w:rsid w:val="00A21F22"/>
    <w:rsid w:val="00A2273D"/>
    <w:rsid w:val="00A229AF"/>
    <w:rsid w:val="00A22A33"/>
    <w:rsid w:val="00A231C3"/>
    <w:rsid w:val="00A236B9"/>
    <w:rsid w:val="00A25572"/>
    <w:rsid w:val="00A27027"/>
    <w:rsid w:val="00A270B2"/>
    <w:rsid w:val="00A27CFE"/>
    <w:rsid w:val="00A3007B"/>
    <w:rsid w:val="00A309E0"/>
    <w:rsid w:val="00A320A7"/>
    <w:rsid w:val="00A32580"/>
    <w:rsid w:val="00A34C3E"/>
    <w:rsid w:val="00A34D3D"/>
    <w:rsid w:val="00A35681"/>
    <w:rsid w:val="00A35988"/>
    <w:rsid w:val="00A375DA"/>
    <w:rsid w:val="00A37B6F"/>
    <w:rsid w:val="00A52A60"/>
    <w:rsid w:val="00A52B9E"/>
    <w:rsid w:val="00A53EB9"/>
    <w:rsid w:val="00A54428"/>
    <w:rsid w:val="00A5482A"/>
    <w:rsid w:val="00A57653"/>
    <w:rsid w:val="00A57970"/>
    <w:rsid w:val="00A57A14"/>
    <w:rsid w:val="00A57D6F"/>
    <w:rsid w:val="00A603FE"/>
    <w:rsid w:val="00A60751"/>
    <w:rsid w:val="00A622CD"/>
    <w:rsid w:val="00A62E99"/>
    <w:rsid w:val="00A63670"/>
    <w:rsid w:val="00A63F17"/>
    <w:rsid w:val="00A65454"/>
    <w:rsid w:val="00A66605"/>
    <w:rsid w:val="00A7046D"/>
    <w:rsid w:val="00A70597"/>
    <w:rsid w:val="00A71488"/>
    <w:rsid w:val="00A7205D"/>
    <w:rsid w:val="00A722DE"/>
    <w:rsid w:val="00A72B77"/>
    <w:rsid w:val="00A824DB"/>
    <w:rsid w:val="00A82E8A"/>
    <w:rsid w:val="00A87D60"/>
    <w:rsid w:val="00A937E5"/>
    <w:rsid w:val="00A96268"/>
    <w:rsid w:val="00A96687"/>
    <w:rsid w:val="00A96A76"/>
    <w:rsid w:val="00A96CDA"/>
    <w:rsid w:val="00A96CF4"/>
    <w:rsid w:val="00A9730D"/>
    <w:rsid w:val="00A97B2C"/>
    <w:rsid w:val="00AA261C"/>
    <w:rsid w:val="00AA27E5"/>
    <w:rsid w:val="00AA2DB4"/>
    <w:rsid w:val="00AA48BE"/>
    <w:rsid w:val="00AA6C0B"/>
    <w:rsid w:val="00AB4671"/>
    <w:rsid w:val="00AC0219"/>
    <w:rsid w:val="00AC087E"/>
    <w:rsid w:val="00AC276B"/>
    <w:rsid w:val="00AC2D22"/>
    <w:rsid w:val="00AC3532"/>
    <w:rsid w:val="00AD0BD0"/>
    <w:rsid w:val="00AD3968"/>
    <w:rsid w:val="00AD3E0A"/>
    <w:rsid w:val="00AD59EB"/>
    <w:rsid w:val="00AD70FB"/>
    <w:rsid w:val="00AD75F7"/>
    <w:rsid w:val="00AD7D97"/>
    <w:rsid w:val="00AE127D"/>
    <w:rsid w:val="00AE22C4"/>
    <w:rsid w:val="00AE3A4F"/>
    <w:rsid w:val="00AE41C3"/>
    <w:rsid w:val="00AE5C84"/>
    <w:rsid w:val="00AF04DE"/>
    <w:rsid w:val="00AF39A3"/>
    <w:rsid w:val="00AF3DCA"/>
    <w:rsid w:val="00AF69AF"/>
    <w:rsid w:val="00B00F39"/>
    <w:rsid w:val="00B03EF3"/>
    <w:rsid w:val="00B04F5E"/>
    <w:rsid w:val="00B0570F"/>
    <w:rsid w:val="00B10C2B"/>
    <w:rsid w:val="00B131E9"/>
    <w:rsid w:val="00B16674"/>
    <w:rsid w:val="00B23678"/>
    <w:rsid w:val="00B262CE"/>
    <w:rsid w:val="00B3060F"/>
    <w:rsid w:val="00B318BA"/>
    <w:rsid w:val="00B356ED"/>
    <w:rsid w:val="00B37776"/>
    <w:rsid w:val="00B3799A"/>
    <w:rsid w:val="00B451A2"/>
    <w:rsid w:val="00B45752"/>
    <w:rsid w:val="00B4693A"/>
    <w:rsid w:val="00B50A3B"/>
    <w:rsid w:val="00B510BC"/>
    <w:rsid w:val="00B53A03"/>
    <w:rsid w:val="00B53C1A"/>
    <w:rsid w:val="00B54023"/>
    <w:rsid w:val="00B55407"/>
    <w:rsid w:val="00B55C10"/>
    <w:rsid w:val="00B56FDD"/>
    <w:rsid w:val="00B64ABF"/>
    <w:rsid w:val="00B6606F"/>
    <w:rsid w:val="00B67B36"/>
    <w:rsid w:val="00B7095C"/>
    <w:rsid w:val="00B716FF"/>
    <w:rsid w:val="00B73E39"/>
    <w:rsid w:val="00B74ED4"/>
    <w:rsid w:val="00B762E5"/>
    <w:rsid w:val="00B768E7"/>
    <w:rsid w:val="00B80C0B"/>
    <w:rsid w:val="00B83F69"/>
    <w:rsid w:val="00B84EAA"/>
    <w:rsid w:val="00B85301"/>
    <w:rsid w:val="00B8613A"/>
    <w:rsid w:val="00B90BC3"/>
    <w:rsid w:val="00B951FE"/>
    <w:rsid w:val="00B95A56"/>
    <w:rsid w:val="00B9611A"/>
    <w:rsid w:val="00B972FA"/>
    <w:rsid w:val="00BA100B"/>
    <w:rsid w:val="00BA385D"/>
    <w:rsid w:val="00BA3E23"/>
    <w:rsid w:val="00BA5BC7"/>
    <w:rsid w:val="00BA6988"/>
    <w:rsid w:val="00BA7185"/>
    <w:rsid w:val="00BA79FA"/>
    <w:rsid w:val="00BA7F3B"/>
    <w:rsid w:val="00BB096C"/>
    <w:rsid w:val="00BB18C9"/>
    <w:rsid w:val="00BB1EBF"/>
    <w:rsid w:val="00BB320C"/>
    <w:rsid w:val="00BB707D"/>
    <w:rsid w:val="00BB7C09"/>
    <w:rsid w:val="00BB7E11"/>
    <w:rsid w:val="00BC005C"/>
    <w:rsid w:val="00BC4109"/>
    <w:rsid w:val="00BC4CE3"/>
    <w:rsid w:val="00BC7794"/>
    <w:rsid w:val="00BC7EB2"/>
    <w:rsid w:val="00BD12DC"/>
    <w:rsid w:val="00BD5415"/>
    <w:rsid w:val="00BD586F"/>
    <w:rsid w:val="00BD6695"/>
    <w:rsid w:val="00BD692C"/>
    <w:rsid w:val="00BE0888"/>
    <w:rsid w:val="00BE1B6A"/>
    <w:rsid w:val="00BE3675"/>
    <w:rsid w:val="00BE5B53"/>
    <w:rsid w:val="00BE7D47"/>
    <w:rsid w:val="00BE7E04"/>
    <w:rsid w:val="00BF3031"/>
    <w:rsid w:val="00BF3876"/>
    <w:rsid w:val="00BF4165"/>
    <w:rsid w:val="00BF4334"/>
    <w:rsid w:val="00BF55CE"/>
    <w:rsid w:val="00BF6AD9"/>
    <w:rsid w:val="00BF7014"/>
    <w:rsid w:val="00BF767A"/>
    <w:rsid w:val="00C0259D"/>
    <w:rsid w:val="00C07095"/>
    <w:rsid w:val="00C1048A"/>
    <w:rsid w:val="00C10B99"/>
    <w:rsid w:val="00C10EE5"/>
    <w:rsid w:val="00C11B05"/>
    <w:rsid w:val="00C1251E"/>
    <w:rsid w:val="00C12AD5"/>
    <w:rsid w:val="00C13FAD"/>
    <w:rsid w:val="00C14217"/>
    <w:rsid w:val="00C15F44"/>
    <w:rsid w:val="00C17762"/>
    <w:rsid w:val="00C20923"/>
    <w:rsid w:val="00C225BD"/>
    <w:rsid w:val="00C251E5"/>
    <w:rsid w:val="00C312FE"/>
    <w:rsid w:val="00C34A84"/>
    <w:rsid w:val="00C36804"/>
    <w:rsid w:val="00C41713"/>
    <w:rsid w:val="00C42135"/>
    <w:rsid w:val="00C447F9"/>
    <w:rsid w:val="00C4503E"/>
    <w:rsid w:val="00C459A8"/>
    <w:rsid w:val="00C517B2"/>
    <w:rsid w:val="00C51E18"/>
    <w:rsid w:val="00C53FE3"/>
    <w:rsid w:val="00C55687"/>
    <w:rsid w:val="00C61A27"/>
    <w:rsid w:val="00C708B6"/>
    <w:rsid w:val="00C7097D"/>
    <w:rsid w:val="00C715B2"/>
    <w:rsid w:val="00C720BC"/>
    <w:rsid w:val="00C721EA"/>
    <w:rsid w:val="00C724EF"/>
    <w:rsid w:val="00C72964"/>
    <w:rsid w:val="00C739D3"/>
    <w:rsid w:val="00C747A3"/>
    <w:rsid w:val="00C7481D"/>
    <w:rsid w:val="00C74C50"/>
    <w:rsid w:val="00C7697E"/>
    <w:rsid w:val="00C76E79"/>
    <w:rsid w:val="00C76F0D"/>
    <w:rsid w:val="00C77D19"/>
    <w:rsid w:val="00C80AE7"/>
    <w:rsid w:val="00C80F7C"/>
    <w:rsid w:val="00C8164B"/>
    <w:rsid w:val="00C82CD9"/>
    <w:rsid w:val="00C83E00"/>
    <w:rsid w:val="00C84E4F"/>
    <w:rsid w:val="00C84F33"/>
    <w:rsid w:val="00C85848"/>
    <w:rsid w:val="00C86A72"/>
    <w:rsid w:val="00C87FC1"/>
    <w:rsid w:val="00C94508"/>
    <w:rsid w:val="00C94572"/>
    <w:rsid w:val="00C968B5"/>
    <w:rsid w:val="00C97044"/>
    <w:rsid w:val="00C977FA"/>
    <w:rsid w:val="00C97B91"/>
    <w:rsid w:val="00CA2547"/>
    <w:rsid w:val="00CA2723"/>
    <w:rsid w:val="00CA31F4"/>
    <w:rsid w:val="00CA37F6"/>
    <w:rsid w:val="00CA5102"/>
    <w:rsid w:val="00CA6ABB"/>
    <w:rsid w:val="00CB0D8F"/>
    <w:rsid w:val="00CB2009"/>
    <w:rsid w:val="00CB2193"/>
    <w:rsid w:val="00CB23BC"/>
    <w:rsid w:val="00CB2EB1"/>
    <w:rsid w:val="00CB537C"/>
    <w:rsid w:val="00CB60F7"/>
    <w:rsid w:val="00CB669E"/>
    <w:rsid w:val="00CB7A1E"/>
    <w:rsid w:val="00CC0B65"/>
    <w:rsid w:val="00CC0D5D"/>
    <w:rsid w:val="00CC1C1E"/>
    <w:rsid w:val="00CC4C13"/>
    <w:rsid w:val="00CC4E2E"/>
    <w:rsid w:val="00CC742B"/>
    <w:rsid w:val="00CD416A"/>
    <w:rsid w:val="00CD6CF2"/>
    <w:rsid w:val="00CE019D"/>
    <w:rsid w:val="00CE0513"/>
    <w:rsid w:val="00CE0B4F"/>
    <w:rsid w:val="00CE1ED8"/>
    <w:rsid w:val="00CE4A22"/>
    <w:rsid w:val="00CF0EE7"/>
    <w:rsid w:val="00CF32A4"/>
    <w:rsid w:val="00CF6A8C"/>
    <w:rsid w:val="00D0052F"/>
    <w:rsid w:val="00D01CA4"/>
    <w:rsid w:val="00D024D3"/>
    <w:rsid w:val="00D0722E"/>
    <w:rsid w:val="00D1040E"/>
    <w:rsid w:val="00D105CD"/>
    <w:rsid w:val="00D115CC"/>
    <w:rsid w:val="00D11C56"/>
    <w:rsid w:val="00D138DA"/>
    <w:rsid w:val="00D13946"/>
    <w:rsid w:val="00D14677"/>
    <w:rsid w:val="00D17A7C"/>
    <w:rsid w:val="00D23196"/>
    <w:rsid w:val="00D2490D"/>
    <w:rsid w:val="00D25A6E"/>
    <w:rsid w:val="00D27140"/>
    <w:rsid w:val="00D27EF4"/>
    <w:rsid w:val="00D27F55"/>
    <w:rsid w:val="00D3065E"/>
    <w:rsid w:val="00D31705"/>
    <w:rsid w:val="00D328AC"/>
    <w:rsid w:val="00D4020A"/>
    <w:rsid w:val="00D404D4"/>
    <w:rsid w:val="00D43794"/>
    <w:rsid w:val="00D44845"/>
    <w:rsid w:val="00D44C5A"/>
    <w:rsid w:val="00D46618"/>
    <w:rsid w:val="00D47301"/>
    <w:rsid w:val="00D50C4C"/>
    <w:rsid w:val="00D51769"/>
    <w:rsid w:val="00D522E5"/>
    <w:rsid w:val="00D543B9"/>
    <w:rsid w:val="00D61348"/>
    <w:rsid w:val="00D6182E"/>
    <w:rsid w:val="00D6283E"/>
    <w:rsid w:val="00D628EB"/>
    <w:rsid w:val="00D63630"/>
    <w:rsid w:val="00D64BEB"/>
    <w:rsid w:val="00D650D7"/>
    <w:rsid w:val="00D65FDB"/>
    <w:rsid w:val="00D7036C"/>
    <w:rsid w:val="00D70B0A"/>
    <w:rsid w:val="00D739D3"/>
    <w:rsid w:val="00D73A3E"/>
    <w:rsid w:val="00D8041C"/>
    <w:rsid w:val="00D81628"/>
    <w:rsid w:val="00D844F8"/>
    <w:rsid w:val="00D85238"/>
    <w:rsid w:val="00D86172"/>
    <w:rsid w:val="00D869A6"/>
    <w:rsid w:val="00D90533"/>
    <w:rsid w:val="00D905CA"/>
    <w:rsid w:val="00D90ABC"/>
    <w:rsid w:val="00D9310A"/>
    <w:rsid w:val="00D93C79"/>
    <w:rsid w:val="00DA0BDE"/>
    <w:rsid w:val="00DA1B76"/>
    <w:rsid w:val="00DA218F"/>
    <w:rsid w:val="00DA22ED"/>
    <w:rsid w:val="00DA4A0A"/>
    <w:rsid w:val="00DA5ED5"/>
    <w:rsid w:val="00DA75A4"/>
    <w:rsid w:val="00DB0E2B"/>
    <w:rsid w:val="00DB5A9E"/>
    <w:rsid w:val="00DB64D3"/>
    <w:rsid w:val="00DB6EAC"/>
    <w:rsid w:val="00DC1A91"/>
    <w:rsid w:val="00DD0111"/>
    <w:rsid w:val="00DD0407"/>
    <w:rsid w:val="00DD397F"/>
    <w:rsid w:val="00DD4036"/>
    <w:rsid w:val="00DD4140"/>
    <w:rsid w:val="00DD462D"/>
    <w:rsid w:val="00DD4818"/>
    <w:rsid w:val="00DD51C1"/>
    <w:rsid w:val="00DD6B98"/>
    <w:rsid w:val="00DE1293"/>
    <w:rsid w:val="00DE14F7"/>
    <w:rsid w:val="00DE2A88"/>
    <w:rsid w:val="00DE3EFC"/>
    <w:rsid w:val="00DE4A99"/>
    <w:rsid w:val="00DE508A"/>
    <w:rsid w:val="00DE683F"/>
    <w:rsid w:val="00DE6B25"/>
    <w:rsid w:val="00DF0B33"/>
    <w:rsid w:val="00DF2CAD"/>
    <w:rsid w:val="00DF457C"/>
    <w:rsid w:val="00E02345"/>
    <w:rsid w:val="00E03653"/>
    <w:rsid w:val="00E03983"/>
    <w:rsid w:val="00E1004E"/>
    <w:rsid w:val="00E132A3"/>
    <w:rsid w:val="00E1411D"/>
    <w:rsid w:val="00E155BD"/>
    <w:rsid w:val="00E2568C"/>
    <w:rsid w:val="00E26046"/>
    <w:rsid w:val="00E30C31"/>
    <w:rsid w:val="00E33C56"/>
    <w:rsid w:val="00E35A84"/>
    <w:rsid w:val="00E35B5F"/>
    <w:rsid w:val="00E401F9"/>
    <w:rsid w:val="00E4031D"/>
    <w:rsid w:val="00E40E1A"/>
    <w:rsid w:val="00E43190"/>
    <w:rsid w:val="00E43821"/>
    <w:rsid w:val="00E463FA"/>
    <w:rsid w:val="00E515A5"/>
    <w:rsid w:val="00E52A24"/>
    <w:rsid w:val="00E5538B"/>
    <w:rsid w:val="00E57785"/>
    <w:rsid w:val="00E60CA9"/>
    <w:rsid w:val="00E63CB2"/>
    <w:rsid w:val="00E63FB6"/>
    <w:rsid w:val="00E64B54"/>
    <w:rsid w:val="00E65CDF"/>
    <w:rsid w:val="00E70617"/>
    <w:rsid w:val="00E708AE"/>
    <w:rsid w:val="00E7380D"/>
    <w:rsid w:val="00E75C2D"/>
    <w:rsid w:val="00E8533C"/>
    <w:rsid w:val="00E87DC5"/>
    <w:rsid w:val="00E90B4F"/>
    <w:rsid w:val="00E90C7D"/>
    <w:rsid w:val="00E92A9B"/>
    <w:rsid w:val="00E95F18"/>
    <w:rsid w:val="00E96EC1"/>
    <w:rsid w:val="00EA2BFA"/>
    <w:rsid w:val="00EA421F"/>
    <w:rsid w:val="00EA6360"/>
    <w:rsid w:val="00EA6635"/>
    <w:rsid w:val="00EB0203"/>
    <w:rsid w:val="00EB0827"/>
    <w:rsid w:val="00EB2E71"/>
    <w:rsid w:val="00EB4B85"/>
    <w:rsid w:val="00EB5193"/>
    <w:rsid w:val="00EB5B97"/>
    <w:rsid w:val="00EB5CA4"/>
    <w:rsid w:val="00EC295E"/>
    <w:rsid w:val="00EC2B32"/>
    <w:rsid w:val="00EC33A1"/>
    <w:rsid w:val="00EC4891"/>
    <w:rsid w:val="00ED1D80"/>
    <w:rsid w:val="00ED23D2"/>
    <w:rsid w:val="00ED36C6"/>
    <w:rsid w:val="00ED546C"/>
    <w:rsid w:val="00ED6F72"/>
    <w:rsid w:val="00EE1001"/>
    <w:rsid w:val="00EE1340"/>
    <w:rsid w:val="00EE2305"/>
    <w:rsid w:val="00EE2E16"/>
    <w:rsid w:val="00EE34EA"/>
    <w:rsid w:val="00EE35A2"/>
    <w:rsid w:val="00EE4756"/>
    <w:rsid w:val="00EE50DD"/>
    <w:rsid w:val="00EE5851"/>
    <w:rsid w:val="00EF059A"/>
    <w:rsid w:val="00EF3F35"/>
    <w:rsid w:val="00EF5A7A"/>
    <w:rsid w:val="00F0184B"/>
    <w:rsid w:val="00F05973"/>
    <w:rsid w:val="00F065F2"/>
    <w:rsid w:val="00F06632"/>
    <w:rsid w:val="00F075EF"/>
    <w:rsid w:val="00F07D8F"/>
    <w:rsid w:val="00F07F82"/>
    <w:rsid w:val="00F16F5F"/>
    <w:rsid w:val="00F170CF"/>
    <w:rsid w:val="00F201AC"/>
    <w:rsid w:val="00F213E1"/>
    <w:rsid w:val="00F23917"/>
    <w:rsid w:val="00F25B25"/>
    <w:rsid w:val="00F26E94"/>
    <w:rsid w:val="00F27C4C"/>
    <w:rsid w:val="00F313A3"/>
    <w:rsid w:val="00F31C25"/>
    <w:rsid w:val="00F32745"/>
    <w:rsid w:val="00F37126"/>
    <w:rsid w:val="00F41617"/>
    <w:rsid w:val="00F4486E"/>
    <w:rsid w:val="00F45046"/>
    <w:rsid w:val="00F458C3"/>
    <w:rsid w:val="00F459C4"/>
    <w:rsid w:val="00F4674D"/>
    <w:rsid w:val="00F46C53"/>
    <w:rsid w:val="00F5053F"/>
    <w:rsid w:val="00F51F59"/>
    <w:rsid w:val="00F52305"/>
    <w:rsid w:val="00F53D1A"/>
    <w:rsid w:val="00F53FFD"/>
    <w:rsid w:val="00F543C0"/>
    <w:rsid w:val="00F54FA9"/>
    <w:rsid w:val="00F55469"/>
    <w:rsid w:val="00F60967"/>
    <w:rsid w:val="00F627D8"/>
    <w:rsid w:val="00F628B3"/>
    <w:rsid w:val="00F650A0"/>
    <w:rsid w:val="00F66159"/>
    <w:rsid w:val="00F66F2B"/>
    <w:rsid w:val="00F70C3E"/>
    <w:rsid w:val="00F70F2B"/>
    <w:rsid w:val="00F71E33"/>
    <w:rsid w:val="00F7526B"/>
    <w:rsid w:val="00F774E8"/>
    <w:rsid w:val="00F820E6"/>
    <w:rsid w:val="00F824FF"/>
    <w:rsid w:val="00F837F1"/>
    <w:rsid w:val="00F85302"/>
    <w:rsid w:val="00F85ED0"/>
    <w:rsid w:val="00F86876"/>
    <w:rsid w:val="00F90561"/>
    <w:rsid w:val="00F91420"/>
    <w:rsid w:val="00F924C1"/>
    <w:rsid w:val="00F946D7"/>
    <w:rsid w:val="00F9653E"/>
    <w:rsid w:val="00F970DE"/>
    <w:rsid w:val="00FA22C7"/>
    <w:rsid w:val="00FA26C6"/>
    <w:rsid w:val="00FA4212"/>
    <w:rsid w:val="00FA51D7"/>
    <w:rsid w:val="00FA6007"/>
    <w:rsid w:val="00FA6EEF"/>
    <w:rsid w:val="00FB0516"/>
    <w:rsid w:val="00FB0838"/>
    <w:rsid w:val="00FB1505"/>
    <w:rsid w:val="00FB28A7"/>
    <w:rsid w:val="00FB4ADE"/>
    <w:rsid w:val="00FB51D4"/>
    <w:rsid w:val="00FB5381"/>
    <w:rsid w:val="00FB75C9"/>
    <w:rsid w:val="00FC0545"/>
    <w:rsid w:val="00FC0E18"/>
    <w:rsid w:val="00FC4740"/>
    <w:rsid w:val="00FC5727"/>
    <w:rsid w:val="00FC5E4D"/>
    <w:rsid w:val="00FD0758"/>
    <w:rsid w:val="00FD3BA7"/>
    <w:rsid w:val="00FD3FDA"/>
    <w:rsid w:val="00FD5AA8"/>
    <w:rsid w:val="00FD6020"/>
    <w:rsid w:val="00FE03A5"/>
    <w:rsid w:val="00FE20D8"/>
    <w:rsid w:val="00FE4DF2"/>
    <w:rsid w:val="00FE67D4"/>
    <w:rsid w:val="00FE6A5D"/>
    <w:rsid w:val="00FF028F"/>
    <w:rsid w:val="00FF16A8"/>
    <w:rsid w:val="00FF4D09"/>
    <w:rsid w:val="00FF7C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EF034"/>
  <w15:chartTrackingRefBased/>
  <w15:docId w15:val="{988D24C7-217A-4248-A961-105FD415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0D7"/>
    <w:pPr>
      <w:spacing w:before="120" w:line="280" w:lineRule="atLeast"/>
    </w:pPr>
    <w:rPr>
      <w:rFonts w:ascii="Arial" w:hAnsi="Arial"/>
    </w:rPr>
  </w:style>
  <w:style w:type="paragraph" w:styleId="Heading1">
    <w:name w:val="heading 1"/>
    <w:basedOn w:val="Normal"/>
    <w:next w:val="Normal"/>
    <w:link w:val="Heading1Char"/>
    <w:uiPriority w:val="9"/>
    <w:qFormat/>
    <w:rsid w:val="00905C00"/>
    <w:pPr>
      <w:keepNext/>
      <w:keepLines/>
      <w:spacing w:before="240" w:after="0"/>
      <w:outlineLvl w:val="0"/>
    </w:pPr>
    <w:rPr>
      <w:rFonts w:ascii="Helvetica" w:eastAsiaTheme="majorEastAsia" w:hAnsi="Helvetica"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905C00"/>
    <w:pPr>
      <w:keepNext/>
      <w:keepLines/>
      <w:spacing w:before="240" w:after="0"/>
      <w:outlineLvl w:val="1"/>
    </w:pPr>
    <w:rPr>
      <w:rFonts w:ascii="Helvetica" w:eastAsiaTheme="majorEastAsia" w:hAnsi="Helvetica" w:cstheme="majorBidi"/>
      <w:b/>
      <w:sz w:val="24"/>
      <w:szCs w:val="26"/>
    </w:rPr>
  </w:style>
  <w:style w:type="paragraph" w:styleId="Heading3">
    <w:name w:val="heading 3"/>
    <w:basedOn w:val="Normal"/>
    <w:next w:val="Normal"/>
    <w:link w:val="Heading3Char"/>
    <w:uiPriority w:val="9"/>
    <w:unhideWhenUsed/>
    <w:qFormat/>
    <w:rsid w:val="00196C0E"/>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5B2"/>
  </w:style>
  <w:style w:type="paragraph" w:styleId="Footer">
    <w:name w:val="footer"/>
    <w:basedOn w:val="Normal"/>
    <w:link w:val="FooterChar"/>
    <w:uiPriority w:val="99"/>
    <w:unhideWhenUsed/>
    <w:rsid w:val="00C71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5B2"/>
  </w:style>
  <w:style w:type="paragraph" w:customStyle="1" w:styleId="Default">
    <w:name w:val="Default"/>
    <w:rsid w:val="00905C00"/>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905C00"/>
    <w:rPr>
      <w:rFonts w:ascii="Helvetica" w:eastAsiaTheme="majorEastAsia" w:hAnsi="Helvetica" w:cstheme="majorBidi"/>
      <w:color w:val="538135" w:themeColor="accent6" w:themeShade="BF"/>
      <w:sz w:val="32"/>
      <w:szCs w:val="32"/>
    </w:rPr>
  </w:style>
  <w:style w:type="character" w:customStyle="1" w:styleId="Heading2Char">
    <w:name w:val="Heading 2 Char"/>
    <w:basedOn w:val="DefaultParagraphFont"/>
    <w:link w:val="Heading2"/>
    <w:uiPriority w:val="9"/>
    <w:rsid w:val="00905C00"/>
    <w:rPr>
      <w:rFonts w:ascii="Helvetica" w:eastAsiaTheme="majorEastAsia" w:hAnsi="Helvetica" w:cstheme="majorBidi"/>
      <w:b/>
      <w:sz w:val="24"/>
      <w:szCs w:val="26"/>
    </w:rPr>
  </w:style>
  <w:style w:type="paragraph" w:styleId="ListParagraph">
    <w:name w:val="List Paragraph"/>
    <w:aliases w:val="0Bullet,L,List Paragraph1,List Paragraph11,NFP GP Bulleted List,FooterText,numbered,Paragraphe de liste1,Bulletr List Paragraph,1,List Paragraph2,List Paragraph21,Listeafsnit1,Pargrafo da Lista1,Prrafo de lista1,Recommendation,Bullet poin"/>
    <w:basedOn w:val="Normal"/>
    <w:link w:val="ListParagraphChar"/>
    <w:uiPriority w:val="34"/>
    <w:qFormat/>
    <w:rsid w:val="00905C00"/>
    <w:pPr>
      <w:ind w:left="720"/>
      <w:contextualSpacing/>
    </w:pPr>
  </w:style>
  <w:style w:type="paragraph" w:styleId="FootnoteText">
    <w:name w:val="footnote text"/>
    <w:basedOn w:val="Normal"/>
    <w:link w:val="FootnoteTextChar"/>
    <w:uiPriority w:val="99"/>
    <w:unhideWhenUsed/>
    <w:rsid w:val="00905C00"/>
    <w:pPr>
      <w:spacing w:before="0" w:after="0" w:line="240" w:lineRule="auto"/>
    </w:pPr>
    <w:rPr>
      <w:sz w:val="20"/>
      <w:szCs w:val="20"/>
    </w:rPr>
  </w:style>
  <w:style w:type="character" w:customStyle="1" w:styleId="FootnoteTextChar">
    <w:name w:val="Footnote Text Char"/>
    <w:basedOn w:val="DefaultParagraphFont"/>
    <w:link w:val="FootnoteText"/>
    <w:uiPriority w:val="99"/>
    <w:rsid w:val="00905C00"/>
    <w:rPr>
      <w:rFonts w:ascii="Arial" w:hAnsi="Arial"/>
      <w:sz w:val="20"/>
      <w:szCs w:val="20"/>
    </w:rPr>
  </w:style>
  <w:style w:type="character" w:styleId="FootnoteReference">
    <w:name w:val="footnote reference"/>
    <w:basedOn w:val="DefaultParagraphFont"/>
    <w:uiPriority w:val="99"/>
    <w:unhideWhenUsed/>
    <w:rsid w:val="00905C00"/>
    <w:rPr>
      <w:vertAlign w:val="superscript"/>
    </w:rPr>
  </w:style>
  <w:style w:type="character" w:styleId="Hyperlink">
    <w:name w:val="Hyperlink"/>
    <w:basedOn w:val="DefaultParagraphFont"/>
    <w:uiPriority w:val="99"/>
    <w:unhideWhenUsed/>
    <w:rsid w:val="00905C00"/>
    <w:rPr>
      <w:color w:val="0563C1" w:themeColor="hyperlink"/>
      <w:u w:val="single"/>
    </w:rPr>
  </w:style>
  <w:style w:type="paragraph" w:styleId="TOCHeading">
    <w:name w:val="TOC Heading"/>
    <w:basedOn w:val="Heading1"/>
    <w:next w:val="Normal"/>
    <w:uiPriority w:val="39"/>
    <w:unhideWhenUsed/>
    <w:qFormat/>
    <w:rsid w:val="00905C00"/>
    <w:pPr>
      <w:spacing w:line="259" w:lineRule="auto"/>
      <w:outlineLvl w:val="9"/>
    </w:pPr>
    <w:rPr>
      <w:rFonts w:asciiTheme="majorHAnsi" w:hAnsiTheme="majorHAnsi"/>
      <w:color w:val="2F5496" w:themeColor="accent1" w:themeShade="BF"/>
      <w:lang w:val="en-US"/>
    </w:rPr>
  </w:style>
  <w:style w:type="paragraph" w:styleId="TOC1">
    <w:name w:val="toc 1"/>
    <w:basedOn w:val="Normal"/>
    <w:next w:val="Normal"/>
    <w:autoRedefine/>
    <w:uiPriority w:val="39"/>
    <w:unhideWhenUsed/>
    <w:rsid w:val="00905C00"/>
    <w:pPr>
      <w:tabs>
        <w:tab w:val="right" w:leader="dot" w:pos="9736"/>
      </w:tabs>
      <w:spacing w:before="240" w:after="100"/>
    </w:pPr>
    <w:rPr>
      <w:noProof/>
    </w:rPr>
  </w:style>
  <w:style w:type="paragraph" w:styleId="TOC2">
    <w:name w:val="toc 2"/>
    <w:basedOn w:val="Normal"/>
    <w:next w:val="Normal"/>
    <w:autoRedefine/>
    <w:uiPriority w:val="39"/>
    <w:unhideWhenUsed/>
    <w:rsid w:val="00905C00"/>
    <w:pPr>
      <w:spacing w:after="100"/>
      <w:ind w:left="220"/>
    </w:pPr>
  </w:style>
  <w:style w:type="paragraph" w:styleId="NormalWeb">
    <w:name w:val="Normal (Web)"/>
    <w:basedOn w:val="Normal"/>
    <w:uiPriority w:val="99"/>
    <w:unhideWhenUsed/>
    <w:rsid w:val="00905C0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FD6020"/>
    <w:rPr>
      <w:color w:val="808080"/>
    </w:rPr>
  </w:style>
  <w:style w:type="paragraph" w:customStyle="1" w:styleId="BodytextRPC">
    <w:name w:val="Body text RPC"/>
    <w:basedOn w:val="Normal"/>
    <w:link w:val="BodytextRPCChar"/>
    <w:qFormat/>
    <w:rsid w:val="003170A5"/>
    <w:pPr>
      <w:spacing w:before="0" w:after="200" w:line="276" w:lineRule="auto"/>
    </w:pPr>
    <w:rPr>
      <w:rFonts w:ascii="Calibri" w:eastAsia="Calibri" w:hAnsi="Calibri" w:cs="Times New Roman"/>
      <w:szCs w:val="20"/>
      <w:lang w:bidi="en-US"/>
    </w:rPr>
  </w:style>
  <w:style w:type="character" w:customStyle="1" w:styleId="BodytextRPCChar">
    <w:name w:val="Body text RPC Char"/>
    <w:link w:val="BodytextRPC"/>
    <w:rsid w:val="003170A5"/>
    <w:rPr>
      <w:rFonts w:ascii="Calibri" w:eastAsia="Calibri" w:hAnsi="Calibri" w:cs="Times New Roman"/>
      <w:szCs w:val="20"/>
      <w:lang w:bidi="en-US"/>
    </w:rPr>
  </w:style>
  <w:style w:type="character" w:styleId="UnresolvedMention">
    <w:name w:val="Unresolved Mention"/>
    <w:basedOn w:val="DefaultParagraphFont"/>
    <w:uiPriority w:val="99"/>
    <w:semiHidden/>
    <w:unhideWhenUsed/>
    <w:rsid w:val="009733BE"/>
    <w:rPr>
      <w:color w:val="605E5C"/>
      <w:shd w:val="clear" w:color="auto" w:fill="E1DFDD"/>
    </w:rPr>
  </w:style>
  <w:style w:type="table" w:styleId="TableGrid">
    <w:name w:val="Table Grid"/>
    <w:basedOn w:val="TableNormal"/>
    <w:uiPriority w:val="39"/>
    <w:rsid w:val="006F7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60CA9"/>
    <w:pPr>
      <w:widowControl w:val="0"/>
      <w:autoSpaceDE w:val="0"/>
      <w:autoSpaceDN w:val="0"/>
      <w:spacing w:before="0"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E60CA9"/>
    <w:rPr>
      <w:rFonts w:ascii="Calibri" w:eastAsia="Calibri" w:hAnsi="Calibri" w:cs="Calibri"/>
      <w:lang w:val="en-US"/>
    </w:rPr>
  </w:style>
  <w:style w:type="character" w:styleId="CommentReference">
    <w:name w:val="annotation reference"/>
    <w:basedOn w:val="DefaultParagraphFont"/>
    <w:uiPriority w:val="99"/>
    <w:semiHidden/>
    <w:unhideWhenUsed/>
    <w:rsid w:val="00FA4212"/>
    <w:rPr>
      <w:sz w:val="16"/>
      <w:szCs w:val="16"/>
    </w:rPr>
  </w:style>
  <w:style w:type="paragraph" w:styleId="CommentText">
    <w:name w:val="annotation text"/>
    <w:basedOn w:val="Normal"/>
    <w:link w:val="CommentTextChar"/>
    <w:uiPriority w:val="99"/>
    <w:unhideWhenUsed/>
    <w:rsid w:val="00FA4212"/>
    <w:pPr>
      <w:spacing w:line="240" w:lineRule="auto"/>
    </w:pPr>
    <w:rPr>
      <w:sz w:val="20"/>
      <w:szCs w:val="20"/>
    </w:rPr>
  </w:style>
  <w:style w:type="character" w:customStyle="1" w:styleId="CommentTextChar">
    <w:name w:val="Comment Text Char"/>
    <w:basedOn w:val="DefaultParagraphFont"/>
    <w:link w:val="CommentText"/>
    <w:uiPriority w:val="99"/>
    <w:rsid w:val="00FA42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A4212"/>
    <w:rPr>
      <w:b/>
      <w:bCs/>
    </w:rPr>
  </w:style>
  <w:style w:type="character" w:customStyle="1" w:styleId="CommentSubjectChar">
    <w:name w:val="Comment Subject Char"/>
    <w:basedOn w:val="CommentTextChar"/>
    <w:link w:val="CommentSubject"/>
    <w:uiPriority w:val="99"/>
    <w:semiHidden/>
    <w:rsid w:val="00FA4212"/>
    <w:rPr>
      <w:rFonts w:ascii="Arial" w:hAnsi="Arial"/>
      <w:b/>
      <w:bCs/>
      <w:sz w:val="20"/>
      <w:szCs w:val="20"/>
    </w:rPr>
  </w:style>
  <w:style w:type="paragraph" w:styleId="EndnoteText">
    <w:name w:val="endnote text"/>
    <w:basedOn w:val="Normal"/>
    <w:link w:val="EndnoteTextChar"/>
    <w:uiPriority w:val="99"/>
    <w:unhideWhenUsed/>
    <w:rsid w:val="00D11C56"/>
    <w:pPr>
      <w:spacing w:before="0" w:after="0" w:line="240" w:lineRule="auto"/>
    </w:pPr>
    <w:rPr>
      <w:sz w:val="20"/>
      <w:szCs w:val="20"/>
    </w:rPr>
  </w:style>
  <w:style w:type="character" w:customStyle="1" w:styleId="EndnoteTextChar">
    <w:name w:val="Endnote Text Char"/>
    <w:basedOn w:val="DefaultParagraphFont"/>
    <w:link w:val="EndnoteText"/>
    <w:uiPriority w:val="99"/>
    <w:rsid w:val="00D11C56"/>
    <w:rPr>
      <w:rFonts w:ascii="Arial" w:hAnsi="Arial"/>
      <w:sz w:val="20"/>
      <w:szCs w:val="20"/>
    </w:rPr>
  </w:style>
  <w:style w:type="character" w:styleId="EndnoteReference">
    <w:name w:val="endnote reference"/>
    <w:basedOn w:val="DefaultParagraphFont"/>
    <w:uiPriority w:val="99"/>
    <w:semiHidden/>
    <w:unhideWhenUsed/>
    <w:rsid w:val="00D11C56"/>
    <w:rPr>
      <w:vertAlign w:val="superscript"/>
    </w:rPr>
  </w:style>
  <w:style w:type="paragraph" w:styleId="Quote">
    <w:name w:val="Quote"/>
    <w:basedOn w:val="Normal"/>
    <w:next w:val="Normal"/>
    <w:link w:val="QuoteChar"/>
    <w:uiPriority w:val="29"/>
    <w:qFormat/>
    <w:rsid w:val="00D11C56"/>
    <w:pPr>
      <w:spacing w:before="200" w:line="259" w:lineRule="auto"/>
      <w:ind w:left="864" w:right="864"/>
      <w:jc w:val="center"/>
    </w:pPr>
    <w:rPr>
      <w:i/>
      <w:iCs/>
      <w:color w:val="404040" w:themeColor="text1" w:themeTint="BF"/>
    </w:rPr>
  </w:style>
  <w:style w:type="character" w:customStyle="1" w:styleId="QuoteChar">
    <w:name w:val="Quote Char"/>
    <w:basedOn w:val="DefaultParagraphFont"/>
    <w:link w:val="Quote"/>
    <w:uiPriority w:val="29"/>
    <w:rsid w:val="00D11C56"/>
    <w:rPr>
      <w:rFonts w:ascii="Arial" w:hAnsi="Arial"/>
      <w:i/>
      <w:iCs/>
      <w:color w:val="404040" w:themeColor="text1" w:themeTint="BF"/>
    </w:rPr>
  </w:style>
  <w:style w:type="character" w:customStyle="1" w:styleId="ListParagraphChar">
    <w:name w:val="List Paragraph Char"/>
    <w:aliases w:val="0Bullet Char,L Char,List Paragraph1 Char,List Paragraph11 Char,NFP GP Bulleted List Char,FooterText Char,numbered Char,Paragraphe de liste1 Char,Bulletr List Paragraph Char,1 Char,List Paragraph2 Char,List Paragraph21 Char"/>
    <w:basedOn w:val="DefaultParagraphFont"/>
    <w:link w:val="ListParagraph"/>
    <w:uiPriority w:val="34"/>
    <w:qFormat/>
    <w:locked/>
    <w:rsid w:val="00A143DF"/>
    <w:rPr>
      <w:rFonts w:ascii="Arial" w:hAnsi="Arial"/>
    </w:rPr>
  </w:style>
  <w:style w:type="character" w:styleId="Emphasis">
    <w:name w:val="Emphasis"/>
    <w:basedOn w:val="DefaultParagraphFont"/>
    <w:uiPriority w:val="20"/>
    <w:qFormat/>
    <w:rsid w:val="00A143DF"/>
    <w:rPr>
      <w:i/>
      <w:iCs/>
    </w:rPr>
  </w:style>
  <w:style w:type="character" w:styleId="Strong">
    <w:name w:val="Strong"/>
    <w:basedOn w:val="DefaultParagraphFont"/>
    <w:uiPriority w:val="22"/>
    <w:qFormat/>
    <w:rsid w:val="00DC1A91"/>
    <w:rPr>
      <w:b/>
      <w:bCs/>
    </w:rPr>
  </w:style>
  <w:style w:type="character" w:customStyle="1" w:styleId="Heading3Char">
    <w:name w:val="Heading 3 Char"/>
    <w:basedOn w:val="DefaultParagraphFont"/>
    <w:link w:val="Heading3"/>
    <w:uiPriority w:val="9"/>
    <w:rsid w:val="00196C0E"/>
    <w:rPr>
      <w:rFonts w:ascii="Arial" w:eastAsiaTheme="majorEastAsia" w:hAnsi="Arial" w:cstheme="majorBidi"/>
      <w:szCs w:val="24"/>
    </w:rPr>
  </w:style>
  <w:style w:type="paragraph" w:styleId="TOC3">
    <w:name w:val="toc 3"/>
    <w:basedOn w:val="Normal"/>
    <w:next w:val="Normal"/>
    <w:autoRedefine/>
    <w:uiPriority w:val="39"/>
    <w:unhideWhenUsed/>
    <w:rsid w:val="00F774E8"/>
    <w:pPr>
      <w:spacing w:after="100"/>
      <w:ind w:left="440"/>
    </w:pPr>
  </w:style>
  <w:style w:type="paragraph" w:styleId="Revision">
    <w:name w:val="Revision"/>
    <w:hidden/>
    <w:uiPriority w:val="99"/>
    <w:semiHidden/>
    <w:rsid w:val="00EA2BFA"/>
    <w:pPr>
      <w:spacing w:after="0" w:line="240" w:lineRule="auto"/>
    </w:pPr>
    <w:rPr>
      <w:rFonts w:ascii="Arial" w:hAnsi="Arial"/>
    </w:rPr>
  </w:style>
  <w:style w:type="paragraph" w:customStyle="1" w:styleId="TableParagraph">
    <w:name w:val="Table Paragraph"/>
    <w:basedOn w:val="Normal"/>
    <w:uiPriority w:val="1"/>
    <w:qFormat/>
    <w:rsid w:val="001956C8"/>
    <w:pPr>
      <w:widowControl w:val="0"/>
      <w:autoSpaceDE w:val="0"/>
      <w:autoSpaceDN w:val="0"/>
      <w:spacing w:before="62" w:after="0" w:line="240" w:lineRule="auto"/>
      <w:jc w:val="right"/>
    </w:pPr>
    <w:rPr>
      <w:rFonts w:ascii="Century" w:eastAsia="Century" w:hAnsi="Century" w:cs="Century"/>
      <w:lang w:val="en-US"/>
    </w:rPr>
  </w:style>
  <w:style w:type="paragraph" w:styleId="BalloonText">
    <w:name w:val="Balloon Text"/>
    <w:basedOn w:val="Normal"/>
    <w:link w:val="BalloonTextChar"/>
    <w:uiPriority w:val="99"/>
    <w:semiHidden/>
    <w:unhideWhenUsed/>
    <w:rsid w:val="00FD3FD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FDA"/>
    <w:rPr>
      <w:rFonts w:ascii="Segoe UI" w:hAnsi="Segoe UI" w:cs="Segoe UI"/>
      <w:sz w:val="18"/>
      <w:szCs w:val="18"/>
    </w:rPr>
  </w:style>
  <w:style w:type="character" w:styleId="FollowedHyperlink">
    <w:name w:val="FollowedHyperlink"/>
    <w:basedOn w:val="DefaultParagraphFont"/>
    <w:uiPriority w:val="99"/>
    <w:semiHidden/>
    <w:unhideWhenUsed/>
    <w:rsid w:val="001A4B6D"/>
    <w:rPr>
      <w:color w:val="954F72" w:themeColor="followedHyperlink"/>
      <w:u w:val="single"/>
    </w:rPr>
  </w:style>
  <w:style w:type="paragraph" w:styleId="Caption">
    <w:name w:val="caption"/>
    <w:basedOn w:val="Normal"/>
    <w:next w:val="Normal"/>
    <w:uiPriority w:val="35"/>
    <w:unhideWhenUsed/>
    <w:qFormat/>
    <w:rsid w:val="00090E04"/>
    <w:pPr>
      <w:spacing w:before="0" w:after="200" w:line="240" w:lineRule="auto"/>
    </w:pPr>
    <w:rPr>
      <w:i/>
      <w:iCs/>
      <w:color w:val="44546A" w:themeColor="text2"/>
      <w:sz w:val="18"/>
      <w:szCs w:val="18"/>
    </w:rPr>
  </w:style>
  <w:style w:type="paragraph" w:customStyle="1" w:styleId="pf0">
    <w:name w:val="pf0"/>
    <w:basedOn w:val="Normal"/>
    <w:rsid w:val="008D5AD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8D5AD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55276">
      <w:bodyDiv w:val="1"/>
      <w:marLeft w:val="0"/>
      <w:marRight w:val="0"/>
      <w:marTop w:val="0"/>
      <w:marBottom w:val="0"/>
      <w:divBdr>
        <w:top w:val="none" w:sz="0" w:space="0" w:color="auto"/>
        <w:left w:val="none" w:sz="0" w:space="0" w:color="auto"/>
        <w:bottom w:val="none" w:sz="0" w:space="0" w:color="auto"/>
        <w:right w:val="none" w:sz="0" w:space="0" w:color="auto"/>
      </w:divBdr>
    </w:div>
    <w:div w:id="931939907">
      <w:bodyDiv w:val="1"/>
      <w:marLeft w:val="0"/>
      <w:marRight w:val="0"/>
      <w:marTop w:val="0"/>
      <w:marBottom w:val="0"/>
      <w:divBdr>
        <w:top w:val="none" w:sz="0" w:space="0" w:color="auto"/>
        <w:left w:val="none" w:sz="0" w:space="0" w:color="auto"/>
        <w:bottom w:val="none" w:sz="0" w:space="0" w:color="auto"/>
        <w:right w:val="none" w:sz="0" w:space="0" w:color="auto"/>
      </w:divBdr>
    </w:div>
    <w:div w:id="1033308677">
      <w:bodyDiv w:val="1"/>
      <w:marLeft w:val="0"/>
      <w:marRight w:val="0"/>
      <w:marTop w:val="0"/>
      <w:marBottom w:val="0"/>
      <w:divBdr>
        <w:top w:val="none" w:sz="0" w:space="0" w:color="auto"/>
        <w:left w:val="none" w:sz="0" w:space="0" w:color="auto"/>
        <w:bottom w:val="none" w:sz="0" w:space="0" w:color="auto"/>
        <w:right w:val="none" w:sz="0" w:space="0" w:color="auto"/>
      </w:divBdr>
    </w:div>
    <w:div w:id="1579245959">
      <w:bodyDiv w:val="1"/>
      <w:marLeft w:val="0"/>
      <w:marRight w:val="0"/>
      <w:marTop w:val="0"/>
      <w:marBottom w:val="0"/>
      <w:divBdr>
        <w:top w:val="none" w:sz="0" w:space="0" w:color="auto"/>
        <w:left w:val="none" w:sz="0" w:space="0" w:color="auto"/>
        <w:bottom w:val="none" w:sz="0" w:space="0" w:color="auto"/>
        <w:right w:val="none" w:sz="0" w:space="0" w:color="auto"/>
      </w:divBdr>
    </w:div>
    <w:div w:id="206741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cie.org.au" TargetMode="External"/><Relationship Id="rId21" Type="http://schemas.openxmlformats.org/officeDocument/2006/relationships/hyperlink" Target="https://thrivebyfive.org.au/" TargetMode="External"/><Relationship Id="rId42" Type="http://schemas.openxmlformats.org/officeDocument/2006/relationships/hyperlink" Target="https://www.aidr.org.au/" TargetMode="External"/><Relationship Id="rId47" Type="http://schemas.openxmlformats.org/officeDocument/2006/relationships/hyperlink" Target="https://www.everychild.co/the_every_child_national_wellbeing_commitment" TargetMode="External"/><Relationship Id="rId63" Type="http://schemas.openxmlformats.org/officeDocument/2006/relationships/hyperlink" Target="https://www.cyda.org.au/resources/details/354/livedx-2022-series-full-policy-paper-financial-security-and-employment" TargetMode="External"/><Relationship Id="rId68" Type="http://schemas.openxmlformats.org/officeDocument/2006/relationships/hyperlink" Target="https://www.cyda.org.au/resources/details/299/national-framework-for-protecting-australia-s-children-2009-2020" TargetMode="External"/><Relationship Id="rId84" Type="http://schemas.openxmlformats.org/officeDocument/2006/relationships/hyperlink" Target="https://www.cyda.org.au/resources/details/229/services-and-supports-in-the-early-years" TargetMode="External"/><Relationship Id="rId89" Type="http://schemas.openxmlformats.org/officeDocument/2006/relationships/hyperlink" Target="https://www.cyda.org.au/resources/details/59/addressing-ableism-in-education" TargetMode="External"/><Relationship Id="rId16" Type="http://schemas.openxmlformats.org/officeDocument/2006/relationships/hyperlink" Target="http://www.cyda.org.au" TargetMode="External"/><Relationship Id="rId11" Type="http://schemas.openxmlformats.org/officeDocument/2006/relationships/image" Target="media/image1.png"/><Relationship Id="rId32" Type="http://schemas.openxmlformats.org/officeDocument/2006/relationships/hyperlink" Target="https://cdn.minderoo.org/content/uploads/2019/02/06102007/TB5_Time2Act_20170119_FNL_Digital-p.pdf" TargetMode="External"/><Relationship Id="rId37" Type="http://schemas.openxmlformats.org/officeDocument/2006/relationships/hyperlink" Target="https://www.ndisreview.gov.au/" TargetMode="External"/><Relationship Id="rId53" Type="http://schemas.openxmlformats.org/officeDocument/2006/relationships/hyperlink" Target="https://cyda.us17.list-manage.com/track/click?u=c75d12b0ea3d513c036636c7d&amp;id=626c73b7d7&amp;e=75620ff177" TargetMode="External"/><Relationship Id="rId58" Type="http://schemas.openxmlformats.org/officeDocument/2006/relationships/hyperlink" Target="https://www.cyda.org.au/resources/details/242/national-youth-disability-summit-what-young-people-with-disability-said-employment-position-paper" TargetMode="External"/><Relationship Id="rId74" Type="http://schemas.openxmlformats.org/officeDocument/2006/relationships/hyperlink" Target="https://www.cyda.org.au/resources/details/349/submission-to-the-senate-inquiry-into-on-the-national-trend-of-school-refusal" TargetMode="External"/><Relationship Id="rId79" Type="http://schemas.openxmlformats.org/officeDocument/2006/relationships/hyperlink" Target="https://www.cyda.org.au/resources/details/240/national-youth-disability-summit-what-young-people-with-disability-said-awareness-access-and-inclusion-position-paper" TargetMode="External"/><Relationship Id="rId5" Type="http://schemas.openxmlformats.org/officeDocument/2006/relationships/numbering" Target="numbering.xml"/><Relationship Id="rId90" Type="http://schemas.openxmlformats.org/officeDocument/2006/relationships/footer" Target="footer2.xml"/><Relationship Id="rId22" Type="http://schemas.openxmlformats.org/officeDocument/2006/relationships/hyperlink" Target="https://www.everychild.co/the_every_child_national_wellbeing_commitment" TargetMode="External"/><Relationship Id="rId27" Type="http://schemas.openxmlformats.org/officeDocument/2006/relationships/hyperlink" Target="https://www.cyda.org.au/resources/details/368/how-to-make-education-better-easy-english-version-of-the-acie-roadmap-achieving-inclusive-education-in-australia" TargetMode="External"/><Relationship Id="rId43" Type="http://schemas.openxmlformats.org/officeDocument/2006/relationships/hyperlink" Target="https://www.disabilitygateway.gov.au/document/3146" TargetMode="External"/><Relationship Id="rId48" Type="http://schemas.openxmlformats.org/officeDocument/2006/relationships/hyperlink" Target="https://cpd.org.au/2021/11/starting-better-centre-for-policy-development/" TargetMode="External"/><Relationship Id="rId64" Type="http://schemas.openxmlformats.org/officeDocument/2006/relationships/hyperlink" Target="https://www.cyda.org.au/resources/details/355/livedx-2022-series-full-policy-paper-healthcare-settings-for-lgbtqia-youth-with-disability" TargetMode="External"/><Relationship Id="rId69" Type="http://schemas.openxmlformats.org/officeDocument/2006/relationships/hyperlink" Target="https://www.cyda.org.au/resources/details/293/content-warning-response-to-the-national-strategy-to-prevent-child-sexual-abuse-final-development-consultation-paper" TargetMode="External"/><Relationship Id="rId8" Type="http://schemas.openxmlformats.org/officeDocument/2006/relationships/webSettings" Target="webSettings.xml"/><Relationship Id="rId51" Type="http://schemas.openxmlformats.org/officeDocument/2006/relationships/hyperlink" Target="https://cyda.us17.list-manage.com/track/click?u=c75d12b0ea3d513c036636c7d&amp;id=f1348ef7bc&amp;e=75620ff177" TargetMode="External"/><Relationship Id="rId72" Type="http://schemas.openxmlformats.org/officeDocument/2006/relationships/hyperlink" Target="https://www.cyda.org.au/resources/details/372/cyda-s-pre-budget-submission-2023-24" TargetMode="External"/><Relationship Id="rId80" Type="http://schemas.openxmlformats.org/officeDocument/2006/relationships/hyperlink" Target="https://www.cyda.org.au/resources/details/271/recognising-rights-children-young-people-with-disability-forum" TargetMode="External"/><Relationship Id="rId85" Type="http://schemas.openxmlformats.org/officeDocument/2006/relationships/hyperlink" Target="https://www.cyda.org.au/resources/details/230/about-family-centred-practice"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cid:image008.png@01D8B30E.83816900" TargetMode="External"/><Relationship Id="rId17" Type="http://schemas.openxmlformats.org/officeDocument/2006/relationships/header" Target="header2.xml"/><Relationship Id="rId25" Type="http://schemas.openxmlformats.org/officeDocument/2006/relationships/hyperlink" Target="https://acie.org.au/2020/07/14/driving-change-a-roadmap-for-achieving-inclusive-education-in-australia/" TargetMode="External"/><Relationship Id="rId33" Type="http://schemas.openxmlformats.org/officeDocument/2006/relationships/hyperlink" Target="https://playgroupaustralia.org.au/playgroup-statement/" TargetMode="External"/><Relationship Id="rId38" Type="http://schemas.openxmlformats.org/officeDocument/2006/relationships/hyperlink" Target="https://www.education.gov.au/quality-schools-package/national-school-reform-agreement" TargetMode="External"/><Relationship Id="rId46" Type="http://schemas.openxmlformats.org/officeDocument/2006/relationships/hyperlink" Target="https://thrivebyfive.org.au/" TargetMode="External"/><Relationship Id="rId59" Type="http://schemas.openxmlformats.org/officeDocument/2006/relationships/hyperlink" Target="https://www.cyda.org.au/resources/details/256/national-youth-disability-summit-what-young-people-with-disability-said-mental-health-and-wellbeing-position-paper" TargetMode="External"/><Relationship Id="rId67" Type="http://schemas.openxmlformats.org/officeDocument/2006/relationships/hyperlink" Target="https://www.cyda.org.au/resources/details/352/report-taking-the-first-step-in-an-inclusive-life-experiences-of-australian-early-childhood-education-and-care" TargetMode="External"/><Relationship Id="rId20" Type="http://schemas.openxmlformats.org/officeDocument/2006/relationships/hyperlink" Target="https://www.theparenthood.org.au/parents_up" TargetMode="External"/><Relationship Id="rId41" Type="http://schemas.openxmlformats.org/officeDocument/2006/relationships/hyperlink" Target="https://www.ndrp.org.au/" TargetMode="External"/><Relationship Id="rId54" Type="http://schemas.openxmlformats.org/officeDocument/2006/relationships/hyperlink" Target="https://cyda.us17.list-manage.com/track/click?u=c75d12b0ea3d513c036636c7d&amp;id=626c73b7d7&amp;e=75620ff177" TargetMode="External"/><Relationship Id="rId62" Type="http://schemas.openxmlformats.org/officeDocument/2006/relationships/hyperlink" Target="https://www.cyda.org.au/resources/details/353/livedx-2022-series-full-policy-paper-tertiary-education-and-learning" TargetMode="External"/><Relationship Id="rId70" Type="http://schemas.openxmlformats.org/officeDocument/2006/relationships/hyperlink" Target="https://www.cyda.org.au/resources/details/255/nds-ndis-outcomes-framework-introductory-paper" TargetMode="External"/><Relationship Id="rId75" Type="http://schemas.openxmlformats.org/officeDocument/2006/relationships/hyperlink" Target="https://www.cyda.org.au/resources/details/198/senate-select-committee-on-autism-inquiry" TargetMode="External"/><Relationship Id="rId83" Type="http://schemas.openxmlformats.org/officeDocument/2006/relationships/hyperlink" Target="https://www.cyda.org.au/resources/details/228/supporting-the-development-of-children-and-young-people-with-disability" TargetMode="External"/><Relationship Id="rId88" Type="http://schemas.openxmlformats.org/officeDocument/2006/relationships/hyperlink" Target="https://www.cyda.org.au/resources/details/58/what-is-inclusive-education"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skye@cyda.org.au" TargetMode="External"/><Relationship Id="rId23" Type="http://schemas.openxmlformats.org/officeDocument/2006/relationships/hyperlink" Target="https://cpd.org.au/2021/11/starting-better-centre-for-policy-development/" TargetMode="External"/><Relationship Id="rId28" Type="http://schemas.openxmlformats.org/officeDocument/2006/relationships/hyperlink" Target="https://www.aracy.org.au/projects/the-nest" TargetMode="External"/><Relationship Id="rId36" Type="http://schemas.openxmlformats.org/officeDocument/2006/relationships/hyperlink" Target="https://www.education.gov.au/disability-standards-education-2005" TargetMode="External"/><Relationship Id="rId49" Type="http://schemas.openxmlformats.org/officeDocument/2006/relationships/hyperlink" Target="https://www.disabilitygateway.gov.au/ads" TargetMode="External"/><Relationship Id="rId57" Type="http://schemas.openxmlformats.org/officeDocument/2006/relationships/hyperlink" Target="https://www.cyda.org.au/resources/details/236/national-youth-disability-summit-what-young-people-with-disability-said-education-position-paper" TargetMode="External"/><Relationship Id="rId10" Type="http://schemas.openxmlformats.org/officeDocument/2006/relationships/endnotes" Target="endnotes.xml"/><Relationship Id="rId31" Type="http://schemas.openxmlformats.org/officeDocument/2006/relationships/hyperlink" Target="https://www.earlychildhoodaustralia.org.au" TargetMode="External"/><Relationship Id="rId44" Type="http://schemas.openxmlformats.org/officeDocument/2006/relationships/hyperlink" Target="https://www.disabilitygateway.gov.au/ads" TargetMode="External"/><Relationship Id="rId52" Type="http://schemas.openxmlformats.org/officeDocument/2006/relationships/image" Target="media/image4.png"/><Relationship Id="rId60" Type="http://schemas.openxmlformats.org/officeDocument/2006/relationships/hyperlink" Target="https://www.cyda.org.au/resources/details/257/national-youth-disability-summit-what-young-people-with-disability-said-ndis-position-paper" TargetMode="External"/><Relationship Id="rId65" Type="http://schemas.openxmlformats.org/officeDocument/2006/relationships/hyperlink" Target="https://www.cyda.org.au/resources/details/356/livedx-2022-series-full-policy-paper-community-spaces-for-lgbtqia-youth-with-disability" TargetMode="External"/><Relationship Id="rId73" Type="http://schemas.openxmlformats.org/officeDocument/2006/relationships/hyperlink" Target="https://www.cyda.org.au/resources/details/209/2020-review-of-the-disability-standards-for-education-2005" TargetMode="External"/><Relationship Id="rId78" Type="http://schemas.openxmlformats.org/officeDocument/2006/relationships/hyperlink" Target="https://www.cyda.org.au/resources/details/216/disability-royal-commission-response-to-rights-and-attitudes-issues-paper" TargetMode="External"/><Relationship Id="rId81" Type="http://schemas.openxmlformats.org/officeDocument/2006/relationships/hyperlink" Target="https://www.cyda.org.au/resources/details/266/improving-the-ndis-for-children-with-disability" TargetMode="External"/><Relationship Id="rId86" Type="http://schemas.openxmlformats.org/officeDocument/2006/relationships/hyperlink" Target="https://www.cyda.org.au/resources/details/233/building-strong-familie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www.disabilitygateway.gov.au/document/3146" TargetMode="External"/><Relationship Id="rId39" Type="http://schemas.openxmlformats.org/officeDocument/2006/relationships/hyperlink" Target="https://disability.royalcommission.gov.au/document-library" TargetMode="External"/><Relationship Id="rId34" Type="http://schemas.openxmlformats.org/officeDocument/2006/relationships/hyperlink" Target="https://www.cyda.org.au/search/details/352/report-taking-the-first-step-in-an-inclusive-life-experiences-of-australian-early-childhood-education-and-care" TargetMode="External"/><Relationship Id="rId50" Type="http://schemas.openxmlformats.org/officeDocument/2006/relationships/hyperlink" Target="https://www.aracy.org.au/the-nest-in-action/the-nest-overview" TargetMode="External"/><Relationship Id="rId55" Type="http://schemas.openxmlformats.org/officeDocument/2006/relationships/hyperlink" Target="https://humanrights.gov.au/our-work/childrens-rights/publications/mental-health-shapes-my-life-covid-19-kids-wellbeing-2022" TargetMode="External"/><Relationship Id="rId76" Type="http://schemas.openxmlformats.org/officeDocument/2006/relationships/hyperlink" Target="https://www.cyda.org.au/resources/details/294/tasmania-s-child-and-youth-wellbeing-strategy" TargetMode="External"/><Relationship Id="rId7" Type="http://schemas.openxmlformats.org/officeDocument/2006/relationships/settings" Target="settings.xml"/><Relationship Id="rId71" Type="http://schemas.openxmlformats.org/officeDocument/2006/relationships/hyperlink" Target="https://www.cyda.org.au/resources/details/267/drive-inclusion-and-equity-for-children-and-young-people-with-disability-2021-22-pre-budget-submission" TargetMode="External"/><Relationship Id="rId92" Type="http://schemas.openxmlformats.org/officeDocument/2006/relationships/glossaryDocument" Target="glossary/document.xml"/><Relationship Id="rId2" Type="http://schemas.openxmlformats.org/officeDocument/2006/relationships/customXml" Target="../customXml/item2.xml"/><Relationship Id="rId29" Type="http://schemas.openxmlformats.org/officeDocument/2006/relationships/hyperlink" Target="https://www.earlychildhoodaustralia.org.au/our-work/inclusion-resources/" TargetMode="External"/><Relationship Id="rId24" Type="http://schemas.openxmlformats.org/officeDocument/2006/relationships/hyperlink" Target="https://www.cyda.org.au/resources/details/269/end-segregation-campaign-and-position-paper-on-segregation" TargetMode="External"/><Relationship Id="rId40" Type="http://schemas.openxmlformats.org/officeDocument/2006/relationships/hyperlink" Target="https://ndda.dss.gov.au/" TargetMode="External"/><Relationship Id="rId45" Type="http://schemas.openxmlformats.org/officeDocument/2006/relationships/hyperlink" Target="https://www.theparenthood.org.au/parents_up" TargetMode="External"/><Relationship Id="rId66" Type="http://schemas.openxmlformats.org/officeDocument/2006/relationships/hyperlink" Target="https://www.cyda.org.au/resources/details/357/livedx-2022-series-full-policy-paper-inclusion-and-decision-making" TargetMode="External"/><Relationship Id="rId87" Type="http://schemas.openxmlformats.org/officeDocument/2006/relationships/hyperlink" Target="https://www.cyda.org.au/resources/details/319/tips-for-early-intervention-from-cyda-webinar-on-early-childhood" TargetMode="External"/><Relationship Id="rId61" Type="http://schemas.openxmlformats.org/officeDocument/2006/relationships/hyperlink" Target="https://www.cyda.org.au/resources/details/240/national-youth-disability-summit-what-young-people-with-disability-said-awareness-access-and-inclusion-position-paper" TargetMode="External"/><Relationship Id="rId82" Type="http://schemas.openxmlformats.org/officeDocument/2006/relationships/hyperlink" Target="https://www.cyda.org.au/resources/details/227/understanding-eci-language" TargetMode="External"/><Relationship Id="rId19" Type="http://schemas.openxmlformats.org/officeDocument/2006/relationships/hyperlink" Target="https://www.disabilitygateway.gov.au/ads" TargetMode="External"/><Relationship Id="rId14" Type="http://schemas.openxmlformats.org/officeDocument/2006/relationships/footer" Target="footer1.xml"/><Relationship Id="rId30" Type="http://schemas.openxmlformats.org/officeDocument/2006/relationships/hyperlink" Target="https://www.earlychildhoodaustralia.org.au/our-work/eca-year-of-play/" TargetMode="External"/><Relationship Id="rId35" Type="http://schemas.openxmlformats.org/officeDocument/2006/relationships/hyperlink" Target="https://www.disabilitygateway.gov.au/ads" TargetMode="External"/><Relationship Id="rId56" Type="http://schemas.openxmlformats.org/officeDocument/2006/relationships/image" Target="media/image5.png"/><Relationship Id="rId77" Type="http://schemas.openxmlformats.org/officeDocument/2006/relationships/hyperlink" Target="https://www.cyda.org.au/resources/details/238/national-disability-strategy-beyond-20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3" Type="http://schemas.openxmlformats.org/officeDocument/2006/relationships/hyperlink" Target="https://universaldesign.ie/what-is-universal-design/" TargetMode="External"/><Relationship Id="rId18" Type="http://schemas.openxmlformats.org/officeDocument/2006/relationships/hyperlink" Target="https://www.thefrontproject.org.au/media/attachments/2022/05/04/supporting-all-children-to-thrive-report.pdf" TargetMode="External"/><Relationship Id="rId26" Type="http://schemas.openxmlformats.org/officeDocument/2006/relationships/hyperlink" Target="https://www.cyda.org.au/resources/details/161/more-than-isolated-the-experience-of-children-and-young-people-with-disability-and-their-families-during-the-covid-19-pandemic" TargetMode="External"/><Relationship Id="rId39" Type="http://schemas.openxmlformats.org/officeDocument/2006/relationships/hyperlink" Target="https://humanrights.gov.au/our-work/childrens-rights/publications/mental-health-shapes-my-life-covid-19-kids-wellbeing-2022" TargetMode="External"/><Relationship Id="rId21" Type="http://schemas.openxmlformats.org/officeDocument/2006/relationships/hyperlink" Target="https://www.earlyyearscatalyst.org.au/field-insights/" TargetMode="External"/><Relationship Id="rId34" Type="http://schemas.openxmlformats.org/officeDocument/2006/relationships/hyperlink" Target="https://www.abs.gov.au/ausstats/abs@.nsf/mf/4715.0" TargetMode="External"/><Relationship Id="rId7" Type="http://schemas.openxmlformats.org/officeDocument/2006/relationships/hyperlink" Target="https://www.youtube.com/watch?v=SxrS7-I_sMQ" TargetMode="External"/><Relationship Id="rId12" Type="http://schemas.openxmlformats.org/officeDocument/2006/relationships/hyperlink" Target="https://disability.royalcommission.gov.au/publications/changing-community-attitudes-improve-inclusion-people-disability" TargetMode="External"/><Relationship Id="rId17" Type="http://schemas.openxmlformats.org/officeDocument/2006/relationships/hyperlink" Target="https://www.ndis.gov.au/about-us/strategies/cultural-and-linguistic-diversity-strategy" TargetMode="External"/><Relationship Id="rId25" Type="http://schemas.openxmlformats.org/officeDocument/2006/relationships/hyperlink" Target="https://findanexpert.unimelb.edu.au/news/2810-hilda-findings-on-australian-families'-experience-of-childcare-should-be-a-call-to-arms-for-government" TargetMode="External"/><Relationship Id="rId33" Type="http://schemas.openxmlformats.org/officeDocument/2006/relationships/hyperlink" Target="https://www.abs.gov.au/ausstats/abs@.nsf/mf/4430.0" TargetMode="External"/><Relationship Id="rId38" Type="http://schemas.openxmlformats.org/officeDocument/2006/relationships/hyperlink" Target="https://www.aihw.gov.au/reports/children-youth/australias-children/contents/data-gaps/improve-evidence" TargetMode="External"/><Relationship Id="rId2" Type="http://schemas.openxmlformats.org/officeDocument/2006/relationships/hyperlink" Target="https://www.cdc.gov/nchs/products/databriefs/db431.htm" TargetMode="External"/><Relationship Id="rId16" Type="http://schemas.openxmlformats.org/officeDocument/2006/relationships/hyperlink" Target="https://www.ndis.gov.au/about-us/strategies/first-nations-strategy" TargetMode="External"/><Relationship Id="rId20" Type="http://schemas.openxmlformats.org/officeDocument/2006/relationships/hyperlink" Target="https://www.earlychildhoodaustralia.org.au/our-work/inclusion-resources/" TargetMode="External"/><Relationship Id="rId29" Type="http://schemas.openxmlformats.org/officeDocument/2006/relationships/hyperlink" Target="https://www.aihw.gov.au/reports/children-youth/australias-children/contents/data-gaps/overarching-data-gaps" TargetMode="External"/><Relationship Id="rId1" Type="http://schemas.openxmlformats.org/officeDocument/2006/relationships/hyperlink" Target="https://cyda.org.au/search/details/352/report-taking-the-first-step-in-an-inclusive-life-experiences-of-australian-early-childhood-education-and-care" TargetMode="External"/><Relationship Id="rId6" Type="http://schemas.openxmlformats.org/officeDocument/2006/relationships/hyperlink" Target="https://research-repository.griffith.edu.au/handle/10072/3714" TargetMode="External"/><Relationship Id="rId11" Type="http://schemas.openxmlformats.org/officeDocument/2006/relationships/hyperlink" Target="https://doi-org.ezproxy.cqu.edu.au/10.1111/1467-8500.12310" TargetMode="External"/><Relationship Id="rId24" Type="http://schemas.openxmlformats.org/officeDocument/2006/relationships/hyperlink" Target="https://www.acecqa.gov.au/sites/default/files/2021-10/NQF_Snapshot_Q2_2020.pdf" TargetMode="External"/><Relationship Id="rId32" Type="http://schemas.openxmlformats.org/officeDocument/2006/relationships/hyperlink" Target="https://theconversation.com/suspensions-and-expulsions-could-set-our-most-vulnerable-kids-on-a-path-to-school-drop-out-drug-use-and-crime-166827" TargetMode="External"/><Relationship Id="rId37" Type="http://schemas.openxmlformats.org/officeDocument/2006/relationships/hyperlink" Target="https://aifs.gov.au/cfca/publications/understanding-safeguarding-practices-children-disability-when-engaging" TargetMode="External"/><Relationship Id="rId40" Type="http://schemas.openxmlformats.org/officeDocument/2006/relationships/hyperlink" Target="https://www.aihw.gov.au/reports/children-youth/australias-children/contents/about" TargetMode="External"/><Relationship Id="rId5" Type="http://schemas.openxmlformats.org/officeDocument/2006/relationships/hyperlink" Target="https://www.thefrontproject.org.au/policy-and-research/research-reports/supporting-all-children-to-thrive" TargetMode="External"/><Relationship Id="rId15" Type="http://schemas.openxmlformats.org/officeDocument/2006/relationships/hyperlink" Target="https://www.disabilitygateway.gov.au/sites/default/files/documents/2021-11/1786-australias-disability.pdf" TargetMode="External"/><Relationship Id="rId23" Type="http://schemas.openxmlformats.org/officeDocument/2006/relationships/hyperlink" Target="file:///C:/Users/mirandacross/Downloads/AEDC%202018%20National%20Report.pdf" TargetMode="External"/><Relationship Id="rId28" Type="http://schemas.openxmlformats.org/officeDocument/2006/relationships/hyperlink" Target="https://engage.dss.gov.au/early-years-strategy/early-years-strategy-discussion-paper/" TargetMode="External"/><Relationship Id="rId36" Type="http://schemas.openxmlformats.org/officeDocument/2006/relationships/hyperlink" Target="https://data.ndis.gov.au/reports-and-analyses/participant-groups/culturally-and-linguistically-diverse-report" TargetMode="External"/><Relationship Id="rId10" Type="http://schemas.openxmlformats.org/officeDocument/2006/relationships/hyperlink" Target="https://engage.dss.gov.au/early-years-strategy/early-years-strategy-discussion-paper/" TargetMode="External"/><Relationship Id="rId19" Type="http://schemas.openxmlformats.org/officeDocument/2006/relationships/hyperlink" Target="https://cyda.org.au/search/details/353/livedx-2022-series-full-policy-paper-tertiary-education-and-learning" TargetMode="External"/><Relationship Id="rId31" Type="http://schemas.openxmlformats.org/officeDocument/2006/relationships/hyperlink" Target="https://www.abs.gov.au/ausstats/abs@.nsf/mf/4430.0" TargetMode="External"/><Relationship Id="rId4" Type="http://schemas.openxmlformats.org/officeDocument/2006/relationships/hyperlink" Target="https://www.unicef.org/child-rights-convention/convention-text" TargetMode="External"/><Relationship Id="rId9" Type="http://schemas.openxmlformats.org/officeDocument/2006/relationships/hyperlink" Target="https://sheribyrnehaber.medium.com/are-you-ready-to-be-anti-ableist-in-2021-239103637949" TargetMode="External"/><Relationship Id="rId14" Type="http://schemas.openxmlformats.org/officeDocument/2006/relationships/hyperlink" Target="https://universaldesign.ie/what-is-universal-design/" TargetMode="External"/><Relationship Id="rId22" Type="http://schemas.openxmlformats.org/officeDocument/2006/relationships/hyperlink" Target="https://cdn.minderoo.org/content/uploads/2019/02/06102007/TB5_Time2Act_20170119_FNL_Digital-p.pdf" TargetMode="External"/><Relationship Id="rId27" Type="http://schemas.openxmlformats.org/officeDocument/2006/relationships/hyperlink" Target="https://www.disabilitygateway.gov.au/document/3106" TargetMode="External"/><Relationship Id="rId30" Type="http://schemas.openxmlformats.org/officeDocument/2006/relationships/hyperlink" Target="https://aifs.gov.au/cfca/publications/understanding-safeguarding-practices-children-disability-when-engaging" TargetMode="External"/><Relationship Id="rId35" Type="http://schemas.openxmlformats.org/officeDocument/2006/relationships/hyperlink" Target="https://www.ssi.org.au/images/stories/documents/publications/Still_Outside_the_Tent_Final.pdf" TargetMode="External"/><Relationship Id="rId8" Type="http://schemas.openxmlformats.org/officeDocument/2006/relationships/hyperlink" Target="https://documents.uow.edu.au/content/groups/public/@web/@law/@lirc/documents/doc/uow166211.pdf" TargetMode="External"/><Relationship Id="rId3" Type="http://schemas.openxmlformats.org/officeDocument/2006/relationships/hyperlink" Target="https://disability.royalcommission.gov.au/document-library"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175D8C79-473E-452A-A424-A7CA34EA055A@Home" TargetMode="External"/><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5D223E-F45B-4A47-8C4B-7FB86F8C8480}"/>
      </w:docPartPr>
      <w:docPartBody>
        <w:p w:rsidR="002D5A32" w:rsidRDefault="00BC1CE8">
          <w:r w:rsidRPr="00962780">
            <w:rPr>
              <w:rStyle w:val="PlaceholderText"/>
            </w:rPr>
            <w:t>Click or tap here to enter text.</w:t>
          </w:r>
        </w:p>
      </w:docPartBody>
    </w:docPart>
    <w:docPart>
      <w:docPartPr>
        <w:name w:val="A3692C538C5041C8A321B0E81AD6558E"/>
        <w:category>
          <w:name w:val="General"/>
          <w:gallery w:val="placeholder"/>
        </w:category>
        <w:types>
          <w:type w:val="bbPlcHdr"/>
        </w:types>
        <w:behaviors>
          <w:behavior w:val="content"/>
        </w:behaviors>
        <w:guid w:val="{15C3F9A9-1DF8-4AEF-A67D-B26FF18A40F1}"/>
      </w:docPartPr>
      <w:docPartBody>
        <w:p w:rsidR="002D5A32" w:rsidRDefault="00BC1CE8" w:rsidP="00BC1CE8">
          <w:pPr>
            <w:pStyle w:val="A3692C538C5041C8A321B0E81AD6558E"/>
          </w:pPr>
          <w:r w:rsidRPr="0096278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HelveticaNeue-Bold">
    <w:altName w:val="Arial"/>
    <w:charset w:val="4D"/>
    <w:family w:val="auto"/>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HelveticaNowText">
    <w:altName w:val="Arial"/>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CE8"/>
    <w:rsid w:val="00035D91"/>
    <w:rsid w:val="001741AF"/>
    <w:rsid w:val="002A350E"/>
    <w:rsid w:val="002D5A32"/>
    <w:rsid w:val="003A42BB"/>
    <w:rsid w:val="00406EE1"/>
    <w:rsid w:val="004406EE"/>
    <w:rsid w:val="00650D45"/>
    <w:rsid w:val="0072620F"/>
    <w:rsid w:val="007D46B0"/>
    <w:rsid w:val="00874755"/>
    <w:rsid w:val="008F5405"/>
    <w:rsid w:val="009D250C"/>
    <w:rsid w:val="009D7A2D"/>
    <w:rsid w:val="00A256BD"/>
    <w:rsid w:val="00A53F54"/>
    <w:rsid w:val="00B10E83"/>
    <w:rsid w:val="00B33979"/>
    <w:rsid w:val="00B41BCF"/>
    <w:rsid w:val="00B50AA2"/>
    <w:rsid w:val="00BC1CE8"/>
    <w:rsid w:val="00CD4B63"/>
    <w:rsid w:val="00D016F1"/>
    <w:rsid w:val="00DE3433"/>
    <w:rsid w:val="00E119FA"/>
    <w:rsid w:val="00E25D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6BD"/>
    <w:rPr>
      <w:color w:val="808080"/>
    </w:rPr>
  </w:style>
  <w:style w:type="paragraph" w:customStyle="1" w:styleId="A3692C538C5041C8A321B0E81AD6558E">
    <w:name w:val="A3692C538C5041C8A321B0E81AD6558E"/>
    <w:rsid w:val="00BC1C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85D4208B864DB8E2028671BC8CB3" ma:contentTypeVersion="16" ma:contentTypeDescription="Create a new document." ma:contentTypeScope="" ma:versionID="77c07e5687ca9aa2c1359bd3d5a9a252">
  <xsd:schema xmlns:xsd="http://www.w3.org/2001/XMLSchema" xmlns:xs="http://www.w3.org/2001/XMLSchema" xmlns:p="http://schemas.microsoft.com/office/2006/metadata/properties" xmlns:ns2="1687197d-ab52-43d2-b631-1ce3da201b2b" xmlns:ns3="f56cdae6-9e9c-4c3b-9d76-31558cb6e5c5" targetNamespace="http://schemas.microsoft.com/office/2006/metadata/properties" ma:root="true" ma:fieldsID="b2b646505775f5bbd11525d1c502064d" ns2:_="" ns3:_="">
    <xsd:import namespace="1687197d-ab52-43d2-b631-1ce3da201b2b"/>
    <xsd:import namespace="f56cdae6-9e9c-4c3b-9d76-31558cb6e5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197d-ab52-43d2-b631-1ce3da201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1099fe-c54a-4fbe-859b-b81a6ee2af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6cdae6-9e9c-4c3b-9d76-31558cb6e5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b9899d-440f-40df-9620-d72096622b29}" ma:internalName="TaxCatchAll" ma:showField="CatchAllData" ma:web="f56cdae6-9e9c-4c3b-9d76-31558cb6e5c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56cdae6-9e9c-4c3b-9d76-31558cb6e5c5" xsi:nil="true"/>
    <lcf76f155ced4ddcb4097134ff3c332f xmlns="1687197d-ab52-43d2-b631-1ce3da201b2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850BC4-C3DA-4130-8C44-D403B40AE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7197d-ab52-43d2-b631-1ce3da201b2b"/>
    <ds:schemaRef ds:uri="f56cdae6-9e9c-4c3b-9d76-31558cb6e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E31E1C-0978-4310-827C-39B6CB366DD2}">
  <ds:schemaRefs>
    <ds:schemaRef ds:uri="http://schemas.openxmlformats.org/officeDocument/2006/bibliography"/>
  </ds:schemaRefs>
</ds:datastoreItem>
</file>

<file path=customXml/itemProps3.xml><?xml version="1.0" encoding="utf-8"?>
<ds:datastoreItem xmlns:ds="http://schemas.openxmlformats.org/officeDocument/2006/customXml" ds:itemID="{BAB446C7-22D7-4EE3-9A28-8D8EC26A57EF}">
  <ds:schemaRefs>
    <ds:schemaRef ds:uri="http://schemas.microsoft.com/sharepoint/v3/contenttype/forms"/>
  </ds:schemaRefs>
</ds:datastoreItem>
</file>

<file path=customXml/itemProps4.xml><?xml version="1.0" encoding="utf-8"?>
<ds:datastoreItem xmlns:ds="http://schemas.openxmlformats.org/officeDocument/2006/customXml" ds:itemID="{B0710A44-4536-4CF5-BA12-4D4C2BC4AF5D}">
  <ds:schemaRefs>
    <ds:schemaRef ds:uri="http://schemas.microsoft.com/office/2006/metadata/properties"/>
    <ds:schemaRef ds:uri="http://schemas.microsoft.com/office/infopath/2007/PartnerControls"/>
    <ds:schemaRef ds:uri="f56cdae6-9e9c-4c3b-9d76-31558cb6e5c5"/>
    <ds:schemaRef ds:uri="1687197d-ab52-43d2-b631-1ce3da201b2b"/>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35</Pages>
  <Words>12145</Words>
  <Characters>69227</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81210</CharactersWithSpaces>
  <SharedDoc>false</SharedDoc>
  <HLinks>
    <vt:vector size="762" baseType="variant">
      <vt:variant>
        <vt:i4>4915214</vt:i4>
      </vt:variant>
      <vt:variant>
        <vt:i4>312</vt:i4>
      </vt:variant>
      <vt:variant>
        <vt:i4>0</vt:i4>
      </vt:variant>
      <vt:variant>
        <vt:i4>5</vt:i4>
      </vt:variant>
      <vt:variant>
        <vt:lpwstr>https://www.cyda.org.au/resources/details/59/addressing-ableism-in-education</vt:lpwstr>
      </vt:variant>
      <vt:variant>
        <vt:lpwstr/>
      </vt:variant>
      <vt:variant>
        <vt:i4>1441882</vt:i4>
      </vt:variant>
      <vt:variant>
        <vt:i4>309</vt:i4>
      </vt:variant>
      <vt:variant>
        <vt:i4>0</vt:i4>
      </vt:variant>
      <vt:variant>
        <vt:i4>5</vt:i4>
      </vt:variant>
      <vt:variant>
        <vt:lpwstr>https://www.cyda.org.au/resources/details/58/what-is-inclusive-education</vt:lpwstr>
      </vt:variant>
      <vt:variant>
        <vt:lpwstr/>
      </vt:variant>
      <vt:variant>
        <vt:i4>3211311</vt:i4>
      </vt:variant>
      <vt:variant>
        <vt:i4>306</vt:i4>
      </vt:variant>
      <vt:variant>
        <vt:i4>0</vt:i4>
      </vt:variant>
      <vt:variant>
        <vt:i4>5</vt:i4>
      </vt:variant>
      <vt:variant>
        <vt:lpwstr>https://www.cyda.org.au/resources/details/319/tips-for-early-intervention-from-cyda-webinar-on-early-childhood</vt:lpwstr>
      </vt:variant>
      <vt:variant>
        <vt:lpwstr/>
      </vt:variant>
      <vt:variant>
        <vt:i4>3670141</vt:i4>
      </vt:variant>
      <vt:variant>
        <vt:i4>303</vt:i4>
      </vt:variant>
      <vt:variant>
        <vt:i4>0</vt:i4>
      </vt:variant>
      <vt:variant>
        <vt:i4>5</vt:i4>
      </vt:variant>
      <vt:variant>
        <vt:lpwstr>https://www.cyda.org.au/resources/details/233/building-strong-families</vt:lpwstr>
      </vt:variant>
      <vt:variant>
        <vt:lpwstr/>
      </vt:variant>
      <vt:variant>
        <vt:i4>2687037</vt:i4>
      </vt:variant>
      <vt:variant>
        <vt:i4>300</vt:i4>
      </vt:variant>
      <vt:variant>
        <vt:i4>0</vt:i4>
      </vt:variant>
      <vt:variant>
        <vt:i4>5</vt:i4>
      </vt:variant>
      <vt:variant>
        <vt:lpwstr>https://www.cyda.org.au/resources/details/230/about-family-centred-practice</vt:lpwstr>
      </vt:variant>
      <vt:variant>
        <vt:lpwstr/>
      </vt:variant>
      <vt:variant>
        <vt:i4>3604596</vt:i4>
      </vt:variant>
      <vt:variant>
        <vt:i4>297</vt:i4>
      </vt:variant>
      <vt:variant>
        <vt:i4>0</vt:i4>
      </vt:variant>
      <vt:variant>
        <vt:i4>5</vt:i4>
      </vt:variant>
      <vt:variant>
        <vt:lpwstr>https://www.cyda.org.au/resources/details/229/services-and-supports-in-the-early-years</vt:lpwstr>
      </vt:variant>
      <vt:variant>
        <vt:lpwstr/>
      </vt:variant>
      <vt:variant>
        <vt:i4>983042</vt:i4>
      </vt:variant>
      <vt:variant>
        <vt:i4>294</vt:i4>
      </vt:variant>
      <vt:variant>
        <vt:i4>0</vt:i4>
      </vt:variant>
      <vt:variant>
        <vt:i4>5</vt:i4>
      </vt:variant>
      <vt:variant>
        <vt:lpwstr>https://www.cyda.org.au/resources/details/228/supporting-the-development-of-children-and-young-people-with-disability</vt:lpwstr>
      </vt:variant>
      <vt:variant>
        <vt:lpwstr/>
      </vt:variant>
      <vt:variant>
        <vt:i4>786496</vt:i4>
      </vt:variant>
      <vt:variant>
        <vt:i4>291</vt:i4>
      </vt:variant>
      <vt:variant>
        <vt:i4>0</vt:i4>
      </vt:variant>
      <vt:variant>
        <vt:i4>5</vt:i4>
      </vt:variant>
      <vt:variant>
        <vt:lpwstr>https://www.cyda.org.au/resources/details/227/understanding-eci-language</vt:lpwstr>
      </vt:variant>
      <vt:variant>
        <vt:lpwstr/>
      </vt:variant>
      <vt:variant>
        <vt:i4>6029333</vt:i4>
      </vt:variant>
      <vt:variant>
        <vt:i4>288</vt:i4>
      </vt:variant>
      <vt:variant>
        <vt:i4>0</vt:i4>
      </vt:variant>
      <vt:variant>
        <vt:i4>5</vt:i4>
      </vt:variant>
      <vt:variant>
        <vt:lpwstr>https://www.cyda.org.au/resources/details/266/improving-the-ndis-for-children-with-disability</vt:lpwstr>
      </vt:variant>
      <vt:variant>
        <vt:lpwstr/>
      </vt:variant>
      <vt:variant>
        <vt:i4>65542</vt:i4>
      </vt:variant>
      <vt:variant>
        <vt:i4>285</vt:i4>
      </vt:variant>
      <vt:variant>
        <vt:i4>0</vt:i4>
      </vt:variant>
      <vt:variant>
        <vt:i4>5</vt:i4>
      </vt:variant>
      <vt:variant>
        <vt:lpwstr>https://www.cyda.org.au/resources/details/271/recognising-rights-children-young-people-with-disability-forum</vt:lpwstr>
      </vt:variant>
      <vt:variant>
        <vt:lpwstr/>
      </vt:variant>
      <vt:variant>
        <vt:i4>3735611</vt:i4>
      </vt:variant>
      <vt:variant>
        <vt:i4>282</vt:i4>
      </vt:variant>
      <vt:variant>
        <vt:i4>0</vt:i4>
      </vt:variant>
      <vt:variant>
        <vt:i4>5</vt:i4>
      </vt:variant>
      <vt:variant>
        <vt:lpwstr>https://www.cyda.org.au/resources/details/240/national-youth-disability-summit-what-young-people-with-disability-said-awareness-access-and-inclusion-position-paper</vt:lpwstr>
      </vt:variant>
      <vt:variant>
        <vt:lpwstr/>
      </vt:variant>
      <vt:variant>
        <vt:i4>2949178</vt:i4>
      </vt:variant>
      <vt:variant>
        <vt:i4>279</vt:i4>
      </vt:variant>
      <vt:variant>
        <vt:i4>0</vt:i4>
      </vt:variant>
      <vt:variant>
        <vt:i4>5</vt:i4>
      </vt:variant>
      <vt:variant>
        <vt:lpwstr>https://www.cyda.org.au/resources/details/216/disability-royal-commission-response-to-rights-and-attitudes-issues-paper</vt:lpwstr>
      </vt:variant>
      <vt:variant>
        <vt:lpwstr/>
      </vt:variant>
      <vt:variant>
        <vt:i4>6553661</vt:i4>
      </vt:variant>
      <vt:variant>
        <vt:i4>276</vt:i4>
      </vt:variant>
      <vt:variant>
        <vt:i4>0</vt:i4>
      </vt:variant>
      <vt:variant>
        <vt:i4>5</vt:i4>
      </vt:variant>
      <vt:variant>
        <vt:lpwstr>https://www.cyda.org.au/resources/details/238/national-disability-strategy-beyond-2020</vt:lpwstr>
      </vt:variant>
      <vt:variant>
        <vt:lpwstr/>
      </vt:variant>
      <vt:variant>
        <vt:i4>7274532</vt:i4>
      </vt:variant>
      <vt:variant>
        <vt:i4>273</vt:i4>
      </vt:variant>
      <vt:variant>
        <vt:i4>0</vt:i4>
      </vt:variant>
      <vt:variant>
        <vt:i4>5</vt:i4>
      </vt:variant>
      <vt:variant>
        <vt:lpwstr>https://www.cyda.org.au/resources/details/294/tasmania-s-child-and-youth-wellbeing-strategy</vt:lpwstr>
      </vt:variant>
      <vt:variant>
        <vt:lpwstr/>
      </vt:variant>
      <vt:variant>
        <vt:i4>3604515</vt:i4>
      </vt:variant>
      <vt:variant>
        <vt:i4>270</vt:i4>
      </vt:variant>
      <vt:variant>
        <vt:i4>0</vt:i4>
      </vt:variant>
      <vt:variant>
        <vt:i4>5</vt:i4>
      </vt:variant>
      <vt:variant>
        <vt:lpwstr>https://www.cyda.org.au/resources/details/198/senate-select-committee-on-autism-inquiry</vt:lpwstr>
      </vt:variant>
      <vt:variant>
        <vt:lpwstr/>
      </vt:variant>
      <vt:variant>
        <vt:i4>6815791</vt:i4>
      </vt:variant>
      <vt:variant>
        <vt:i4>267</vt:i4>
      </vt:variant>
      <vt:variant>
        <vt:i4>0</vt:i4>
      </vt:variant>
      <vt:variant>
        <vt:i4>5</vt:i4>
      </vt:variant>
      <vt:variant>
        <vt:lpwstr>https://www.cyda.org.au/resources/details/349/submission-to-the-senate-inquiry-into-on-the-national-trend-of-school-refusal</vt:lpwstr>
      </vt:variant>
      <vt:variant>
        <vt:lpwstr/>
      </vt:variant>
      <vt:variant>
        <vt:i4>4390930</vt:i4>
      </vt:variant>
      <vt:variant>
        <vt:i4>264</vt:i4>
      </vt:variant>
      <vt:variant>
        <vt:i4>0</vt:i4>
      </vt:variant>
      <vt:variant>
        <vt:i4>5</vt:i4>
      </vt:variant>
      <vt:variant>
        <vt:lpwstr>https://www.cyda.org.au/resources/details/209/2020-review-of-the-disability-standards-for-education-2005</vt:lpwstr>
      </vt:variant>
      <vt:variant>
        <vt:lpwstr/>
      </vt:variant>
      <vt:variant>
        <vt:i4>4063337</vt:i4>
      </vt:variant>
      <vt:variant>
        <vt:i4>261</vt:i4>
      </vt:variant>
      <vt:variant>
        <vt:i4>0</vt:i4>
      </vt:variant>
      <vt:variant>
        <vt:i4>5</vt:i4>
      </vt:variant>
      <vt:variant>
        <vt:lpwstr>https://www.cyda.org.au/resources/details/372/cyda-s-pre-budget-submission-2023-24</vt:lpwstr>
      </vt:variant>
      <vt:variant>
        <vt:lpwstr/>
      </vt:variant>
      <vt:variant>
        <vt:i4>1572895</vt:i4>
      </vt:variant>
      <vt:variant>
        <vt:i4>258</vt:i4>
      </vt:variant>
      <vt:variant>
        <vt:i4>0</vt:i4>
      </vt:variant>
      <vt:variant>
        <vt:i4>5</vt:i4>
      </vt:variant>
      <vt:variant>
        <vt:lpwstr>https://www.cyda.org.au/resources/details/267/drive-inclusion-and-equity-for-children-and-young-people-with-disability-2021-22-pre-budget-submission</vt:lpwstr>
      </vt:variant>
      <vt:variant>
        <vt:lpwstr/>
      </vt:variant>
      <vt:variant>
        <vt:i4>5439576</vt:i4>
      </vt:variant>
      <vt:variant>
        <vt:i4>255</vt:i4>
      </vt:variant>
      <vt:variant>
        <vt:i4>0</vt:i4>
      </vt:variant>
      <vt:variant>
        <vt:i4>5</vt:i4>
      </vt:variant>
      <vt:variant>
        <vt:lpwstr>https://www.cyda.org.au/resources/details/255/nds-ndis-outcomes-framework-introductory-paper</vt:lpwstr>
      </vt:variant>
      <vt:variant>
        <vt:lpwstr/>
      </vt:variant>
      <vt:variant>
        <vt:i4>2621497</vt:i4>
      </vt:variant>
      <vt:variant>
        <vt:i4>252</vt:i4>
      </vt:variant>
      <vt:variant>
        <vt:i4>0</vt:i4>
      </vt:variant>
      <vt:variant>
        <vt:i4>5</vt:i4>
      </vt:variant>
      <vt:variant>
        <vt:lpwstr>https://www.cyda.org.au/resources/details/293/content-warning-response-to-the-national-strategy-to-prevent-child-sexual-abuse-final-development-consultation-paper</vt:lpwstr>
      </vt:variant>
      <vt:variant>
        <vt:lpwstr/>
      </vt:variant>
      <vt:variant>
        <vt:i4>8257587</vt:i4>
      </vt:variant>
      <vt:variant>
        <vt:i4>249</vt:i4>
      </vt:variant>
      <vt:variant>
        <vt:i4>0</vt:i4>
      </vt:variant>
      <vt:variant>
        <vt:i4>5</vt:i4>
      </vt:variant>
      <vt:variant>
        <vt:lpwstr>https://www.cyda.org.au/resources/details/299/national-framework-for-protecting-australia-s-children-2009-2020</vt:lpwstr>
      </vt:variant>
      <vt:variant>
        <vt:lpwstr/>
      </vt:variant>
      <vt:variant>
        <vt:i4>6225933</vt:i4>
      </vt:variant>
      <vt:variant>
        <vt:i4>246</vt:i4>
      </vt:variant>
      <vt:variant>
        <vt:i4>0</vt:i4>
      </vt:variant>
      <vt:variant>
        <vt:i4>5</vt:i4>
      </vt:variant>
      <vt:variant>
        <vt:lpwstr>https://www.cyda.org.au/resources/details/352/report-taking-the-first-step-in-an-inclusive-life-experiences-of-australian-early-childhood-education-and-care</vt:lpwstr>
      </vt:variant>
      <vt:variant>
        <vt:lpwstr/>
      </vt:variant>
      <vt:variant>
        <vt:i4>5308483</vt:i4>
      </vt:variant>
      <vt:variant>
        <vt:i4>243</vt:i4>
      </vt:variant>
      <vt:variant>
        <vt:i4>0</vt:i4>
      </vt:variant>
      <vt:variant>
        <vt:i4>5</vt:i4>
      </vt:variant>
      <vt:variant>
        <vt:lpwstr>https://www.cyda.org.au/resources/details/357/livedx-2022-series-full-policy-paper-inclusion-and-decision-making</vt:lpwstr>
      </vt:variant>
      <vt:variant>
        <vt:lpwstr/>
      </vt:variant>
      <vt:variant>
        <vt:i4>720972</vt:i4>
      </vt:variant>
      <vt:variant>
        <vt:i4>240</vt:i4>
      </vt:variant>
      <vt:variant>
        <vt:i4>0</vt:i4>
      </vt:variant>
      <vt:variant>
        <vt:i4>5</vt:i4>
      </vt:variant>
      <vt:variant>
        <vt:lpwstr>https://www.cyda.org.au/resources/details/356/livedx-2022-series-full-policy-paper-community-spaces-for-lgbtqia-youth-with-disability</vt:lpwstr>
      </vt:variant>
      <vt:variant>
        <vt:lpwstr/>
      </vt:variant>
      <vt:variant>
        <vt:i4>589916</vt:i4>
      </vt:variant>
      <vt:variant>
        <vt:i4>237</vt:i4>
      </vt:variant>
      <vt:variant>
        <vt:i4>0</vt:i4>
      </vt:variant>
      <vt:variant>
        <vt:i4>5</vt:i4>
      </vt:variant>
      <vt:variant>
        <vt:lpwstr>https://www.cyda.org.au/resources/details/355/livedx-2022-series-full-policy-paper-healthcare-settings-for-lgbtqia-youth-with-disability</vt:lpwstr>
      </vt:variant>
      <vt:variant>
        <vt:lpwstr/>
      </vt:variant>
      <vt:variant>
        <vt:i4>458760</vt:i4>
      </vt:variant>
      <vt:variant>
        <vt:i4>234</vt:i4>
      </vt:variant>
      <vt:variant>
        <vt:i4>0</vt:i4>
      </vt:variant>
      <vt:variant>
        <vt:i4>5</vt:i4>
      </vt:variant>
      <vt:variant>
        <vt:lpwstr>https://www.cyda.org.au/resources/details/354/livedx-2022-series-full-policy-paper-financial-security-and-employment</vt:lpwstr>
      </vt:variant>
      <vt:variant>
        <vt:lpwstr/>
      </vt:variant>
      <vt:variant>
        <vt:i4>3014691</vt:i4>
      </vt:variant>
      <vt:variant>
        <vt:i4>231</vt:i4>
      </vt:variant>
      <vt:variant>
        <vt:i4>0</vt:i4>
      </vt:variant>
      <vt:variant>
        <vt:i4>5</vt:i4>
      </vt:variant>
      <vt:variant>
        <vt:lpwstr>https://www.cyda.org.au/resources/details/353/livedx-2022-series-full-policy-paper-tertiary-education-and-learning</vt:lpwstr>
      </vt:variant>
      <vt:variant>
        <vt:lpwstr/>
      </vt:variant>
      <vt:variant>
        <vt:i4>3735611</vt:i4>
      </vt:variant>
      <vt:variant>
        <vt:i4>228</vt:i4>
      </vt:variant>
      <vt:variant>
        <vt:i4>0</vt:i4>
      </vt:variant>
      <vt:variant>
        <vt:i4>5</vt:i4>
      </vt:variant>
      <vt:variant>
        <vt:lpwstr>https://www.cyda.org.au/resources/details/240/national-youth-disability-summit-what-young-people-with-disability-said-awareness-access-and-inclusion-position-paper</vt:lpwstr>
      </vt:variant>
      <vt:variant>
        <vt:lpwstr/>
      </vt:variant>
      <vt:variant>
        <vt:i4>1179721</vt:i4>
      </vt:variant>
      <vt:variant>
        <vt:i4>225</vt:i4>
      </vt:variant>
      <vt:variant>
        <vt:i4>0</vt:i4>
      </vt:variant>
      <vt:variant>
        <vt:i4>5</vt:i4>
      </vt:variant>
      <vt:variant>
        <vt:lpwstr>https://www.cyda.org.au/resources/details/257/national-youth-disability-summit-what-young-people-with-disability-said-ndis-position-paper</vt:lpwstr>
      </vt:variant>
      <vt:variant>
        <vt:lpwstr/>
      </vt:variant>
      <vt:variant>
        <vt:i4>393230</vt:i4>
      </vt:variant>
      <vt:variant>
        <vt:i4>222</vt:i4>
      </vt:variant>
      <vt:variant>
        <vt:i4>0</vt:i4>
      </vt:variant>
      <vt:variant>
        <vt:i4>5</vt:i4>
      </vt:variant>
      <vt:variant>
        <vt:lpwstr>https://www.cyda.org.au/resources/details/256/national-youth-disability-summit-what-young-people-with-disability-said-mental-health-and-wellbeing-position-paper</vt:lpwstr>
      </vt:variant>
      <vt:variant>
        <vt:lpwstr/>
      </vt:variant>
      <vt:variant>
        <vt:i4>7143474</vt:i4>
      </vt:variant>
      <vt:variant>
        <vt:i4>219</vt:i4>
      </vt:variant>
      <vt:variant>
        <vt:i4>0</vt:i4>
      </vt:variant>
      <vt:variant>
        <vt:i4>5</vt:i4>
      </vt:variant>
      <vt:variant>
        <vt:lpwstr>https://www.cyda.org.au/resources/details/242/national-youth-disability-summit-what-young-people-with-disability-said-employment-position-paper</vt:lpwstr>
      </vt:variant>
      <vt:variant>
        <vt:lpwstr/>
      </vt:variant>
      <vt:variant>
        <vt:i4>7340068</vt:i4>
      </vt:variant>
      <vt:variant>
        <vt:i4>216</vt:i4>
      </vt:variant>
      <vt:variant>
        <vt:i4>0</vt:i4>
      </vt:variant>
      <vt:variant>
        <vt:i4>5</vt:i4>
      </vt:variant>
      <vt:variant>
        <vt:lpwstr>https://www.cyda.org.au/resources/details/236/national-youth-disability-summit-what-young-people-with-disability-said-education-position-paper</vt:lpwstr>
      </vt:variant>
      <vt:variant>
        <vt:lpwstr/>
      </vt:variant>
      <vt:variant>
        <vt:i4>3539067</vt:i4>
      </vt:variant>
      <vt:variant>
        <vt:i4>213</vt:i4>
      </vt:variant>
      <vt:variant>
        <vt:i4>0</vt:i4>
      </vt:variant>
      <vt:variant>
        <vt:i4>5</vt:i4>
      </vt:variant>
      <vt:variant>
        <vt:lpwstr>https://humanrights.gov.au/our-work/childrens-rights/publications/mental-health-shapes-my-life-covid-19-kids-wellbeing-2022</vt:lpwstr>
      </vt:variant>
      <vt:variant>
        <vt:lpwstr/>
      </vt:variant>
      <vt:variant>
        <vt:i4>4849738</vt:i4>
      </vt:variant>
      <vt:variant>
        <vt:i4>210</vt:i4>
      </vt:variant>
      <vt:variant>
        <vt:i4>0</vt:i4>
      </vt:variant>
      <vt:variant>
        <vt:i4>5</vt:i4>
      </vt:variant>
      <vt:variant>
        <vt:lpwstr>https://cyda.us17.list-manage.com/track/click?u=c75d12b0ea3d513c036636c7d&amp;id=626c73b7d7&amp;e=75620ff177</vt:lpwstr>
      </vt:variant>
      <vt:variant>
        <vt:lpwstr/>
      </vt:variant>
      <vt:variant>
        <vt:i4>4849738</vt:i4>
      </vt:variant>
      <vt:variant>
        <vt:i4>207</vt:i4>
      </vt:variant>
      <vt:variant>
        <vt:i4>0</vt:i4>
      </vt:variant>
      <vt:variant>
        <vt:i4>5</vt:i4>
      </vt:variant>
      <vt:variant>
        <vt:lpwstr>https://cyda.us17.list-manage.com/track/click?u=c75d12b0ea3d513c036636c7d&amp;id=626c73b7d7&amp;e=75620ff177</vt:lpwstr>
      </vt:variant>
      <vt:variant>
        <vt:lpwstr/>
      </vt:variant>
      <vt:variant>
        <vt:i4>589895</vt:i4>
      </vt:variant>
      <vt:variant>
        <vt:i4>204</vt:i4>
      </vt:variant>
      <vt:variant>
        <vt:i4>0</vt:i4>
      </vt:variant>
      <vt:variant>
        <vt:i4>5</vt:i4>
      </vt:variant>
      <vt:variant>
        <vt:lpwstr>https://www.aracy.org.au/the-nest-in-action/the-nest-overview</vt:lpwstr>
      </vt:variant>
      <vt:variant>
        <vt:lpwstr/>
      </vt:variant>
      <vt:variant>
        <vt:i4>5505035</vt:i4>
      </vt:variant>
      <vt:variant>
        <vt:i4>201</vt:i4>
      </vt:variant>
      <vt:variant>
        <vt:i4>0</vt:i4>
      </vt:variant>
      <vt:variant>
        <vt:i4>5</vt:i4>
      </vt:variant>
      <vt:variant>
        <vt:lpwstr>https://www.disabilitygateway.gov.au/ads</vt:lpwstr>
      </vt:variant>
      <vt:variant>
        <vt:lpwstr/>
      </vt:variant>
      <vt:variant>
        <vt:i4>5111830</vt:i4>
      </vt:variant>
      <vt:variant>
        <vt:i4>198</vt:i4>
      </vt:variant>
      <vt:variant>
        <vt:i4>0</vt:i4>
      </vt:variant>
      <vt:variant>
        <vt:i4>5</vt:i4>
      </vt:variant>
      <vt:variant>
        <vt:lpwstr>https://cpd.org.au/2021/11/starting-better-centre-for-policy-development/</vt:lpwstr>
      </vt:variant>
      <vt:variant>
        <vt:lpwstr/>
      </vt:variant>
      <vt:variant>
        <vt:i4>4194431</vt:i4>
      </vt:variant>
      <vt:variant>
        <vt:i4>195</vt:i4>
      </vt:variant>
      <vt:variant>
        <vt:i4>0</vt:i4>
      </vt:variant>
      <vt:variant>
        <vt:i4>5</vt:i4>
      </vt:variant>
      <vt:variant>
        <vt:lpwstr>https://www.everychild.co/the_every_child_national_wellbeing_commitment</vt:lpwstr>
      </vt:variant>
      <vt:variant>
        <vt:lpwstr/>
      </vt:variant>
      <vt:variant>
        <vt:i4>4587589</vt:i4>
      </vt:variant>
      <vt:variant>
        <vt:i4>192</vt:i4>
      </vt:variant>
      <vt:variant>
        <vt:i4>0</vt:i4>
      </vt:variant>
      <vt:variant>
        <vt:i4>5</vt:i4>
      </vt:variant>
      <vt:variant>
        <vt:lpwstr>https://thrivebyfive.org.au/</vt:lpwstr>
      </vt:variant>
      <vt:variant>
        <vt:lpwstr/>
      </vt:variant>
      <vt:variant>
        <vt:i4>2490435</vt:i4>
      </vt:variant>
      <vt:variant>
        <vt:i4>189</vt:i4>
      </vt:variant>
      <vt:variant>
        <vt:i4>0</vt:i4>
      </vt:variant>
      <vt:variant>
        <vt:i4>5</vt:i4>
      </vt:variant>
      <vt:variant>
        <vt:lpwstr>https://www.theparenthood.org.au/parents_up</vt:lpwstr>
      </vt:variant>
      <vt:variant>
        <vt:lpwstr/>
      </vt:variant>
      <vt:variant>
        <vt:i4>5505035</vt:i4>
      </vt:variant>
      <vt:variant>
        <vt:i4>186</vt:i4>
      </vt:variant>
      <vt:variant>
        <vt:i4>0</vt:i4>
      </vt:variant>
      <vt:variant>
        <vt:i4>5</vt:i4>
      </vt:variant>
      <vt:variant>
        <vt:lpwstr>https://www.disabilitygateway.gov.au/ads</vt:lpwstr>
      </vt:variant>
      <vt:variant>
        <vt:lpwstr/>
      </vt:variant>
      <vt:variant>
        <vt:i4>6946915</vt:i4>
      </vt:variant>
      <vt:variant>
        <vt:i4>183</vt:i4>
      </vt:variant>
      <vt:variant>
        <vt:i4>0</vt:i4>
      </vt:variant>
      <vt:variant>
        <vt:i4>5</vt:i4>
      </vt:variant>
      <vt:variant>
        <vt:lpwstr>https://www.disabilitygateway.gov.au/document/3146</vt:lpwstr>
      </vt:variant>
      <vt:variant>
        <vt:lpwstr/>
      </vt:variant>
      <vt:variant>
        <vt:i4>1376322</vt:i4>
      </vt:variant>
      <vt:variant>
        <vt:i4>177</vt:i4>
      </vt:variant>
      <vt:variant>
        <vt:i4>0</vt:i4>
      </vt:variant>
      <vt:variant>
        <vt:i4>5</vt:i4>
      </vt:variant>
      <vt:variant>
        <vt:lpwstr>https://www.aidr.org.au/</vt:lpwstr>
      </vt:variant>
      <vt:variant>
        <vt:lpwstr/>
      </vt:variant>
      <vt:variant>
        <vt:i4>1704027</vt:i4>
      </vt:variant>
      <vt:variant>
        <vt:i4>174</vt:i4>
      </vt:variant>
      <vt:variant>
        <vt:i4>0</vt:i4>
      </vt:variant>
      <vt:variant>
        <vt:i4>5</vt:i4>
      </vt:variant>
      <vt:variant>
        <vt:lpwstr>https://www.ndrp.org.au/</vt:lpwstr>
      </vt:variant>
      <vt:variant>
        <vt:lpwstr/>
      </vt:variant>
      <vt:variant>
        <vt:i4>6029325</vt:i4>
      </vt:variant>
      <vt:variant>
        <vt:i4>171</vt:i4>
      </vt:variant>
      <vt:variant>
        <vt:i4>0</vt:i4>
      </vt:variant>
      <vt:variant>
        <vt:i4>5</vt:i4>
      </vt:variant>
      <vt:variant>
        <vt:lpwstr>https://ndda.dss.gov.au/</vt:lpwstr>
      </vt:variant>
      <vt:variant>
        <vt:lpwstr/>
      </vt:variant>
      <vt:variant>
        <vt:i4>3342380</vt:i4>
      </vt:variant>
      <vt:variant>
        <vt:i4>168</vt:i4>
      </vt:variant>
      <vt:variant>
        <vt:i4>0</vt:i4>
      </vt:variant>
      <vt:variant>
        <vt:i4>5</vt:i4>
      </vt:variant>
      <vt:variant>
        <vt:lpwstr>https://disability.royalcommission.gov.au/document-library</vt:lpwstr>
      </vt:variant>
      <vt:variant>
        <vt:lpwstr/>
      </vt:variant>
      <vt:variant>
        <vt:i4>5046273</vt:i4>
      </vt:variant>
      <vt:variant>
        <vt:i4>165</vt:i4>
      </vt:variant>
      <vt:variant>
        <vt:i4>0</vt:i4>
      </vt:variant>
      <vt:variant>
        <vt:i4>5</vt:i4>
      </vt:variant>
      <vt:variant>
        <vt:lpwstr>https://www.education.gov.au/quality-schools-package/national-school-reform-agreement</vt:lpwstr>
      </vt:variant>
      <vt:variant>
        <vt:lpwstr/>
      </vt:variant>
      <vt:variant>
        <vt:i4>8060988</vt:i4>
      </vt:variant>
      <vt:variant>
        <vt:i4>162</vt:i4>
      </vt:variant>
      <vt:variant>
        <vt:i4>0</vt:i4>
      </vt:variant>
      <vt:variant>
        <vt:i4>5</vt:i4>
      </vt:variant>
      <vt:variant>
        <vt:lpwstr>https://www.ndisreview.gov.au/</vt:lpwstr>
      </vt:variant>
      <vt:variant>
        <vt:lpwstr/>
      </vt:variant>
      <vt:variant>
        <vt:i4>524315</vt:i4>
      </vt:variant>
      <vt:variant>
        <vt:i4>159</vt:i4>
      </vt:variant>
      <vt:variant>
        <vt:i4>0</vt:i4>
      </vt:variant>
      <vt:variant>
        <vt:i4>5</vt:i4>
      </vt:variant>
      <vt:variant>
        <vt:lpwstr>https://www.education.gov.au/disability-standards-education-2005</vt:lpwstr>
      </vt:variant>
      <vt:variant>
        <vt:lpwstr/>
      </vt:variant>
      <vt:variant>
        <vt:i4>5505035</vt:i4>
      </vt:variant>
      <vt:variant>
        <vt:i4>156</vt:i4>
      </vt:variant>
      <vt:variant>
        <vt:i4>0</vt:i4>
      </vt:variant>
      <vt:variant>
        <vt:i4>5</vt:i4>
      </vt:variant>
      <vt:variant>
        <vt:lpwstr>https://www.disabilitygateway.gov.au/ads</vt:lpwstr>
      </vt:variant>
      <vt:variant>
        <vt:lpwstr/>
      </vt:variant>
      <vt:variant>
        <vt:i4>4194304</vt:i4>
      </vt:variant>
      <vt:variant>
        <vt:i4>153</vt:i4>
      </vt:variant>
      <vt:variant>
        <vt:i4>0</vt:i4>
      </vt:variant>
      <vt:variant>
        <vt:i4>5</vt:i4>
      </vt:variant>
      <vt:variant>
        <vt:lpwstr>https://www.cyda.org.au/search/details/352/report-taking-the-first-step-in-an-inclusive-life-experiences-of-australian-early-childhood-education-and-care</vt:lpwstr>
      </vt:variant>
      <vt:variant>
        <vt:lpwstr/>
      </vt:variant>
      <vt:variant>
        <vt:i4>3866664</vt:i4>
      </vt:variant>
      <vt:variant>
        <vt:i4>150</vt:i4>
      </vt:variant>
      <vt:variant>
        <vt:i4>0</vt:i4>
      </vt:variant>
      <vt:variant>
        <vt:i4>5</vt:i4>
      </vt:variant>
      <vt:variant>
        <vt:lpwstr>https://playgroupaustralia.org.au/playgroup-statement/</vt:lpwstr>
      </vt:variant>
      <vt:variant>
        <vt:lpwstr/>
      </vt:variant>
      <vt:variant>
        <vt:i4>2621542</vt:i4>
      </vt:variant>
      <vt:variant>
        <vt:i4>147</vt:i4>
      </vt:variant>
      <vt:variant>
        <vt:i4>0</vt:i4>
      </vt:variant>
      <vt:variant>
        <vt:i4>5</vt:i4>
      </vt:variant>
      <vt:variant>
        <vt:lpwstr>https://cdn.minderoo.org/content/uploads/2019/02/06102007/TB5_Time2Act_20170119_FNL_Digital-p.pdf</vt:lpwstr>
      </vt:variant>
      <vt:variant>
        <vt:lpwstr/>
      </vt:variant>
      <vt:variant>
        <vt:i4>3014697</vt:i4>
      </vt:variant>
      <vt:variant>
        <vt:i4>144</vt:i4>
      </vt:variant>
      <vt:variant>
        <vt:i4>0</vt:i4>
      </vt:variant>
      <vt:variant>
        <vt:i4>5</vt:i4>
      </vt:variant>
      <vt:variant>
        <vt:lpwstr>https://www.earlychildhoodaustralia.org.au/</vt:lpwstr>
      </vt:variant>
      <vt:variant>
        <vt:lpwstr/>
      </vt:variant>
      <vt:variant>
        <vt:i4>1507356</vt:i4>
      </vt:variant>
      <vt:variant>
        <vt:i4>141</vt:i4>
      </vt:variant>
      <vt:variant>
        <vt:i4>0</vt:i4>
      </vt:variant>
      <vt:variant>
        <vt:i4>5</vt:i4>
      </vt:variant>
      <vt:variant>
        <vt:lpwstr>https://www.earlychildhoodaustralia.org.au/our-work/eca-year-of-play/</vt:lpwstr>
      </vt:variant>
      <vt:variant>
        <vt:lpwstr/>
      </vt:variant>
      <vt:variant>
        <vt:i4>1572934</vt:i4>
      </vt:variant>
      <vt:variant>
        <vt:i4>138</vt:i4>
      </vt:variant>
      <vt:variant>
        <vt:i4>0</vt:i4>
      </vt:variant>
      <vt:variant>
        <vt:i4>5</vt:i4>
      </vt:variant>
      <vt:variant>
        <vt:lpwstr>https://www.earlychildhoodaustralia.org.au/our-work/inclusion-resources/</vt:lpwstr>
      </vt:variant>
      <vt:variant>
        <vt:lpwstr/>
      </vt:variant>
      <vt:variant>
        <vt:i4>2818171</vt:i4>
      </vt:variant>
      <vt:variant>
        <vt:i4>135</vt:i4>
      </vt:variant>
      <vt:variant>
        <vt:i4>0</vt:i4>
      </vt:variant>
      <vt:variant>
        <vt:i4>5</vt:i4>
      </vt:variant>
      <vt:variant>
        <vt:lpwstr>https://www.aracy.org.au/projects/the-nest</vt:lpwstr>
      </vt:variant>
      <vt:variant>
        <vt:lpwstr/>
      </vt:variant>
      <vt:variant>
        <vt:i4>3080306</vt:i4>
      </vt:variant>
      <vt:variant>
        <vt:i4>132</vt:i4>
      </vt:variant>
      <vt:variant>
        <vt:i4>0</vt:i4>
      </vt:variant>
      <vt:variant>
        <vt:i4>5</vt:i4>
      </vt:variant>
      <vt:variant>
        <vt:lpwstr>https://www.cyda.org.au/resources/details/368/how-to-make-education-better-easy-english-version-of-the-acie-roadmap-achieving-inclusive-education-in-australia</vt:lpwstr>
      </vt:variant>
      <vt:variant>
        <vt:lpwstr/>
      </vt:variant>
      <vt:variant>
        <vt:i4>5308495</vt:i4>
      </vt:variant>
      <vt:variant>
        <vt:i4>128</vt:i4>
      </vt:variant>
      <vt:variant>
        <vt:i4>0</vt:i4>
      </vt:variant>
      <vt:variant>
        <vt:i4>5</vt:i4>
      </vt:variant>
      <vt:variant>
        <vt:lpwstr>https://acie.org.au/</vt:lpwstr>
      </vt:variant>
      <vt:variant>
        <vt:lpwstr/>
      </vt:variant>
      <vt:variant>
        <vt:i4>4063292</vt:i4>
      </vt:variant>
      <vt:variant>
        <vt:i4>126</vt:i4>
      </vt:variant>
      <vt:variant>
        <vt:i4>0</vt:i4>
      </vt:variant>
      <vt:variant>
        <vt:i4>5</vt:i4>
      </vt:variant>
      <vt:variant>
        <vt:lpwstr>https://acie.org.au/2020/07/14/driving-change-a-roadmap-for-achieving-inclusive-education-in-australia/</vt:lpwstr>
      </vt:variant>
      <vt:variant>
        <vt:lpwstr/>
      </vt:variant>
      <vt:variant>
        <vt:i4>589839</vt:i4>
      </vt:variant>
      <vt:variant>
        <vt:i4>123</vt:i4>
      </vt:variant>
      <vt:variant>
        <vt:i4>0</vt:i4>
      </vt:variant>
      <vt:variant>
        <vt:i4>5</vt:i4>
      </vt:variant>
      <vt:variant>
        <vt:lpwstr>https://www.cyda.org.au/resources/details/269/end-segregation-campaign-and-position-paper-on-segregation</vt:lpwstr>
      </vt:variant>
      <vt:variant>
        <vt:lpwstr/>
      </vt:variant>
      <vt:variant>
        <vt:i4>5111830</vt:i4>
      </vt:variant>
      <vt:variant>
        <vt:i4>120</vt:i4>
      </vt:variant>
      <vt:variant>
        <vt:i4>0</vt:i4>
      </vt:variant>
      <vt:variant>
        <vt:i4>5</vt:i4>
      </vt:variant>
      <vt:variant>
        <vt:lpwstr>https://cpd.org.au/2021/11/starting-better-centre-for-policy-development/</vt:lpwstr>
      </vt:variant>
      <vt:variant>
        <vt:lpwstr/>
      </vt:variant>
      <vt:variant>
        <vt:i4>4194431</vt:i4>
      </vt:variant>
      <vt:variant>
        <vt:i4>117</vt:i4>
      </vt:variant>
      <vt:variant>
        <vt:i4>0</vt:i4>
      </vt:variant>
      <vt:variant>
        <vt:i4>5</vt:i4>
      </vt:variant>
      <vt:variant>
        <vt:lpwstr>https://www.everychild.co/the_every_child_national_wellbeing_commitment</vt:lpwstr>
      </vt:variant>
      <vt:variant>
        <vt:lpwstr/>
      </vt:variant>
      <vt:variant>
        <vt:i4>4587589</vt:i4>
      </vt:variant>
      <vt:variant>
        <vt:i4>114</vt:i4>
      </vt:variant>
      <vt:variant>
        <vt:i4>0</vt:i4>
      </vt:variant>
      <vt:variant>
        <vt:i4>5</vt:i4>
      </vt:variant>
      <vt:variant>
        <vt:lpwstr>https://thrivebyfive.org.au/</vt:lpwstr>
      </vt:variant>
      <vt:variant>
        <vt:lpwstr/>
      </vt:variant>
      <vt:variant>
        <vt:i4>2490435</vt:i4>
      </vt:variant>
      <vt:variant>
        <vt:i4>111</vt:i4>
      </vt:variant>
      <vt:variant>
        <vt:i4>0</vt:i4>
      </vt:variant>
      <vt:variant>
        <vt:i4>5</vt:i4>
      </vt:variant>
      <vt:variant>
        <vt:lpwstr>https://www.theparenthood.org.au/parents_up</vt:lpwstr>
      </vt:variant>
      <vt:variant>
        <vt:lpwstr/>
      </vt:variant>
      <vt:variant>
        <vt:i4>5505035</vt:i4>
      </vt:variant>
      <vt:variant>
        <vt:i4>108</vt:i4>
      </vt:variant>
      <vt:variant>
        <vt:i4>0</vt:i4>
      </vt:variant>
      <vt:variant>
        <vt:i4>5</vt:i4>
      </vt:variant>
      <vt:variant>
        <vt:lpwstr>https://www.disabilitygateway.gov.au/ads</vt:lpwstr>
      </vt:variant>
      <vt:variant>
        <vt:lpwstr/>
      </vt:variant>
      <vt:variant>
        <vt:i4>6946915</vt:i4>
      </vt:variant>
      <vt:variant>
        <vt:i4>105</vt:i4>
      </vt:variant>
      <vt:variant>
        <vt:i4>0</vt:i4>
      </vt:variant>
      <vt:variant>
        <vt:i4>5</vt:i4>
      </vt:variant>
      <vt:variant>
        <vt:lpwstr>https://www.disabilitygateway.gov.au/document/3146</vt:lpwstr>
      </vt:variant>
      <vt:variant>
        <vt:lpwstr/>
      </vt:variant>
      <vt:variant>
        <vt:i4>1900603</vt:i4>
      </vt:variant>
      <vt:variant>
        <vt:i4>98</vt:i4>
      </vt:variant>
      <vt:variant>
        <vt:i4>0</vt:i4>
      </vt:variant>
      <vt:variant>
        <vt:i4>5</vt:i4>
      </vt:variant>
      <vt:variant>
        <vt:lpwstr/>
      </vt:variant>
      <vt:variant>
        <vt:lpwstr>_Toc133389138</vt:lpwstr>
      </vt:variant>
      <vt:variant>
        <vt:i4>1900603</vt:i4>
      </vt:variant>
      <vt:variant>
        <vt:i4>92</vt:i4>
      </vt:variant>
      <vt:variant>
        <vt:i4>0</vt:i4>
      </vt:variant>
      <vt:variant>
        <vt:i4>5</vt:i4>
      </vt:variant>
      <vt:variant>
        <vt:lpwstr/>
      </vt:variant>
      <vt:variant>
        <vt:lpwstr>_Toc133389137</vt:lpwstr>
      </vt:variant>
      <vt:variant>
        <vt:i4>1900603</vt:i4>
      </vt:variant>
      <vt:variant>
        <vt:i4>86</vt:i4>
      </vt:variant>
      <vt:variant>
        <vt:i4>0</vt:i4>
      </vt:variant>
      <vt:variant>
        <vt:i4>5</vt:i4>
      </vt:variant>
      <vt:variant>
        <vt:lpwstr/>
      </vt:variant>
      <vt:variant>
        <vt:lpwstr>_Toc133389136</vt:lpwstr>
      </vt:variant>
      <vt:variant>
        <vt:i4>1900603</vt:i4>
      </vt:variant>
      <vt:variant>
        <vt:i4>80</vt:i4>
      </vt:variant>
      <vt:variant>
        <vt:i4>0</vt:i4>
      </vt:variant>
      <vt:variant>
        <vt:i4>5</vt:i4>
      </vt:variant>
      <vt:variant>
        <vt:lpwstr/>
      </vt:variant>
      <vt:variant>
        <vt:lpwstr>_Toc133389135</vt:lpwstr>
      </vt:variant>
      <vt:variant>
        <vt:i4>1900603</vt:i4>
      </vt:variant>
      <vt:variant>
        <vt:i4>74</vt:i4>
      </vt:variant>
      <vt:variant>
        <vt:i4>0</vt:i4>
      </vt:variant>
      <vt:variant>
        <vt:i4>5</vt:i4>
      </vt:variant>
      <vt:variant>
        <vt:lpwstr/>
      </vt:variant>
      <vt:variant>
        <vt:lpwstr>_Toc133389134</vt:lpwstr>
      </vt:variant>
      <vt:variant>
        <vt:i4>1900603</vt:i4>
      </vt:variant>
      <vt:variant>
        <vt:i4>68</vt:i4>
      </vt:variant>
      <vt:variant>
        <vt:i4>0</vt:i4>
      </vt:variant>
      <vt:variant>
        <vt:i4>5</vt:i4>
      </vt:variant>
      <vt:variant>
        <vt:lpwstr/>
      </vt:variant>
      <vt:variant>
        <vt:lpwstr>_Toc133389133</vt:lpwstr>
      </vt:variant>
      <vt:variant>
        <vt:i4>1900603</vt:i4>
      </vt:variant>
      <vt:variant>
        <vt:i4>62</vt:i4>
      </vt:variant>
      <vt:variant>
        <vt:i4>0</vt:i4>
      </vt:variant>
      <vt:variant>
        <vt:i4>5</vt:i4>
      </vt:variant>
      <vt:variant>
        <vt:lpwstr/>
      </vt:variant>
      <vt:variant>
        <vt:lpwstr>_Toc133389132</vt:lpwstr>
      </vt:variant>
      <vt:variant>
        <vt:i4>1900603</vt:i4>
      </vt:variant>
      <vt:variant>
        <vt:i4>56</vt:i4>
      </vt:variant>
      <vt:variant>
        <vt:i4>0</vt:i4>
      </vt:variant>
      <vt:variant>
        <vt:i4>5</vt:i4>
      </vt:variant>
      <vt:variant>
        <vt:lpwstr/>
      </vt:variant>
      <vt:variant>
        <vt:lpwstr>_Toc133389131</vt:lpwstr>
      </vt:variant>
      <vt:variant>
        <vt:i4>1900603</vt:i4>
      </vt:variant>
      <vt:variant>
        <vt:i4>50</vt:i4>
      </vt:variant>
      <vt:variant>
        <vt:i4>0</vt:i4>
      </vt:variant>
      <vt:variant>
        <vt:i4>5</vt:i4>
      </vt:variant>
      <vt:variant>
        <vt:lpwstr/>
      </vt:variant>
      <vt:variant>
        <vt:lpwstr>_Toc133389130</vt:lpwstr>
      </vt:variant>
      <vt:variant>
        <vt:i4>1835067</vt:i4>
      </vt:variant>
      <vt:variant>
        <vt:i4>44</vt:i4>
      </vt:variant>
      <vt:variant>
        <vt:i4>0</vt:i4>
      </vt:variant>
      <vt:variant>
        <vt:i4>5</vt:i4>
      </vt:variant>
      <vt:variant>
        <vt:lpwstr/>
      </vt:variant>
      <vt:variant>
        <vt:lpwstr>_Toc133389129</vt:lpwstr>
      </vt:variant>
      <vt:variant>
        <vt:i4>1835067</vt:i4>
      </vt:variant>
      <vt:variant>
        <vt:i4>38</vt:i4>
      </vt:variant>
      <vt:variant>
        <vt:i4>0</vt:i4>
      </vt:variant>
      <vt:variant>
        <vt:i4>5</vt:i4>
      </vt:variant>
      <vt:variant>
        <vt:lpwstr/>
      </vt:variant>
      <vt:variant>
        <vt:lpwstr>_Toc133389128</vt:lpwstr>
      </vt:variant>
      <vt:variant>
        <vt:i4>1835067</vt:i4>
      </vt:variant>
      <vt:variant>
        <vt:i4>32</vt:i4>
      </vt:variant>
      <vt:variant>
        <vt:i4>0</vt:i4>
      </vt:variant>
      <vt:variant>
        <vt:i4>5</vt:i4>
      </vt:variant>
      <vt:variant>
        <vt:lpwstr/>
      </vt:variant>
      <vt:variant>
        <vt:lpwstr>_Toc133389127</vt:lpwstr>
      </vt:variant>
      <vt:variant>
        <vt:i4>1835067</vt:i4>
      </vt:variant>
      <vt:variant>
        <vt:i4>26</vt:i4>
      </vt:variant>
      <vt:variant>
        <vt:i4>0</vt:i4>
      </vt:variant>
      <vt:variant>
        <vt:i4>5</vt:i4>
      </vt:variant>
      <vt:variant>
        <vt:lpwstr/>
      </vt:variant>
      <vt:variant>
        <vt:lpwstr>_Toc133389126</vt:lpwstr>
      </vt:variant>
      <vt:variant>
        <vt:i4>1835067</vt:i4>
      </vt:variant>
      <vt:variant>
        <vt:i4>20</vt:i4>
      </vt:variant>
      <vt:variant>
        <vt:i4>0</vt:i4>
      </vt:variant>
      <vt:variant>
        <vt:i4>5</vt:i4>
      </vt:variant>
      <vt:variant>
        <vt:lpwstr/>
      </vt:variant>
      <vt:variant>
        <vt:lpwstr>_Toc133389125</vt:lpwstr>
      </vt:variant>
      <vt:variant>
        <vt:i4>1835067</vt:i4>
      </vt:variant>
      <vt:variant>
        <vt:i4>14</vt:i4>
      </vt:variant>
      <vt:variant>
        <vt:i4>0</vt:i4>
      </vt:variant>
      <vt:variant>
        <vt:i4>5</vt:i4>
      </vt:variant>
      <vt:variant>
        <vt:lpwstr/>
      </vt:variant>
      <vt:variant>
        <vt:lpwstr>_Toc133389124</vt:lpwstr>
      </vt:variant>
      <vt:variant>
        <vt:i4>1835067</vt:i4>
      </vt:variant>
      <vt:variant>
        <vt:i4>8</vt:i4>
      </vt:variant>
      <vt:variant>
        <vt:i4>0</vt:i4>
      </vt:variant>
      <vt:variant>
        <vt:i4>5</vt:i4>
      </vt:variant>
      <vt:variant>
        <vt:lpwstr/>
      </vt:variant>
      <vt:variant>
        <vt:lpwstr>_Toc133389123</vt:lpwstr>
      </vt:variant>
      <vt:variant>
        <vt:i4>2818081</vt:i4>
      </vt:variant>
      <vt:variant>
        <vt:i4>3</vt:i4>
      </vt:variant>
      <vt:variant>
        <vt:i4>0</vt:i4>
      </vt:variant>
      <vt:variant>
        <vt:i4>5</vt:i4>
      </vt:variant>
      <vt:variant>
        <vt:lpwstr>http://www.cyda.org.au/</vt:lpwstr>
      </vt:variant>
      <vt:variant>
        <vt:lpwstr/>
      </vt:variant>
      <vt:variant>
        <vt:i4>5832753</vt:i4>
      </vt:variant>
      <vt:variant>
        <vt:i4>0</vt:i4>
      </vt:variant>
      <vt:variant>
        <vt:i4>0</vt:i4>
      </vt:variant>
      <vt:variant>
        <vt:i4>5</vt:i4>
      </vt:variant>
      <vt:variant>
        <vt:lpwstr>mailto:skye@cyda.org.au</vt:lpwstr>
      </vt:variant>
      <vt:variant>
        <vt:lpwstr/>
      </vt:variant>
      <vt:variant>
        <vt:i4>5767188</vt:i4>
      </vt:variant>
      <vt:variant>
        <vt:i4>117</vt:i4>
      </vt:variant>
      <vt:variant>
        <vt:i4>0</vt:i4>
      </vt:variant>
      <vt:variant>
        <vt:i4>5</vt:i4>
      </vt:variant>
      <vt:variant>
        <vt:lpwstr>https://www.aihw.gov.au/reports/children-youth/australias-children/contents/about</vt:lpwstr>
      </vt:variant>
      <vt:variant>
        <vt:lpwstr/>
      </vt:variant>
      <vt:variant>
        <vt:i4>3539067</vt:i4>
      </vt:variant>
      <vt:variant>
        <vt:i4>114</vt:i4>
      </vt:variant>
      <vt:variant>
        <vt:i4>0</vt:i4>
      </vt:variant>
      <vt:variant>
        <vt:i4>5</vt:i4>
      </vt:variant>
      <vt:variant>
        <vt:lpwstr>https://humanrights.gov.au/our-work/childrens-rights/publications/mental-health-shapes-my-life-covid-19-kids-wellbeing-2022</vt:lpwstr>
      </vt:variant>
      <vt:variant>
        <vt:lpwstr/>
      </vt:variant>
      <vt:variant>
        <vt:i4>2752556</vt:i4>
      </vt:variant>
      <vt:variant>
        <vt:i4>111</vt:i4>
      </vt:variant>
      <vt:variant>
        <vt:i4>0</vt:i4>
      </vt:variant>
      <vt:variant>
        <vt:i4>5</vt:i4>
      </vt:variant>
      <vt:variant>
        <vt:lpwstr>https://www.aihw.gov.au/reports/children-youth/australias-children/contents/data-gaps/improve-evidence</vt:lpwstr>
      </vt:variant>
      <vt:variant>
        <vt:lpwstr/>
      </vt:variant>
      <vt:variant>
        <vt:i4>5111878</vt:i4>
      </vt:variant>
      <vt:variant>
        <vt:i4>108</vt:i4>
      </vt:variant>
      <vt:variant>
        <vt:i4>0</vt:i4>
      </vt:variant>
      <vt:variant>
        <vt:i4>5</vt:i4>
      </vt:variant>
      <vt:variant>
        <vt:lpwstr>https://aifs.gov.au/cfca/publications/understanding-safeguarding-practices-children-disability-when-engaging</vt:lpwstr>
      </vt:variant>
      <vt:variant>
        <vt:lpwstr/>
      </vt:variant>
      <vt:variant>
        <vt:i4>65554</vt:i4>
      </vt:variant>
      <vt:variant>
        <vt:i4>105</vt:i4>
      </vt:variant>
      <vt:variant>
        <vt:i4>0</vt:i4>
      </vt:variant>
      <vt:variant>
        <vt:i4>5</vt:i4>
      </vt:variant>
      <vt:variant>
        <vt:lpwstr>https://data.ndis.gov.au/reports-and-analyses/participant-groups/culturally-and-linguistically-diverse-report</vt:lpwstr>
      </vt:variant>
      <vt:variant>
        <vt:lpwstr/>
      </vt:variant>
      <vt:variant>
        <vt:i4>7536750</vt:i4>
      </vt:variant>
      <vt:variant>
        <vt:i4>102</vt:i4>
      </vt:variant>
      <vt:variant>
        <vt:i4>0</vt:i4>
      </vt:variant>
      <vt:variant>
        <vt:i4>5</vt:i4>
      </vt:variant>
      <vt:variant>
        <vt:lpwstr>https://www.ssi.org.au/images/stories/documents/publications/Still_Outside_the_Tent_Final.pdf</vt:lpwstr>
      </vt:variant>
      <vt:variant>
        <vt:lpwstr/>
      </vt:variant>
      <vt:variant>
        <vt:i4>5701684</vt:i4>
      </vt:variant>
      <vt:variant>
        <vt:i4>99</vt:i4>
      </vt:variant>
      <vt:variant>
        <vt:i4>0</vt:i4>
      </vt:variant>
      <vt:variant>
        <vt:i4>5</vt:i4>
      </vt:variant>
      <vt:variant>
        <vt:lpwstr>https://www.abs.gov.au/ausstats/abs@.nsf/mf/4715.0</vt:lpwstr>
      </vt:variant>
      <vt:variant>
        <vt:lpwstr/>
      </vt:variant>
      <vt:variant>
        <vt:i4>5308470</vt:i4>
      </vt:variant>
      <vt:variant>
        <vt:i4>96</vt:i4>
      </vt:variant>
      <vt:variant>
        <vt:i4>0</vt:i4>
      </vt:variant>
      <vt:variant>
        <vt:i4>5</vt:i4>
      </vt:variant>
      <vt:variant>
        <vt:lpwstr>https://www.abs.gov.au/ausstats/abs@.nsf/mf/4430.0</vt:lpwstr>
      </vt:variant>
      <vt:variant>
        <vt:lpwstr/>
      </vt:variant>
      <vt:variant>
        <vt:i4>4390933</vt:i4>
      </vt:variant>
      <vt:variant>
        <vt:i4>93</vt:i4>
      </vt:variant>
      <vt:variant>
        <vt:i4>0</vt:i4>
      </vt:variant>
      <vt:variant>
        <vt:i4>5</vt:i4>
      </vt:variant>
      <vt:variant>
        <vt:lpwstr>https://theconversation.com/suspensions-and-expulsions-could-set-our-most-vulnerable-kids-on-a-path-to-school-drop-out-drug-use-and-crime-166827</vt:lpwstr>
      </vt:variant>
      <vt:variant>
        <vt:lpwstr/>
      </vt:variant>
      <vt:variant>
        <vt:i4>5308470</vt:i4>
      </vt:variant>
      <vt:variant>
        <vt:i4>90</vt:i4>
      </vt:variant>
      <vt:variant>
        <vt:i4>0</vt:i4>
      </vt:variant>
      <vt:variant>
        <vt:i4>5</vt:i4>
      </vt:variant>
      <vt:variant>
        <vt:lpwstr>https://www.abs.gov.au/ausstats/abs@.nsf/mf/4430.0</vt:lpwstr>
      </vt:variant>
      <vt:variant>
        <vt:lpwstr/>
      </vt:variant>
      <vt:variant>
        <vt:i4>5111878</vt:i4>
      </vt:variant>
      <vt:variant>
        <vt:i4>87</vt:i4>
      </vt:variant>
      <vt:variant>
        <vt:i4>0</vt:i4>
      </vt:variant>
      <vt:variant>
        <vt:i4>5</vt:i4>
      </vt:variant>
      <vt:variant>
        <vt:lpwstr>https://aifs.gov.au/cfca/publications/understanding-safeguarding-practices-children-disability-when-engaging</vt:lpwstr>
      </vt:variant>
      <vt:variant>
        <vt:lpwstr/>
      </vt:variant>
      <vt:variant>
        <vt:i4>3997807</vt:i4>
      </vt:variant>
      <vt:variant>
        <vt:i4>84</vt:i4>
      </vt:variant>
      <vt:variant>
        <vt:i4>0</vt:i4>
      </vt:variant>
      <vt:variant>
        <vt:i4>5</vt:i4>
      </vt:variant>
      <vt:variant>
        <vt:lpwstr>https://www.aihw.gov.au/reports/children-youth/australias-children/contents/data-gaps/overarching-data-gaps</vt:lpwstr>
      </vt:variant>
      <vt:variant>
        <vt:lpwstr/>
      </vt:variant>
      <vt:variant>
        <vt:i4>1441822</vt:i4>
      </vt:variant>
      <vt:variant>
        <vt:i4>81</vt:i4>
      </vt:variant>
      <vt:variant>
        <vt:i4>0</vt:i4>
      </vt:variant>
      <vt:variant>
        <vt:i4>5</vt:i4>
      </vt:variant>
      <vt:variant>
        <vt:lpwstr>https://engage.dss.gov.au/early-years-strategy/early-years-strategy-discussion-paper/</vt:lpwstr>
      </vt:variant>
      <vt:variant>
        <vt:lpwstr/>
      </vt:variant>
      <vt:variant>
        <vt:i4>3538993</vt:i4>
      </vt:variant>
      <vt:variant>
        <vt:i4>78</vt:i4>
      </vt:variant>
      <vt:variant>
        <vt:i4>0</vt:i4>
      </vt:variant>
      <vt:variant>
        <vt:i4>5</vt:i4>
      </vt:variant>
      <vt:variant>
        <vt:lpwstr>https://www.unicef.org/child-rights-convention/convention-text</vt:lpwstr>
      </vt:variant>
      <vt:variant>
        <vt:lpwstr/>
      </vt:variant>
      <vt:variant>
        <vt:i4>6946919</vt:i4>
      </vt:variant>
      <vt:variant>
        <vt:i4>75</vt:i4>
      </vt:variant>
      <vt:variant>
        <vt:i4>0</vt:i4>
      </vt:variant>
      <vt:variant>
        <vt:i4>5</vt:i4>
      </vt:variant>
      <vt:variant>
        <vt:lpwstr>https://www.disabilitygateway.gov.au/document/3106</vt:lpwstr>
      </vt:variant>
      <vt:variant>
        <vt:lpwstr/>
      </vt:variant>
      <vt:variant>
        <vt:i4>6225993</vt:i4>
      </vt:variant>
      <vt:variant>
        <vt:i4>72</vt:i4>
      </vt:variant>
      <vt:variant>
        <vt:i4>0</vt:i4>
      </vt:variant>
      <vt:variant>
        <vt:i4>5</vt:i4>
      </vt:variant>
      <vt:variant>
        <vt:lpwstr>https://www.cyda.org.au/resources/details/161/more-than-isolated-the-experience-of-children-and-young-people-with-disability-and-their-families-during-the-covid-19-pandemic</vt:lpwstr>
      </vt:variant>
      <vt:variant>
        <vt:lpwstr/>
      </vt:variant>
      <vt:variant>
        <vt:i4>1310784</vt:i4>
      </vt:variant>
      <vt:variant>
        <vt:i4>69</vt:i4>
      </vt:variant>
      <vt:variant>
        <vt:i4>0</vt:i4>
      </vt:variant>
      <vt:variant>
        <vt:i4>5</vt:i4>
      </vt:variant>
      <vt:variant>
        <vt:lpwstr>https://findanexpert.unimelb.edu.au/news/2810-hilda-findings-on-australian-families'-experience-of-childcare-should-be-a-call-to-arms-for-government</vt:lpwstr>
      </vt:variant>
      <vt:variant>
        <vt:lpwstr/>
      </vt:variant>
      <vt:variant>
        <vt:i4>3801117</vt:i4>
      </vt:variant>
      <vt:variant>
        <vt:i4>66</vt:i4>
      </vt:variant>
      <vt:variant>
        <vt:i4>0</vt:i4>
      </vt:variant>
      <vt:variant>
        <vt:i4>5</vt:i4>
      </vt:variant>
      <vt:variant>
        <vt:lpwstr>https://www.acecqa.gov.au/sites/default/files/2021-10/NQF_Snapshot_Q2_2020.pdf</vt:lpwstr>
      </vt:variant>
      <vt:variant>
        <vt:lpwstr/>
      </vt:variant>
      <vt:variant>
        <vt:i4>5701643</vt:i4>
      </vt:variant>
      <vt:variant>
        <vt:i4>63</vt:i4>
      </vt:variant>
      <vt:variant>
        <vt:i4>0</vt:i4>
      </vt:variant>
      <vt:variant>
        <vt:i4>5</vt:i4>
      </vt:variant>
      <vt:variant>
        <vt:lpwstr>C:\Users\mirandacross\Downloads\AEDC 2018 National Report.pdf</vt:lpwstr>
      </vt:variant>
      <vt:variant>
        <vt:lpwstr/>
      </vt:variant>
      <vt:variant>
        <vt:i4>2621542</vt:i4>
      </vt:variant>
      <vt:variant>
        <vt:i4>60</vt:i4>
      </vt:variant>
      <vt:variant>
        <vt:i4>0</vt:i4>
      </vt:variant>
      <vt:variant>
        <vt:i4>5</vt:i4>
      </vt:variant>
      <vt:variant>
        <vt:lpwstr>https://cdn.minderoo.org/content/uploads/2019/02/06102007/TB5_Time2Act_20170119_FNL_Digital-p.pdf</vt:lpwstr>
      </vt:variant>
      <vt:variant>
        <vt:lpwstr/>
      </vt:variant>
      <vt:variant>
        <vt:i4>5308504</vt:i4>
      </vt:variant>
      <vt:variant>
        <vt:i4>57</vt:i4>
      </vt:variant>
      <vt:variant>
        <vt:i4>0</vt:i4>
      </vt:variant>
      <vt:variant>
        <vt:i4>5</vt:i4>
      </vt:variant>
      <vt:variant>
        <vt:lpwstr>https://www.earlyyearscatalyst.org.au/field-insights/</vt:lpwstr>
      </vt:variant>
      <vt:variant>
        <vt:lpwstr/>
      </vt:variant>
      <vt:variant>
        <vt:i4>1572934</vt:i4>
      </vt:variant>
      <vt:variant>
        <vt:i4>54</vt:i4>
      </vt:variant>
      <vt:variant>
        <vt:i4>0</vt:i4>
      </vt:variant>
      <vt:variant>
        <vt:i4>5</vt:i4>
      </vt:variant>
      <vt:variant>
        <vt:lpwstr>https://www.earlychildhoodaustralia.org.au/our-work/inclusion-resources/</vt:lpwstr>
      </vt:variant>
      <vt:variant>
        <vt:lpwstr/>
      </vt:variant>
      <vt:variant>
        <vt:i4>3604595</vt:i4>
      </vt:variant>
      <vt:variant>
        <vt:i4>51</vt:i4>
      </vt:variant>
      <vt:variant>
        <vt:i4>0</vt:i4>
      </vt:variant>
      <vt:variant>
        <vt:i4>5</vt:i4>
      </vt:variant>
      <vt:variant>
        <vt:lpwstr>https://cyda.org.au/search/details/353/livedx-2022-series-full-policy-paper-tertiary-education-and-learning</vt:lpwstr>
      </vt:variant>
      <vt:variant>
        <vt:lpwstr/>
      </vt:variant>
      <vt:variant>
        <vt:i4>5242910</vt:i4>
      </vt:variant>
      <vt:variant>
        <vt:i4>48</vt:i4>
      </vt:variant>
      <vt:variant>
        <vt:i4>0</vt:i4>
      </vt:variant>
      <vt:variant>
        <vt:i4>5</vt:i4>
      </vt:variant>
      <vt:variant>
        <vt:lpwstr>https://universaldesign.ie/what-is-universal-design/</vt:lpwstr>
      </vt:variant>
      <vt:variant>
        <vt:lpwstr/>
      </vt:variant>
      <vt:variant>
        <vt:i4>4325449</vt:i4>
      </vt:variant>
      <vt:variant>
        <vt:i4>45</vt:i4>
      </vt:variant>
      <vt:variant>
        <vt:i4>0</vt:i4>
      </vt:variant>
      <vt:variant>
        <vt:i4>5</vt:i4>
      </vt:variant>
      <vt:variant>
        <vt:lpwstr>https://www.thefrontproject.org.au/media/attachments/2022/05/04/supporting-all-children-to-thrive-report.pdf</vt:lpwstr>
      </vt:variant>
      <vt:variant>
        <vt:lpwstr/>
      </vt:variant>
      <vt:variant>
        <vt:i4>6553712</vt:i4>
      </vt:variant>
      <vt:variant>
        <vt:i4>42</vt:i4>
      </vt:variant>
      <vt:variant>
        <vt:i4>0</vt:i4>
      </vt:variant>
      <vt:variant>
        <vt:i4>5</vt:i4>
      </vt:variant>
      <vt:variant>
        <vt:lpwstr>https://www.ndis.gov.au/about-us/strategies/cultural-and-linguistic-diversity-strategy</vt:lpwstr>
      </vt:variant>
      <vt:variant>
        <vt:lpwstr/>
      </vt:variant>
      <vt:variant>
        <vt:i4>6553699</vt:i4>
      </vt:variant>
      <vt:variant>
        <vt:i4>39</vt:i4>
      </vt:variant>
      <vt:variant>
        <vt:i4>0</vt:i4>
      </vt:variant>
      <vt:variant>
        <vt:i4>5</vt:i4>
      </vt:variant>
      <vt:variant>
        <vt:lpwstr>https://www.ndis.gov.au/about-us/strategies/first-nations-strategy</vt:lpwstr>
      </vt:variant>
      <vt:variant>
        <vt:lpwstr/>
      </vt:variant>
      <vt:variant>
        <vt:i4>5898323</vt:i4>
      </vt:variant>
      <vt:variant>
        <vt:i4>36</vt:i4>
      </vt:variant>
      <vt:variant>
        <vt:i4>0</vt:i4>
      </vt:variant>
      <vt:variant>
        <vt:i4>5</vt:i4>
      </vt:variant>
      <vt:variant>
        <vt:lpwstr>https://www.disabilitygateway.gov.au/sites/default/files/documents/2021-11/1786-australias-disability.pdf</vt:lpwstr>
      </vt:variant>
      <vt:variant>
        <vt:lpwstr/>
      </vt:variant>
      <vt:variant>
        <vt:i4>6619254</vt:i4>
      </vt:variant>
      <vt:variant>
        <vt:i4>33</vt:i4>
      </vt:variant>
      <vt:variant>
        <vt:i4>0</vt:i4>
      </vt:variant>
      <vt:variant>
        <vt:i4>5</vt:i4>
      </vt:variant>
      <vt:variant>
        <vt:lpwstr>https://disability.royalcommission.gov.au/publications/changing-community-attitudes-improve-inclusion-people-disability</vt:lpwstr>
      </vt:variant>
      <vt:variant>
        <vt:lpwstr/>
      </vt:variant>
      <vt:variant>
        <vt:i4>3342391</vt:i4>
      </vt:variant>
      <vt:variant>
        <vt:i4>30</vt:i4>
      </vt:variant>
      <vt:variant>
        <vt:i4>0</vt:i4>
      </vt:variant>
      <vt:variant>
        <vt:i4>5</vt:i4>
      </vt:variant>
      <vt:variant>
        <vt:lpwstr>https://doi-org.ezproxy.cqu.edu.au/10.1111/1467-8500.12310</vt:lpwstr>
      </vt:variant>
      <vt:variant>
        <vt:lpwstr/>
      </vt:variant>
      <vt:variant>
        <vt:i4>4521999</vt:i4>
      </vt:variant>
      <vt:variant>
        <vt:i4>27</vt:i4>
      </vt:variant>
      <vt:variant>
        <vt:i4>0</vt:i4>
      </vt:variant>
      <vt:variant>
        <vt:i4>5</vt:i4>
      </vt:variant>
      <vt:variant>
        <vt:lpwstr>https://sheribyrnehaber.medium.com/are-you-ready-to-be-anti-ableist-in-2021-239103637949</vt:lpwstr>
      </vt:variant>
      <vt:variant>
        <vt:lpwstr/>
      </vt:variant>
      <vt:variant>
        <vt:i4>7405644</vt:i4>
      </vt:variant>
      <vt:variant>
        <vt:i4>24</vt:i4>
      </vt:variant>
      <vt:variant>
        <vt:i4>0</vt:i4>
      </vt:variant>
      <vt:variant>
        <vt:i4>5</vt:i4>
      </vt:variant>
      <vt:variant>
        <vt:lpwstr>https://documents.uow.edu.au/content/groups/public/@web/@law/@lirc/documents/doc/uow166211.pdf</vt:lpwstr>
      </vt:variant>
      <vt:variant>
        <vt:lpwstr/>
      </vt:variant>
      <vt:variant>
        <vt:i4>4915299</vt:i4>
      </vt:variant>
      <vt:variant>
        <vt:i4>21</vt:i4>
      </vt:variant>
      <vt:variant>
        <vt:i4>0</vt:i4>
      </vt:variant>
      <vt:variant>
        <vt:i4>5</vt:i4>
      </vt:variant>
      <vt:variant>
        <vt:lpwstr>https://www.youtube.com/watch?v=SxrS7-I_sMQ</vt:lpwstr>
      </vt:variant>
      <vt:variant>
        <vt:lpwstr/>
      </vt:variant>
      <vt:variant>
        <vt:i4>4718668</vt:i4>
      </vt:variant>
      <vt:variant>
        <vt:i4>18</vt:i4>
      </vt:variant>
      <vt:variant>
        <vt:i4>0</vt:i4>
      </vt:variant>
      <vt:variant>
        <vt:i4>5</vt:i4>
      </vt:variant>
      <vt:variant>
        <vt:lpwstr>https://research-repository.griffith.edu.au/handle/10072/3714</vt:lpwstr>
      </vt:variant>
      <vt:variant>
        <vt:lpwstr/>
      </vt:variant>
      <vt:variant>
        <vt:i4>1572880</vt:i4>
      </vt:variant>
      <vt:variant>
        <vt:i4>15</vt:i4>
      </vt:variant>
      <vt:variant>
        <vt:i4>0</vt:i4>
      </vt:variant>
      <vt:variant>
        <vt:i4>5</vt:i4>
      </vt:variant>
      <vt:variant>
        <vt:lpwstr>https://www.thefrontproject.org.au/policy-and-research/research-reports/supporting-all-children-to-thrive</vt:lpwstr>
      </vt:variant>
      <vt:variant>
        <vt:lpwstr/>
      </vt:variant>
      <vt:variant>
        <vt:i4>1638406</vt:i4>
      </vt:variant>
      <vt:variant>
        <vt:i4>12</vt:i4>
      </vt:variant>
      <vt:variant>
        <vt:i4>0</vt:i4>
      </vt:variant>
      <vt:variant>
        <vt:i4>5</vt:i4>
      </vt:variant>
      <vt:variant>
        <vt:lpwstr>https://social.desa.un.org/issues/disability/crpd/convention-on-the-rights-of-persons-with-disabilities-crpd</vt:lpwstr>
      </vt:variant>
      <vt:variant>
        <vt:lpwstr/>
      </vt:variant>
      <vt:variant>
        <vt:i4>3538993</vt:i4>
      </vt:variant>
      <vt:variant>
        <vt:i4>9</vt:i4>
      </vt:variant>
      <vt:variant>
        <vt:i4>0</vt:i4>
      </vt:variant>
      <vt:variant>
        <vt:i4>5</vt:i4>
      </vt:variant>
      <vt:variant>
        <vt:lpwstr>https://www.unicef.org/child-rights-convention/convention-text</vt:lpwstr>
      </vt:variant>
      <vt:variant>
        <vt:lpwstr/>
      </vt:variant>
      <vt:variant>
        <vt:i4>3342380</vt:i4>
      </vt:variant>
      <vt:variant>
        <vt:i4>6</vt:i4>
      </vt:variant>
      <vt:variant>
        <vt:i4>0</vt:i4>
      </vt:variant>
      <vt:variant>
        <vt:i4>5</vt:i4>
      </vt:variant>
      <vt:variant>
        <vt:lpwstr>https://disability.royalcommission.gov.au/document-library</vt:lpwstr>
      </vt:variant>
      <vt:variant>
        <vt:lpwstr/>
      </vt:variant>
      <vt:variant>
        <vt:i4>6488103</vt:i4>
      </vt:variant>
      <vt:variant>
        <vt:i4>3</vt:i4>
      </vt:variant>
      <vt:variant>
        <vt:i4>0</vt:i4>
      </vt:variant>
      <vt:variant>
        <vt:i4>5</vt:i4>
      </vt:variant>
      <vt:variant>
        <vt:lpwstr>https://www.cdc.gov/nchs/products/databriefs/db431.htm</vt:lpwstr>
      </vt:variant>
      <vt:variant>
        <vt:lpwstr/>
      </vt:variant>
      <vt:variant>
        <vt:i4>1638400</vt:i4>
      </vt:variant>
      <vt:variant>
        <vt:i4>0</vt:i4>
      </vt:variant>
      <vt:variant>
        <vt:i4>0</vt:i4>
      </vt:variant>
      <vt:variant>
        <vt:i4>5</vt:i4>
      </vt:variant>
      <vt:variant>
        <vt:lpwstr>https://cyda.org.au/search/details/352/report-taking-the-first-step-in-an-inclusive-life-experiences-of-australian-early-childhood-education-and-care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Shae Hunter</dc:creator>
  <cp:keywords/>
  <dc:description/>
  <cp:lastModifiedBy>Liz Hudson</cp:lastModifiedBy>
  <cp:revision>386</cp:revision>
  <cp:lastPrinted>2023-04-29T05:46:00Z</cp:lastPrinted>
  <dcterms:created xsi:type="dcterms:W3CDTF">2023-04-26T22:57:00Z</dcterms:created>
  <dcterms:modified xsi:type="dcterms:W3CDTF">2023-04-29T05:46:00Z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0x010100C91885D4208B864DB8E2028671BC8CB3</vt:lpwstr>
  </property>
  <property fmtid="{D5CDD505-2E9C-101B-9397-08002B2CF9AE}" pid="3" name="MediaServiceImageTags">
    <vt:lpwstr/>
  </property>
</Properties>
</file>