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/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heading=h.gunpspr0e3cl" w:id="0"/>
      <w:bookmarkEnd w:id="0"/>
      <w:r w:rsidDel="00000000" w:rsidR="00000000" w:rsidRPr="00000000">
        <w:rPr>
          <w:rFonts w:ascii="Helvetica Neue Light" w:cs="Helvetica Neue Light" w:eastAsia="Helvetica Neue Light" w:hAnsi="Helvetica Neue Light"/>
          <w:b w:val="0"/>
          <w:color w:val="000000"/>
          <w:sz w:val="24"/>
          <w:szCs w:val="24"/>
          <w:rtl w:val="0"/>
        </w:rPr>
        <w:t xml:space="preserve">Children and Young People with Disability Australia (CYDA) is the national representative organisation for children and young people with disability aged 0 to 25 years.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CYDA hosted a consultation in December 2021 with 11 participants that sought to understand the intersecting experiences of LGBTQIA+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young people with disability in medical and healthcare settings. The consultation was co-designed by a working group of young disabled people.</w:t>
      </w:r>
    </w:p>
    <w:p w:rsidR="00000000" w:rsidDel="00000000" w:rsidP="00000000" w:rsidRDefault="00000000" w:rsidRPr="00000000" w14:paraId="00000004">
      <w:pPr>
        <w:pStyle w:val="Heading3"/>
        <w:ind w:left="0" w:firstLine="0"/>
        <w:rPr/>
      </w:pPr>
      <w:bookmarkStart w:colFirst="0" w:colLast="0" w:name="_heading=h.ex7m7tj6pxm" w:id="1"/>
      <w:bookmarkEnd w:id="1"/>
      <w:r w:rsidDel="00000000" w:rsidR="00000000" w:rsidRPr="00000000">
        <w:rPr>
          <w:rtl w:val="0"/>
        </w:rPr>
        <w:t xml:space="preserve">What young people said: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Key themes that emerged included the need for a more intersectional approach in healthcare, inadequate understanding and confidence around gender diverse and neurodivergent</w:t>
      </w: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 people, limited instances of healthcare providers with lived experience of these intersecting identities, a systemic issue of medical practitioners making incorrect assumptions, and a lack of dedicated or appropriate services to affirm people’s identities. </w:t>
      </w:r>
    </w:p>
    <w:p w:rsidR="00000000" w:rsidDel="00000000" w:rsidP="00000000" w:rsidRDefault="00000000" w:rsidRPr="00000000" w14:paraId="00000006">
      <w:pPr>
        <w:pStyle w:val="Heading2"/>
        <w:rPr/>
      </w:pPr>
      <w:r w:rsidDel="00000000" w:rsidR="00000000" w:rsidRPr="00000000">
        <w:rPr>
          <w:rtl w:val="0"/>
        </w:rPr>
        <w:t xml:space="preserve">Recommendations</w:t>
      </w:r>
    </w:p>
    <w:p w:rsidR="00000000" w:rsidDel="00000000" w:rsidP="00000000" w:rsidRDefault="00000000" w:rsidRPr="00000000" w14:paraId="00000007">
      <w:pPr>
        <w:pStyle w:val="Heading3"/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rtl w:val="0"/>
        </w:rPr>
        <w:t xml:space="preserve">Recommendations for government: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36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 to the development of a national LGBTQIA+ Healthcare Strategy, which includes a focus on healthcare for disabled clients, young clients, gender diverse clients, and neurodivergent clients.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6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Invest in research exploring the experiences of LGBTQIA+ disabled young people, including a focus on transgender and gender diverse-specific health outcomes and treatments. Provide additional funding under the National Disability Advocacy Program</w:t>
      </w: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work in collaboration with specialist advocacy organisations to develop tailored advocacy approaches for LGBTQIA+ people with disability.</w:t>
      </w:r>
    </w:p>
    <w:p w:rsidR="00000000" w:rsidDel="00000000" w:rsidP="00000000" w:rsidRDefault="00000000" w:rsidRPr="00000000" w14:paraId="0000000A">
      <w:pPr>
        <w:pStyle w:val="Heading3"/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rtl w:val="0"/>
        </w:rPr>
        <w:t xml:space="preserve">Recommendations for healthcare settings and medical service providers: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360" w:right="0" w:hanging="360"/>
        <w:jc w:val="left"/>
        <w:rPr>
          <w:rFonts w:ascii="Helvetica Neue Light" w:cs="Helvetica Neue Light" w:eastAsia="Helvetica Neue Light" w:hAnsi="Helvetica Neue Light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Investigate opportunities to de-clinicalise medical spaces and to make them more inviting for queer disabled clients.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60" w:right="0" w:hanging="360"/>
        <w:jc w:val="left"/>
        <w:rPr>
          <w:rFonts w:ascii="Helvetica Neue Light" w:cs="Helvetica Neue Light" w:eastAsia="Helvetica Neue Light" w:hAnsi="Helvetica Neue Light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Implement the suggestions to improve patient-care for young queer disabled people made in this paper, including ensuring spaces meet physical accessibility requirements and utilising digital platforms, such as social media, to support engagement.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rtl w:val="0"/>
        </w:rPr>
        <w:t xml:space="preserve">Recommendations for healthcare regulators and peak medical bodies: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360" w:right="0" w:hanging="360"/>
        <w:jc w:val="left"/>
        <w:rPr>
          <w:rFonts w:ascii="Helvetica Neue Light" w:cs="Helvetica Neue Light" w:eastAsia="Helvetica Neue Light" w:hAnsi="Helvetica Neue Light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Engage collaboratively with LGBTQIA+ and Disability Representative Organisations to develop accredited LGBTQIA+ cultural competency training for health professionals, as well as improving existing training through engagement with lived experience.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rtl w:val="0"/>
        </w:rPr>
        <w:t xml:space="preserve">Recommendations for medical professional development and education providers: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36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Engage with LGBTQIA+ and Disability Representative Organisations to collaboratively examine opportunities for improvements to the education and development pipeline to support more LGBTQIA+ and disabled people entering healthcare professions.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6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with healthcare settings and medical service providers to identify opportunities for on-the-job, ongoing education and training which is co-designed with the LGBTQIA+ disabled community.</w:t>
      </w:r>
    </w:p>
    <w:sectPr>
      <w:headerReference r:id="rId8" w:type="default"/>
      <w:footerReference r:id="rId9" w:type="default"/>
      <w:pgSz w:h="16840" w:w="11900" w:orient="portrait"/>
      <w:pgMar w:bottom="1985" w:top="1985" w:left="1440" w:right="1440" w:header="709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-680" w:firstLine="0"/>
      <w:jc w:val="lef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df602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df602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color="df6020" w:space="8" w:sz="4" w:val="single"/>
        <w:between w:space="0" w:sz="0" w:val="nil"/>
      </w:pBdr>
      <w:shd w:fill="auto" w:val="clear"/>
      <w:tabs>
        <w:tab w:val="center" w:pos="4513"/>
        <w:tab w:val="right" w:pos="9026"/>
        <w:tab w:val="right" w:pos="9020"/>
      </w:tabs>
      <w:spacing w:after="0" w:before="0" w:line="240" w:lineRule="auto"/>
      <w:ind w:left="0" w:right="89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LivedX Series: What Young People Said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color="df6020" w:space="8" w:sz="4" w:val="single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89" w:firstLine="0"/>
      <w:jc w:val="righ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Healthcare Settings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76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bookmarkStart w:colFirst="0" w:colLast="0" w:name="bookmark=id.1fob9te" w:id="2"/>
      <w:bookmarkEnd w:id="2"/>
      <w:bookmarkStart w:colFirst="0" w:colLast="0" w:name="bookmark=id.2et92p0" w:id="3"/>
      <w:bookmarkEnd w:id="3"/>
      <w:bookmarkStart w:colFirst="0" w:colLast="0" w:name="bookmark=id.3znysh7" w:id="4"/>
      <w:bookmarkEnd w:id="4"/>
      <w:bookmarkStart w:colFirst="0" w:colLast="0" w:name="bookmark=id.tyjcwt" w:id="5"/>
      <w:bookmarkEnd w:id="5"/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LGBTQIA+ stands for Lesbian, Gay, Bisexual, Transgender, Queer/Questioning, Intersex, Aromantic/Asexual, with the ‘+’ being an umbrella for all other gender, sexual, and romantic minorities. Detailed definitions available at: </w:t>
      </w:r>
      <w:hyperlink r:id="rId1">
        <w:r w:rsidDel="00000000" w:rsidR="00000000" w:rsidRPr="00000000">
          <w:rPr>
            <w:rFonts w:ascii="Helvetica Neue Light" w:cs="Helvetica Neue Light" w:eastAsia="Helvetica Neue Light" w:hAnsi="Helvetica Neue Light"/>
            <w:b w:val="0"/>
            <w:i w:val="0"/>
            <w:smallCaps w:val="0"/>
            <w:strike w:val="0"/>
            <w:color w:val="0563c1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Your guide to words and definitions in the LGBTQIA+ community (minus18.org.au)</w:t>
        </w:r>
      </w:hyperlink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76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‘Neurodivergent’ is a non-medical umbrella term for people whose brain works differently. It typically refers to, but is not limited to, conditions such as autism, ADHD, epilepsy and Tourette’s syndrome</w:t>
      </w:r>
    </w:p>
  </w:footnote>
  <w:footnote w:id="2"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Commonwealth of Australia. (2022). Available at: </w:t>
      </w:r>
      <w:hyperlink r:id="rId2">
        <w:r w:rsidDel="00000000" w:rsidR="00000000" w:rsidRPr="00000000">
          <w:rPr>
            <w:color w:val="0563c1"/>
            <w:sz w:val="18"/>
            <w:szCs w:val="18"/>
            <w:u w:val="single"/>
            <w:rtl w:val="0"/>
          </w:rPr>
          <w:t xml:space="preserve">National Disability Advocacy Program (dss.gov.au)</w:t>
        </w:r>
      </w:hyperlink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400" cy="106848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400" cy="10684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 Light" w:cs="Helvetica Neue Light" w:eastAsia="Helvetica Neue Light" w:hAnsi="Helvetica Neue Light"/>
        <w:sz w:val="24"/>
        <w:szCs w:val="24"/>
        <w:lang w:val="en-AU"/>
      </w:rPr>
    </w:rPrDefault>
    <w:pPrDefault>
      <w:pPr>
        <w:spacing w:after="120"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Arial" w:cs="Arial" w:eastAsia="Arial" w:hAnsi="Arial"/>
      <w:color w:val="004d2b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40" w:lineRule="auto"/>
    </w:pPr>
    <w:rPr>
      <w:rFonts w:ascii="Helvetica Neue" w:cs="Helvetica Neue" w:eastAsia="Helvetica Neue" w:hAnsi="Helvetica Neue"/>
      <w:b w:val="1"/>
      <w:color w:val="00683a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40" w:lineRule="auto"/>
    </w:pPr>
    <w:rPr>
      <w:rFonts w:ascii="Helvetica Neue" w:cs="Helvetica Neue" w:eastAsia="Helvetica Neue" w:hAnsi="Helvetica Neue"/>
      <w:b w:val="1"/>
      <w:color w:val="df60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A63BE"/>
    <w:pPr>
      <w:spacing w:after="120" w:before="120" w:line="276" w:lineRule="auto"/>
    </w:pPr>
    <w:rPr>
      <w:rFonts w:ascii="Helvetica Neue Light" w:hAnsi="Helvetica Neue Light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7529B0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004d2b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991F6B"/>
    <w:pPr>
      <w:keepNext w:val="1"/>
      <w:keepLines w:val="1"/>
      <w:spacing w:before="240"/>
      <w:outlineLvl w:val="1"/>
    </w:pPr>
    <w:rPr>
      <w:rFonts w:ascii="Helvetica Neue" w:hAnsi="Helvetica Neue" w:cstheme="majorBidi" w:eastAsiaTheme="majorEastAsia"/>
      <w:b w:val="1"/>
      <w:bCs w:val="1"/>
      <w:color w:val="00683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36D48"/>
    <w:pPr>
      <w:keepNext w:val="1"/>
      <w:keepLines w:val="1"/>
      <w:spacing w:before="240"/>
      <w:outlineLvl w:val="2"/>
    </w:pPr>
    <w:rPr>
      <w:rFonts w:ascii="Helvetica Neue" w:hAnsi="Helvetica Neue" w:cstheme="majorBidi" w:eastAsiaTheme="majorEastAsia"/>
      <w:b w:val="1"/>
      <w:bCs w:val="1"/>
      <w:color w:val="df6020" w:themeColor="accent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991F6B"/>
    <w:rPr>
      <w:rFonts w:ascii="Helvetica Neue" w:hAnsi="Helvetica Neue" w:cstheme="majorBidi" w:eastAsiaTheme="majorEastAsia"/>
      <w:b w:val="1"/>
      <w:bCs w:val="1"/>
      <w:color w:val="00683a" w:themeColor="accent1"/>
      <w:sz w:val="26"/>
      <w:szCs w:val="26"/>
      <w:lang w:val="en-AU"/>
    </w:rPr>
  </w:style>
  <w:style w:type="table" w:styleId="TableGrid">
    <w:name w:val="Table Grid"/>
    <w:basedOn w:val="TableNormal"/>
    <w:uiPriority w:val="39"/>
    <w:rsid w:val="00B872B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B872B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lang w:bidi="hi-IN"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C36D48"/>
    <w:rPr>
      <w:rFonts w:ascii="Helvetica Neue" w:hAnsi="Helvetica Neue" w:cstheme="majorBidi" w:eastAsiaTheme="majorEastAsia"/>
      <w:b w:val="1"/>
      <w:bCs w:val="1"/>
      <w:color w:val="df6020" w:themeColor="accent2"/>
      <w:lang w:val="en-AU"/>
    </w:rPr>
  </w:style>
  <w:style w:type="paragraph" w:styleId="ListParagraph">
    <w:name w:val="List Paragraph"/>
    <w:basedOn w:val="Normal"/>
    <w:uiPriority w:val="34"/>
    <w:qFormat w:val="1"/>
    <w:rsid w:val="008C6AE8"/>
    <w:pPr>
      <w:ind w:left="720"/>
      <w:contextualSpacing w:val="1"/>
    </w:p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38347A"/>
    <w:pPr>
      <w:keepLines w:val="1"/>
      <w:pBdr>
        <w:left w:color="f89c3e" w:space="10" w:sz="24" w:themeColor="accent4" w:val="single"/>
      </w:pBdr>
      <w:spacing w:after="0"/>
      <w:ind w:left="284"/>
    </w:pPr>
    <w:rPr>
      <w:i w:val="1"/>
      <w:iCs w:val="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8347A"/>
    <w:rPr>
      <w:rFonts w:ascii="Helvetica Neue Light" w:hAnsi="Helvetica Neue Light"/>
      <w:i w:val="1"/>
      <w:iCs w:val="1"/>
      <w:lang w:val="en-AU"/>
    </w:rPr>
  </w:style>
  <w:style w:type="paragraph" w:styleId="Header">
    <w:name w:val="header"/>
    <w:basedOn w:val="Normal"/>
    <w:link w:val="HeaderChar"/>
    <w:uiPriority w:val="99"/>
    <w:unhideWhenUsed w:val="1"/>
    <w:rsid w:val="008E75C5"/>
    <w:pPr>
      <w:tabs>
        <w:tab w:val="center" w:pos="4513"/>
        <w:tab w:val="right" w:pos="9026"/>
      </w:tabs>
      <w:spacing w:after="0" w:before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75C5"/>
    <w:rPr>
      <w:rFonts w:ascii="Helvetica Neue Light" w:hAnsi="Helvetica Neue Light"/>
      <w:lang w:val="en-AU"/>
    </w:rPr>
  </w:style>
  <w:style w:type="paragraph" w:styleId="Footer">
    <w:name w:val="footer"/>
    <w:basedOn w:val="Normal"/>
    <w:link w:val="FooterChar"/>
    <w:uiPriority w:val="99"/>
    <w:unhideWhenUsed w:val="1"/>
    <w:rsid w:val="008E75C5"/>
    <w:pPr>
      <w:tabs>
        <w:tab w:val="center" w:pos="4513"/>
        <w:tab w:val="right" w:pos="9026"/>
      </w:tabs>
      <w:spacing w:after="0" w:before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75C5"/>
    <w:rPr>
      <w:rFonts w:ascii="Helvetica Neue Light" w:hAnsi="Helvetica Neue Light"/>
      <w:lang w:val="en-AU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7529B0"/>
  </w:style>
  <w:style w:type="character" w:styleId="Heading1Char" w:customStyle="1">
    <w:name w:val="Heading 1 Char"/>
    <w:basedOn w:val="DefaultParagraphFont"/>
    <w:link w:val="Heading1"/>
    <w:uiPriority w:val="9"/>
    <w:rsid w:val="007529B0"/>
    <w:rPr>
      <w:rFonts w:asciiTheme="majorHAnsi" w:cstheme="majorBidi" w:eastAsiaTheme="majorEastAsia" w:hAnsiTheme="majorHAnsi"/>
      <w:color w:val="004d2b" w:themeColor="accent1" w:themeShade="0000BF"/>
      <w:sz w:val="32"/>
      <w:szCs w:val="32"/>
      <w:lang w:val="en-AU"/>
    </w:rPr>
  </w:style>
  <w:style w:type="paragraph" w:styleId="BreakBtwnQuotes" w:customStyle="1">
    <w:name w:val="BreakBtwnQuotes"/>
    <w:basedOn w:val="Normal"/>
    <w:qFormat w:val="1"/>
    <w:rsid w:val="0038347A"/>
    <w:pPr>
      <w:spacing w:before="0" w:line="240" w:lineRule="auto"/>
    </w:pPr>
    <w:rPr>
      <w:sz w:val="2"/>
      <w:szCs w:val="2"/>
    </w:rPr>
  </w:style>
  <w:style w:type="paragraph" w:styleId="FootnoteText">
    <w:name w:val="footnote text"/>
    <w:basedOn w:val="Normal"/>
    <w:link w:val="FootnoteTextChar"/>
    <w:uiPriority w:val="99"/>
    <w:unhideWhenUsed w:val="1"/>
    <w:rsid w:val="006A301E"/>
    <w:pPr>
      <w:spacing w:after="0" w:before="60"/>
    </w:pPr>
    <w:rPr>
      <w:rFonts w:cs="Arial"/>
      <w:sz w:val="18"/>
      <w:szCs w:val="18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6A301E"/>
    <w:rPr>
      <w:rFonts w:ascii="Helvetica Neue Light" w:cs="Arial" w:hAnsi="Helvetica Neue Light"/>
      <w:sz w:val="18"/>
      <w:szCs w:val="18"/>
      <w:lang w:val="en-AU"/>
    </w:rPr>
  </w:style>
  <w:style w:type="character" w:styleId="FootnoteReference">
    <w:name w:val="footnote reference"/>
    <w:basedOn w:val="DefaultParagraphFont"/>
    <w:uiPriority w:val="99"/>
    <w:unhideWhenUsed w:val="1"/>
    <w:rsid w:val="00425663"/>
    <w:rPr>
      <w:rFonts w:ascii="Helvetica Neue Light" w:hAnsi="Helvetica Neue Light"/>
      <w:b w:val="0"/>
      <w:i w:val="0"/>
      <w:vertAlign w:val="superscript"/>
    </w:rPr>
  </w:style>
  <w:style w:type="character" w:styleId="Hyperlink">
    <w:name w:val="Hyperlink"/>
    <w:basedOn w:val="DefaultParagraphFont"/>
    <w:uiPriority w:val="99"/>
    <w:unhideWhenUsed w:val="1"/>
    <w:rsid w:val="00D96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76C3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C76C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E4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E4A5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E4A5B"/>
    <w:rPr>
      <w:rFonts w:ascii="Helvetica Neue Light" w:hAnsi="Helvetica Neue Light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E4A5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E4A5B"/>
    <w:rPr>
      <w:rFonts w:ascii="Helvetica Neue Light" w:hAnsi="Helvetica Neue Light"/>
      <w:b w:val="1"/>
      <w:bCs w:val="1"/>
      <w:sz w:val="20"/>
      <w:szCs w:val="20"/>
      <w:lang w:val="en-A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numbering" Target="numbering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minus18.org.au/articles/your-guide-to-words-and-definitions-in-the-lgbtqia+-community" TargetMode="External"/><Relationship Id="rId2" Type="http://schemas.openxmlformats.org/officeDocument/2006/relationships/hyperlink" Target="https://www.dss.gov.au/our-responsibilities/disability-and-carers/program-services/for-people-with-disability/national-disability-advocacy-program-ndap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YDA">
      <a:dk1>
        <a:srgbClr val="000000"/>
      </a:dk1>
      <a:lt1>
        <a:srgbClr val="FFFFFF"/>
      </a:lt1>
      <a:dk2>
        <a:srgbClr val="3E444F"/>
      </a:dk2>
      <a:lt2>
        <a:srgbClr val="EBEBEC"/>
      </a:lt2>
      <a:accent1>
        <a:srgbClr val="00683A"/>
      </a:accent1>
      <a:accent2>
        <a:srgbClr val="DF6020"/>
      </a:accent2>
      <a:accent3>
        <a:srgbClr val="66BE6B"/>
      </a:accent3>
      <a:accent4>
        <a:srgbClr val="F89C3E"/>
      </a:accent4>
      <a:accent5>
        <a:srgbClr val="DFE56D"/>
      </a:accent5>
      <a:accent6>
        <a:srgbClr val="F3C35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Bd3ObqM8oG/hC+ZmVyEtOZOn2Q==">AMUW2mXpsNiIYFME3JA2bAfak1n1OqcNprwntZgVYvPEStHrJoOmS77aQl9O+T3jaO/ihbewzfUmIFp3kBg0XhijqPaG4Tu5dQaHDQFAsZCctvHmwxdDuW/uR7Vl93sArVXNVzA6qvxKHYchgKXDWkdMGyM3NiQPgK3oBZqjGhx2V6Txcba2LoQR5zmqEU7yc7p7/uUbsTIi9yJgOlI3HuqOUYL18U0Z9g==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85D4208B864DB8E2028671BC8CB3" ma:contentTypeVersion="16" ma:contentTypeDescription="Create a new document." ma:contentTypeScope="" ma:versionID="77c07e5687ca9aa2c1359bd3d5a9a252">
  <xsd:schema xmlns:xsd="http://www.w3.org/2001/XMLSchema" xmlns:xs="http://www.w3.org/2001/XMLSchema" xmlns:p="http://schemas.microsoft.com/office/2006/metadata/properties" xmlns:ns2="1687197d-ab52-43d2-b631-1ce3da201b2b" xmlns:ns3="f56cdae6-9e9c-4c3b-9d76-31558cb6e5c5" targetNamespace="http://schemas.microsoft.com/office/2006/metadata/properties" ma:root="true" ma:fieldsID="b2b646505775f5bbd11525d1c502064d" ns2:_="" ns3:_="">
    <xsd:import namespace="1687197d-ab52-43d2-b631-1ce3da201b2b"/>
    <xsd:import namespace="f56cdae6-9e9c-4c3b-9d76-31558cb6e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7197d-ab52-43d2-b631-1ce3da201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a1099fe-c54a-4fbe-859b-b81a6ee2af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cdae6-9e9c-4c3b-9d76-31558cb6e5c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cb9899d-440f-40df-9620-d72096622b29}" ma:internalName="TaxCatchAll" ma:showField="CatchAllData" ma:web="f56cdae6-9e9c-4c3b-9d76-31558cb6e5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6cdae6-9e9c-4c3b-9d76-31558cb6e5c5" xsi:nil="true"/>
    <lcf76f155ced4ddcb4097134ff3c332f xmlns="1687197d-ab52-43d2-b631-1ce3da201b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4B6F5E6-2E01-4F8E-88D3-B0211CE4C6E2}"/>
</file>

<file path=customXML/itemProps3.xml><?xml version="1.0" encoding="utf-8"?>
<ds:datastoreItem xmlns:ds="http://schemas.openxmlformats.org/officeDocument/2006/customXml" ds:itemID="{1558F836-95F1-48BB-AF08-95B49A3E6597}"/>
</file>

<file path=customXML/itemProps4.xml><?xml version="1.0" encoding="utf-8"?>
<ds:datastoreItem xmlns:ds="http://schemas.openxmlformats.org/officeDocument/2006/customXml" ds:itemID="{79DD003B-7608-413F-8AE3-8BAA5CD67CE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Polglaze</dc:creator>
  <dcterms:created xsi:type="dcterms:W3CDTF">2022-07-31T10:44:00Z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0x010100C91885D4208B864DB8E2028671BC8CB3</vt:lpwstr>
  </property>
</Properties>
</file>