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071D24D" w14:textId="77777777" w:rsidR="009948CD" w:rsidRPr="009948CD" w:rsidRDefault="009948CD" w:rsidP="009948CD">
      <w:pPr>
        <w:rPr>
          <w:rFonts w:ascii="Helvetica" w:hAnsi="Helvetica"/>
          <w:b/>
          <w:sz w:val="40"/>
          <w:szCs w:val="40"/>
        </w:rPr>
      </w:pPr>
      <w:r w:rsidRPr="009948CD">
        <w:rPr>
          <w:rFonts w:ascii="Helvetica" w:hAnsi="Helvetica"/>
          <w:b/>
          <w:sz w:val="40"/>
          <w:szCs w:val="40"/>
        </w:rPr>
        <w:t xml:space="preserve">Drive inclusion and equity for children and young people with </w:t>
      </w:r>
      <w:proofErr w:type="gramStart"/>
      <w:r w:rsidRPr="009948CD">
        <w:rPr>
          <w:rFonts w:ascii="Helvetica" w:hAnsi="Helvetica"/>
          <w:b/>
          <w:sz w:val="40"/>
          <w:szCs w:val="40"/>
        </w:rPr>
        <w:t>disability</w:t>
      </w:r>
      <w:proofErr w:type="gramEnd"/>
    </w:p>
    <w:p w14:paraId="1E06712D" w14:textId="1DD42397" w:rsidR="0090732B" w:rsidRPr="009948CD" w:rsidRDefault="00EE6B51" w:rsidP="00217CBB">
      <w:pPr>
        <w:rPr>
          <w:rFonts w:ascii="Helvetica" w:hAnsi="Helvetica"/>
          <w:b/>
          <w:sz w:val="32"/>
          <w:szCs w:val="32"/>
        </w:rPr>
      </w:pPr>
      <w:r w:rsidRPr="009948CD">
        <w:rPr>
          <w:rFonts w:ascii="Helvetica" w:hAnsi="Helvetica"/>
          <w:b/>
          <w:sz w:val="32"/>
          <w:szCs w:val="32"/>
        </w:rPr>
        <w:t>Pre-Budget 2021-22 Submission</w:t>
      </w:r>
    </w:p>
    <w:p w14:paraId="3884C8BE" w14:textId="1475554E" w:rsidR="00C131B6" w:rsidRDefault="00C131B6" w:rsidP="00217CBB">
      <w:pPr>
        <w:rPr>
          <w:rFonts w:ascii="Helvetica" w:hAnsi="Helvetica"/>
          <w:b/>
          <w:sz w:val="40"/>
          <w:szCs w:val="40"/>
        </w:rPr>
      </w:pPr>
    </w:p>
    <w:p w14:paraId="74564BC7" w14:textId="77777777" w:rsidR="00FE3F5E" w:rsidRDefault="00FE3F5E" w:rsidP="00217CBB">
      <w:pPr>
        <w:rPr>
          <w:rFonts w:ascii="Helvetica" w:hAnsi="Helvetica"/>
          <w:b/>
          <w:sz w:val="40"/>
          <w:szCs w:val="40"/>
        </w:rPr>
      </w:pPr>
    </w:p>
    <w:p w14:paraId="6F16EF4F" w14:textId="425E58E3" w:rsidR="00E57D88" w:rsidRDefault="00E57D88">
      <w:pPr>
        <w:rPr>
          <w:rFonts w:ascii="Helvetica" w:hAnsi="Helvetica"/>
          <w:b/>
          <w:sz w:val="24"/>
          <w:szCs w:val="24"/>
        </w:rPr>
      </w:pP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286FDA38" w:rsidR="00E57D88" w:rsidRDefault="00EB4F23">
      <w:pPr>
        <w:rPr>
          <w:rFonts w:ascii="Helvetica" w:hAnsi="Helvetica"/>
          <w:b/>
          <w:sz w:val="24"/>
          <w:szCs w:val="24"/>
        </w:rPr>
        <w:sectPr w:rsidR="00E57D88" w:rsidSect="00DE1871">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January 2021</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06C63EF2" w14:textId="77777777" w:rsidR="009C26DB" w:rsidRDefault="009C26DB" w:rsidP="00CB4D46"/>
    <w:p w14:paraId="7E698E18" w14:textId="77777777" w:rsidR="009C26DB" w:rsidRDefault="009C26DB" w:rsidP="00CB4D46"/>
    <w:p w14:paraId="327D3A29" w14:textId="77777777" w:rsidR="009C26DB" w:rsidRDefault="009C26DB" w:rsidP="00CB4D46"/>
    <w:p w14:paraId="211B8BA5" w14:textId="77777777" w:rsidR="009C26DB" w:rsidRDefault="009C26DB" w:rsidP="00CB4D46"/>
    <w:p w14:paraId="38C8EE84" w14:textId="51950811" w:rsidR="009C26DB" w:rsidRDefault="009C26DB" w:rsidP="00CB4D46"/>
    <w:p w14:paraId="5D63664A" w14:textId="49581739" w:rsidR="00FE3F5E" w:rsidRDefault="00FE3F5E" w:rsidP="00CB4D46"/>
    <w:p w14:paraId="537FC697" w14:textId="67F2635F" w:rsidR="00FE3F5E" w:rsidRDefault="00FE3F5E" w:rsidP="00CB4D46"/>
    <w:p w14:paraId="784018AD" w14:textId="77777777" w:rsidR="00FE3F5E" w:rsidRDefault="00FE3F5E" w:rsidP="00CB4D46"/>
    <w:p w14:paraId="0F7312ED" w14:textId="77777777" w:rsidR="009C26DB" w:rsidRDefault="009C26DB" w:rsidP="00CB4D46"/>
    <w:p w14:paraId="46FCE8E2" w14:textId="77777777" w:rsidR="0020620C" w:rsidRDefault="0020620C" w:rsidP="009C26DB">
      <w:pPr>
        <w:rPr>
          <w:b/>
        </w:rPr>
      </w:pPr>
    </w:p>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4CA9C0D3" w14:textId="6922A3D5" w:rsidR="009C26DB" w:rsidRPr="009C26DB" w:rsidRDefault="009C26DB" w:rsidP="009C26DB">
      <w:pPr>
        <w:rPr>
          <w:b/>
        </w:rPr>
      </w:pPr>
      <w:r w:rsidRPr="009C26DB">
        <w:rPr>
          <w:b/>
        </w:rPr>
        <w:t>Authorised by:</w:t>
      </w:r>
    </w:p>
    <w:p w14:paraId="2757375F" w14:textId="77777777" w:rsidR="009C26DB" w:rsidRDefault="009C26DB" w:rsidP="009C26DB">
      <w:r>
        <w:t>Mary Sayers, Chief Executive Officer</w:t>
      </w:r>
    </w:p>
    <w:p w14:paraId="57F3ED62" w14:textId="6FF731D1" w:rsidR="009C26DB" w:rsidRPr="009C26DB" w:rsidRDefault="009C26DB" w:rsidP="009C26DB">
      <w:pPr>
        <w:rPr>
          <w:b/>
        </w:rPr>
      </w:pPr>
      <w:r w:rsidRPr="009C26DB">
        <w:rPr>
          <w:b/>
        </w:rPr>
        <w:t>Contact details:</w:t>
      </w:r>
    </w:p>
    <w:p w14:paraId="43E6B972" w14:textId="77777777"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2EB584D9" w14:textId="77777777" w:rsidR="001434C4" w:rsidRDefault="001434C4" w:rsidP="00CB4D46"/>
    <w:p w14:paraId="6C7CAA3B" w14:textId="77777777" w:rsidR="009C26DB" w:rsidRPr="009C26DB" w:rsidRDefault="009C26DB" w:rsidP="00CB4D46">
      <w:pPr>
        <w:rPr>
          <w:b/>
        </w:rPr>
      </w:pPr>
      <w:r w:rsidRPr="009C26DB">
        <w:rPr>
          <w:b/>
        </w:rPr>
        <w:t>Acknowledgements:</w:t>
      </w:r>
    </w:p>
    <w:p w14:paraId="059B900D" w14:textId="7824F265"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4DFFAAE5" w:rsidR="009C26DB" w:rsidRPr="009C26DB" w:rsidRDefault="009C26DB" w:rsidP="009C26DB">
      <w:pPr>
        <w:sectPr w:rsidR="009C26DB" w:rsidRPr="009C26DB" w:rsidSect="00DE1871">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7F7ED4CB" w14:textId="560FA7AD" w:rsidR="00B7726C"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62833777" w:history="1">
            <w:r w:rsidR="00B7726C" w:rsidRPr="002E072E">
              <w:rPr>
                <w:rStyle w:val="Hyperlink"/>
              </w:rPr>
              <w:t>Summary of recommendations</w:t>
            </w:r>
            <w:r w:rsidR="00B7726C">
              <w:rPr>
                <w:webHidden/>
              </w:rPr>
              <w:tab/>
            </w:r>
            <w:r w:rsidR="00B7726C">
              <w:rPr>
                <w:webHidden/>
              </w:rPr>
              <w:fldChar w:fldCharType="begin"/>
            </w:r>
            <w:r w:rsidR="00B7726C">
              <w:rPr>
                <w:webHidden/>
              </w:rPr>
              <w:instrText xml:space="preserve"> PAGEREF _Toc62833777 \h </w:instrText>
            </w:r>
            <w:r w:rsidR="00B7726C">
              <w:rPr>
                <w:webHidden/>
              </w:rPr>
            </w:r>
            <w:r w:rsidR="00B7726C">
              <w:rPr>
                <w:webHidden/>
              </w:rPr>
              <w:fldChar w:fldCharType="separate"/>
            </w:r>
            <w:r w:rsidR="00B7726C">
              <w:rPr>
                <w:webHidden/>
              </w:rPr>
              <w:t>3</w:t>
            </w:r>
            <w:r w:rsidR="00B7726C">
              <w:rPr>
                <w:webHidden/>
              </w:rPr>
              <w:fldChar w:fldCharType="end"/>
            </w:r>
          </w:hyperlink>
        </w:p>
        <w:p w14:paraId="3FB66037" w14:textId="60574D2B" w:rsidR="00B7726C" w:rsidRDefault="00736EAF">
          <w:pPr>
            <w:pStyle w:val="TOC1"/>
            <w:rPr>
              <w:rFonts w:asciiTheme="minorHAnsi" w:eastAsiaTheme="minorEastAsia" w:hAnsiTheme="minorHAnsi"/>
              <w:lang w:eastAsia="en-AU"/>
            </w:rPr>
          </w:pPr>
          <w:hyperlink w:anchor="_Toc62833778" w:history="1">
            <w:r w:rsidR="00B7726C" w:rsidRPr="002E072E">
              <w:rPr>
                <w:rStyle w:val="Hyperlink"/>
              </w:rPr>
              <w:t>Introduction</w:t>
            </w:r>
            <w:r w:rsidR="00B7726C">
              <w:rPr>
                <w:webHidden/>
              </w:rPr>
              <w:tab/>
            </w:r>
            <w:r w:rsidR="00B7726C">
              <w:rPr>
                <w:webHidden/>
              </w:rPr>
              <w:fldChar w:fldCharType="begin"/>
            </w:r>
            <w:r w:rsidR="00B7726C">
              <w:rPr>
                <w:webHidden/>
              </w:rPr>
              <w:instrText xml:space="preserve"> PAGEREF _Toc62833778 \h </w:instrText>
            </w:r>
            <w:r w:rsidR="00B7726C">
              <w:rPr>
                <w:webHidden/>
              </w:rPr>
            </w:r>
            <w:r w:rsidR="00B7726C">
              <w:rPr>
                <w:webHidden/>
              </w:rPr>
              <w:fldChar w:fldCharType="separate"/>
            </w:r>
            <w:r w:rsidR="00B7726C">
              <w:rPr>
                <w:webHidden/>
              </w:rPr>
              <w:t>5</w:t>
            </w:r>
            <w:r w:rsidR="00B7726C">
              <w:rPr>
                <w:webHidden/>
              </w:rPr>
              <w:fldChar w:fldCharType="end"/>
            </w:r>
          </w:hyperlink>
        </w:p>
        <w:p w14:paraId="5295EA2F" w14:textId="6D622F4D" w:rsidR="00B7726C" w:rsidRDefault="00736EAF">
          <w:pPr>
            <w:pStyle w:val="TOC1"/>
            <w:rPr>
              <w:rFonts w:asciiTheme="minorHAnsi" w:eastAsiaTheme="minorEastAsia" w:hAnsiTheme="minorHAnsi"/>
              <w:lang w:eastAsia="en-AU"/>
            </w:rPr>
          </w:pPr>
          <w:hyperlink w:anchor="_Toc62833779" w:history="1">
            <w:r w:rsidR="00B7726C" w:rsidRPr="002E072E">
              <w:rPr>
                <w:rStyle w:val="Hyperlink"/>
              </w:rPr>
              <w:t>Drive inclusion and equity for children and young people with disability: our recommendations</w:t>
            </w:r>
            <w:r w:rsidR="00B7726C">
              <w:rPr>
                <w:webHidden/>
              </w:rPr>
              <w:tab/>
            </w:r>
            <w:r w:rsidR="00B7726C">
              <w:rPr>
                <w:webHidden/>
              </w:rPr>
              <w:fldChar w:fldCharType="begin"/>
            </w:r>
            <w:r w:rsidR="00B7726C">
              <w:rPr>
                <w:webHidden/>
              </w:rPr>
              <w:instrText xml:space="preserve"> PAGEREF _Toc62833779 \h </w:instrText>
            </w:r>
            <w:r w:rsidR="00B7726C">
              <w:rPr>
                <w:webHidden/>
              </w:rPr>
            </w:r>
            <w:r w:rsidR="00B7726C">
              <w:rPr>
                <w:webHidden/>
              </w:rPr>
              <w:fldChar w:fldCharType="separate"/>
            </w:r>
            <w:r w:rsidR="00B7726C">
              <w:rPr>
                <w:webHidden/>
              </w:rPr>
              <w:t>6</w:t>
            </w:r>
            <w:r w:rsidR="00B7726C">
              <w:rPr>
                <w:webHidden/>
              </w:rPr>
              <w:fldChar w:fldCharType="end"/>
            </w:r>
          </w:hyperlink>
        </w:p>
        <w:p w14:paraId="5C45DC7F" w14:textId="3E18A1F9" w:rsidR="00B7726C" w:rsidRDefault="00736EAF">
          <w:pPr>
            <w:pStyle w:val="TOC2"/>
            <w:tabs>
              <w:tab w:val="right" w:leader="dot" w:pos="9736"/>
            </w:tabs>
            <w:rPr>
              <w:rFonts w:asciiTheme="minorHAnsi" w:eastAsiaTheme="minorEastAsia" w:hAnsiTheme="minorHAnsi"/>
              <w:noProof/>
              <w:lang w:eastAsia="en-AU"/>
            </w:rPr>
          </w:pPr>
          <w:hyperlink w:anchor="_Toc62833780" w:history="1">
            <w:r w:rsidR="00B7726C" w:rsidRPr="002E072E">
              <w:rPr>
                <w:rStyle w:val="Hyperlink"/>
                <w:noProof/>
              </w:rPr>
              <w:t>Recommendation 1: Involve and engage children and young people with disability across all government portfolios impacting their lives</w:t>
            </w:r>
            <w:r w:rsidR="00B7726C">
              <w:rPr>
                <w:noProof/>
                <w:webHidden/>
              </w:rPr>
              <w:tab/>
            </w:r>
            <w:r w:rsidR="00B7726C">
              <w:rPr>
                <w:noProof/>
                <w:webHidden/>
              </w:rPr>
              <w:fldChar w:fldCharType="begin"/>
            </w:r>
            <w:r w:rsidR="00B7726C">
              <w:rPr>
                <w:noProof/>
                <w:webHidden/>
              </w:rPr>
              <w:instrText xml:space="preserve"> PAGEREF _Toc62833780 \h </w:instrText>
            </w:r>
            <w:r w:rsidR="00B7726C">
              <w:rPr>
                <w:noProof/>
                <w:webHidden/>
              </w:rPr>
            </w:r>
            <w:r w:rsidR="00B7726C">
              <w:rPr>
                <w:noProof/>
                <w:webHidden/>
              </w:rPr>
              <w:fldChar w:fldCharType="separate"/>
            </w:r>
            <w:r w:rsidR="00B7726C">
              <w:rPr>
                <w:noProof/>
                <w:webHidden/>
              </w:rPr>
              <w:t>6</w:t>
            </w:r>
            <w:r w:rsidR="00B7726C">
              <w:rPr>
                <w:noProof/>
                <w:webHidden/>
              </w:rPr>
              <w:fldChar w:fldCharType="end"/>
            </w:r>
          </w:hyperlink>
        </w:p>
        <w:p w14:paraId="7F28E2A7" w14:textId="2409C147" w:rsidR="00B7726C" w:rsidRDefault="00736EAF">
          <w:pPr>
            <w:pStyle w:val="TOC2"/>
            <w:tabs>
              <w:tab w:val="right" w:leader="dot" w:pos="9736"/>
            </w:tabs>
            <w:rPr>
              <w:rFonts w:asciiTheme="minorHAnsi" w:eastAsiaTheme="minorEastAsia" w:hAnsiTheme="minorHAnsi"/>
              <w:noProof/>
              <w:lang w:eastAsia="en-AU"/>
            </w:rPr>
          </w:pPr>
          <w:hyperlink w:anchor="_Toc62833781" w:history="1">
            <w:r w:rsidR="00B7726C" w:rsidRPr="002E072E">
              <w:rPr>
                <w:rStyle w:val="Hyperlink"/>
                <w:noProof/>
              </w:rPr>
              <w:t>Recommendation 2: Drive and fund transformational change to ensure inclusive education</w:t>
            </w:r>
            <w:r w:rsidR="00B7726C">
              <w:rPr>
                <w:noProof/>
                <w:webHidden/>
              </w:rPr>
              <w:tab/>
            </w:r>
            <w:r w:rsidR="00B7726C">
              <w:rPr>
                <w:noProof/>
                <w:webHidden/>
              </w:rPr>
              <w:fldChar w:fldCharType="begin"/>
            </w:r>
            <w:r w:rsidR="00B7726C">
              <w:rPr>
                <w:noProof/>
                <w:webHidden/>
              </w:rPr>
              <w:instrText xml:space="preserve"> PAGEREF _Toc62833781 \h </w:instrText>
            </w:r>
            <w:r w:rsidR="00B7726C">
              <w:rPr>
                <w:noProof/>
                <w:webHidden/>
              </w:rPr>
            </w:r>
            <w:r w:rsidR="00B7726C">
              <w:rPr>
                <w:noProof/>
                <w:webHidden/>
              </w:rPr>
              <w:fldChar w:fldCharType="separate"/>
            </w:r>
            <w:r w:rsidR="00B7726C">
              <w:rPr>
                <w:noProof/>
                <w:webHidden/>
              </w:rPr>
              <w:t>7</w:t>
            </w:r>
            <w:r w:rsidR="00B7726C">
              <w:rPr>
                <w:noProof/>
                <w:webHidden/>
              </w:rPr>
              <w:fldChar w:fldCharType="end"/>
            </w:r>
          </w:hyperlink>
        </w:p>
        <w:p w14:paraId="5E8C1DCC" w14:textId="112CE698" w:rsidR="00B7726C" w:rsidRDefault="00736EAF">
          <w:pPr>
            <w:pStyle w:val="TOC2"/>
            <w:tabs>
              <w:tab w:val="right" w:leader="dot" w:pos="9736"/>
            </w:tabs>
            <w:rPr>
              <w:rFonts w:asciiTheme="minorHAnsi" w:eastAsiaTheme="minorEastAsia" w:hAnsiTheme="minorHAnsi"/>
              <w:noProof/>
              <w:lang w:eastAsia="en-AU"/>
            </w:rPr>
          </w:pPr>
          <w:hyperlink w:anchor="_Toc62833782" w:history="1">
            <w:r w:rsidR="00B7726C" w:rsidRPr="002E072E">
              <w:rPr>
                <w:rStyle w:val="Hyperlink"/>
                <w:noProof/>
              </w:rPr>
              <w:t>Recommendation 3: Develop and implement a targeted National Youth Disability Employment Strategy</w:t>
            </w:r>
            <w:r w:rsidR="00B7726C">
              <w:rPr>
                <w:noProof/>
                <w:webHidden/>
              </w:rPr>
              <w:tab/>
            </w:r>
            <w:r w:rsidR="00B7726C">
              <w:rPr>
                <w:noProof/>
                <w:webHidden/>
              </w:rPr>
              <w:fldChar w:fldCharType="begin"/>
            </w:r>
            <w:r w:rsidR="00B7726C">
              <w:rPr>
                <w:noProof/>
                <w:webHidden/>
              </w:rPr>
              <w:instrText xml:space="preserve"> PAGEREF _Toc62833782 \h </w:instrText>
            </w:r>
            <w:r w:rsidR="00B7726C">
              <w:rPr>
                <w:noProof/>
                <w:webHidden/>
              </w:rPr>
            </w:r>
            <w:r w:rsidR="00B7726C">
              <w:rPr>
                <w:noProof/>
                <w:webHidden/>
              </w:rPr>
              <w:fldChar w:fldCharType="separate"/>
            </w:r>
            <w:r w:rsidR="00B7726C">
              <w:rPr>
                <w:noProof/>
                <w:webHidden/>
              </w:rPr>
              <w:t>10</w:t>
            </w:r>
            <w:r w:rsidR="00B7726C">
              <w:rPr>
                <w:noProof/>
                <w:webHidden/>
              </w:rPr>
              <w:fldChar w:fldCharType="end"/>
            </w:r>
          </w:hyperlink>
        </w:p>
        <w:p w14:paraId="40600223" w14:textId="18C41CA3" w:rsidR="00B7726C" w:rsidRDefault="00736EAF">
          <w:pPr>
            <w:pStyle w:val="TOC2"/>
            <w:tabs>
              <w:tab w:val="right" w:leader="dot" w:pos="9736"/>
            </w:tabs>
            <w:rPr>
              <w:rFonts w:asciiTheme="minorHAnsi" w:eastAsiaTheme="minorEastAsia" w:hAnsiTheme="minorHAnsi"/>
              <w:noProof/>
              <w:lang w:eastAsia="en-AU"/>
            </w:rPr>
          </w:pPr>
          <w:hyperlink w:anchor="_Toc62833783" w:history="1">
            <w:r w:rsidR="00B7726C" w:rsidRPr="002E072E">
              <w:rPr>
                <w:rStyle w:val="Hyperlink"/>
                <w:noProof/>
              </w:rPr>
              <w:t>Recommendation 4: Develop a COVID-19 youth recovery response that includes the voices and needs of young people with disability</w:t>
            </w:r>
            <w:r w:rsidR="00B7726C">
              <w:rPr>
                <w:noProof/>
                <w:webHidden/>
              </w:rPr>
              <w:tab/>
            </w:r>
            <w:r w:rsidR="00B7726C">
              <w:rPr>
                <w:noProof/>
                <w:webHidden/>
              </w:rPr>
              <w:fldChar w:fldCharType="begin"/>
            </w:r>
            <w:r w:rsidR="00B7726C">
              <w:rPr>
                <w:noProof/>
                <w:webHidden/>
              </w:rPr>
              <w:instrText xml:space="preserve"> PAGEREF _Toc62833783 \h </w:instrText>
            </w:r>
            <w:r w:rsidR="00B7726C">
              <w:rPr>
                <w:noProof/>
                <w:webHidden/>
              </w:rPr>
            </w:r>
            <w:r w:rsidR="00B7726C">
              <w:rPr>
                <w:noProof/>
                <w:webHidden/>
              </w:rPr>
              <w:fldChar w:fldCharType="separate"/>
            </w:r>
            <w:r w:rsidR="00B7726C">
              <w:rPr>
                <w:noProof/>
                <w:webHidden/>
              </w:rPr>
              <w:t>11</w:t>
            </w:r>
            <w:r w:rsidR="00B7726C">
              <w:rPr>
                <w:noProof/>
                <w:webHidden/>
              </w:rPr>
              <w:fldChar w:fldCharType="end"/>
            </w:r>
          </w:hyperlink>
        </w:p>
        <w:p w14:paraId="3E3EC930" w14:textId="0A840609" w:rsidR="00B7726C" w:rsidRDefault="00736EAF">
          <w:pPr>
            <w:pStyle w:val="TOC2"/>
            <w:tabs>
              <w:tab w:val="right" w:leader="dot" w:pos="9736"/>
            </w:tabs>
            <w:rPr>
              <w:rFonts w:asciiTheme="minorHAnsi" w:eastAsiaTheme="minorEastAsia" w:hAnsiTheme="minorHAnsi"/>
              <w:noProof/>
              <w:lang w:eastAsia="en-AU"/>
            </w:rPr>
          </w:pPr>
          <w:hyperlink w:anchor="_Toc62833784" w:history="1">
            <w:r w:rsidR="00B7726C" w:rsidRPr="002E072E">
              <w:rPr>
                <w:rStyle w:val="Hyperlink"/>
                <w:noProof/>
              </w:rPr>
              <w:t>Recommendation 5: Ensure young people with disability are not living in poverty</w:t>
            </w:r>
            <w:r w:rsidR="00B7726C">
              <w:rPr>
                <w:noProof/>
                <w:webHidden/>
              </w:rPr>
              <w:tab/>
            </w:r>
            <w:r w:rsidR="00B7726C">
              <w:rPr>
                <w:noProof/>
                <w:webHidden/>
              </w:rPr>
              <w:fldChar w:fldCharType="begin"/>
            </w:r>
            <w:r w:rsidR="00B7726C">
              <w:rPr>
                <w:noProof/>
                <w:webHidden/>
              </w:rPr>
              <w:instrText xml:space="preserve"> PAGEREF _Toc62833784 \h </w:instrText>
            </w:r>
            <w:r w:rsidR="00B7726C">
              <w:rPr>
                <w:noProof/>
                <w:webHidden/>
              </w:rPr>
            </w:r>
            <w:r w:rsidR="00B7726C">
              <w:rPr>
                <w:noProof/>
                <w:webHidden/>
              </w:rPr>
              <w:fldChar w:fldCharType="separate"/>
            </w:r>
            <w:r w:rsidR="00B7726C">
              <w:rPr>
                <w:noProof/>
                <w:webHidden/>
              </w:rPr>
              <w:t>12</w:t>
            </w:r>
            <w:r w:rsidR="00B7726C">
              <w:rPr>
                <w:noProof/>
                <w:webHidden/>
              </w:rPr>
              <w:fldChar w:fldCharType="end"/>
            </w:r>
          </w:hyperlink>
        </w:p>
        <w:p w14:paraId="09B9136D" w14:textId="0D20C862" w:rsidR="00B7726C" w:rsidRDefault="00736EAF">
          <w:pPr>
            <w:pStyle w:val="TOC2"/>
            <w:tabs>
              <w:tab w:val="right" w:leader="dot" w:pos="9736"/>
            </w:tabs>
            <w:rPr>
              <w:rFonts w:asciiTheme="minorHAnsi" w:eastAsiaTheme="minorEastAsia" w:hAnsiTheme="minorHAnsi"/>
              <w:noProof/>
              <w:lang w:eastAsia="en-AU"/>
            </w:rPr>
          </w:pPr>
          <w:hyperlink w:anchor="_Toc62833785" w:history="1">
            <w:r w:rsidR="00B7726C" w:rsidRPr="002E072E">
              <w:rPr>
                <w:rStyle w:val="Hyperlink"/>
                <w:noProof/>
              </w:rPr>
              <w:t>Figure 1: Trends from 2009 to 2020 of Newstart/Jobseeker Allowance, Youth Allowance with partial capacity to work and Disability Support Pension recipients aged 20 to 25 years</w:t>
            </w:r>
            <w:r w:rsidR="00B7726C">
              <w:rPr>
                <w:noProof/>
                <w:webHidden/>
              </w:rPr>
              <w:tab/>
            </w:r>
            <w:r w:rsidR="00B7726C">
              <w:rPr>
                <w:noProof/>
                <w:webHidden/>
              </w:rPr>
              <w:fldChar w:fldCharType="begin"/>
            </w:r>
            <w:r w:rsidR="00B7726C">
              <w:rPr>
                <w:noProof/>
                <w:webHidden/>
              </w:rPr>
              <w:instrText xml:space="preserve"> PAGEREF _Toc62833785 \h </w:instrText>
            </w:r>
            <w:r w:rsidR="00B7726C">
              <w:rPr>
                <w:noProof/>
                <w:webHidden/>
              </w:rPr>
            </w:r>
            <w:r w:rsidR="00B7726C">
              <w:rPr>
                <w:noProof/>
                <w:webHidden/>
              </w:rPr>
              <w:fldChar w:fldCharType="separate"/>
            </w:r>
            <w:r w:rsidR="00B7726C">
              <w:rPr>
                <w:noProof/>
                <w:webHidden/>
              </w:rPr>
              <w:t>13</w:t>
            </w:r>
            <w:r w:rsidR="00B7726C">
              <w:rPr>
                <w:noProof/>
                <w:webHidden/>
              </w:rPr>
              <w:fldChar w:fldCharType="end"/>
            </w:r>
          </w:hyperlink>
        </w:p>
        <w:p w14:paraId="1C2B0009" w14:textId="00E131ED" w:rsidR="00B7726C" w:rsidRDefault="00736EAF">
          <w:pPr>
            <w:pStyle w:val="TOC2"/>
            <w:tabs>
              <w:tab w:val="right" w:leader="dot" w:pos="9736"/>
            </w:tabs>
            <w:rPr>
              <w:rFonts w:asciiTheme="minorHAnsi" w:eastAsiaTheme="minorEastAsia" w:hAnsiTheme="minorHAnsi"/>
              <w:noProof/>
              <w:lang w:eastAsia="en-AU"/>
            </w:rPr>
          </w:pPr>
          <w:hyperlink w:anchor="_Toc62833786" w:history="1">
            <w:r w:rsidR="00B7726C" w:rsidRPr="002E072E">
              <w:rPr>
                <w:rStyle w:val="Hyperlink"/>
                <w:noProof/>
              </w:rPr>
              <w:t>Figure 2: Trends from 2009 to 2020 of Youth Allowance with partial capacity to work and Disability Support Pension recipients aged 19 years and under</w:t>
            </w:r>
            <w:r w:rsidR="00B7726C">
              <w:rPr>
                <w:noProof/>
                <w:webHidden/>
              </w:rPr>
              <w:tab/>
            </w:r>
            <w:r w:rsidR="00B7726C">
              <w:rPr>
                <w:noProof/>
                <w:webHidden/>
              </w:rPr>
              <w:fldChar w:fldCharType="begin"/>
            </w:r>
            <w:r w:rsidR="00B7726C">
              <w:rPr>
                <w:noProof/>
                <w:webHidden/>
              </w:rPr>
              <w:instrText xml:space="preserve"> PAGEREF _Toc62833786 \h </w:instrText>
            </w:r>
            <w:r w:rsidR="00B7726C">
              <w:rPr>
                <w:noProof/>
                <w:webHidden/>
              </w:rPr>
            </w:r>
            <w:r w:rsidR="00B7726C">
              <w:rPr>
                <w:noProof/>
                <w:webHidden/>
              </w:rPr>
              <w:fldChar w:fldCharType="separate"/>
            </w:r>
            <w:r w:rsidR="00B7726C">
              <w:rPr>
                <w:noProof/>
                <w:webHidden/>
              </w:rPr>
              <w:t>14</w:t>
            </w:r>
            <w:r w:rsidR="00B7726C">
              <w:rPr>
                <w:noProof/>
                <w:webHidden/>
              </w:rPr>
              <w:fldChar w:fldCharType="end"/>
            </w:r>
          </w:hyperlink>
        </w:p>
        <w:p w14:paraId="38AD1F07" w14:textId="2087DE31" w:rsidR="00B7726C" w:rsidRDefault="00736EAF">
          <w:pPr>
            <w:pStyle w:val="TOC2"/>
            <w:tabs>
              <w:tab w:val="right" w:leader="dot" w:pos="9736"/>
            </w:tabs>
            <w:rPr>
              <w:rFonts w:asciiTheme="minorHAnsi" w:eastAsiaTheme="minorEastAsia" w:hAnsiTheme="minorHAnsi"/>
              <w:noProof/>
              <w:lang w:eastAsia="en-AU"/>
            </w:rPr>
          </w:pPr>
          <w:hyperlink w:anchor="_Toc62833787" w:history="1">
            <w:r w:rsidR="00B7726C" w:rsidRPr="002E072E">
              <w:rPr>
                <w:rStyle w:val="Hyperlink"/>
                <w:noProof/>
              </w:rPr>
              <w:t>Recommendation 6: Ensure the National Disability Insurance Scheme is fit-for-purpose for children and young people</w:t>
            </w:r>
            <w:r w:rsidR="00B7726C">
              <w:rPr>
                <w:noProof/>
                <w:webHidden/>
              </w:rPr>
              <w:tab/>
            </w:r>
            <w:r w:rsidR="00B7726C">
              <w:rPr>
                <w:noProof/>
                <w:webHidden/>
              </w:rPr>
              <w:fldChar w:fldCharType="begin"/>
            </w:r>
            <w:r w:rsidR="00B7726C">
              <w:rPr>
                <w:noProof/>
                <w:webHidden/>
              </w:rPr>
              <w:instrText xml:space="preserve"> PAGEREF _Toc62833787 \h </w:instrText>
            </w:r>
            <w:r w:rsidR="00B7726C">
              <w:rPr>
                <w:noProof/>
                <w:webHidden/>
              </w:rPr>
            </w:r>
            <w:r w:rsidR="00B7726C">
              <w:rPr>
                <w:noProof/>
                <w:webHidden/>
              </w:rPr>
              <w:fldChar w:fldCharType="separate"/>
            </w:r>
            <w:r w:rsidR="00B7726C">
              <w:rPr>
                <w:noProof/>
                <w:webHidden/>
              </w:rPr>
              <w:t>14</w:t>
            </w:r>
            <w:r w:rsidR="00B7726C">
              <w:rPr>
                <w:noProof/>
                <w:webHidden/>
              </w:rPr>
              <w:fldChar w:fldCharType="end"/>
            </w:r>
          </w:hyperlink>
        </w:p>
        <w:p w14:paraId="648C2D80" w14:textId="64D08EF1" w:rsidR="00B7726C" w:rsidRDefault="00736EAF">
          <w:pPr>
            <w:pStyle w:val="TOC2"/>
            <w:tabs>
              <w:tab w:val="right" w:leader="dot" w:pos="9736"/>
            </w:tabs>
            <w:rPr>
              <w:rFonts w:asciiTheme="minorHAnsi" w:eastAsiaTheme="minorEastAsia" w:hAnsiTheme="minorHAnsi"/>
              <w:noProof/>
              <w:lang w:eastAsia="en-AU"/>
            </w:rPr>
          </w:pPr>
          <w:hyperlink w:anchor="_Toc62833788" w:history="1">
            <w:r w:rsidR="00B7726C" w:rsidRPr="002E072E">
              <w:rPr>
                <w:rStyle w:val="Hyperlink"/>
                <w:noProof/>
              </w:rPr>
              <w:t>Recommendation 7: Fund outcomes monitoring for children and young people with disability</w:t>
            </w:r>
            <w:r w:rsidR="00B7726C">
              <w:rPr>
                <w:noProof/>
                <w:webHidden/>
              </w:rPr>
              <w:tab/>
            </w:r>
            <w:r w:rsidR="00B7726C">
              <w:rPr>
                <w:noProof/>
                <w:webHidden/>
              </w:rPr>
              <w:fldChar w:fldCharType="begin"/>
            </w:r>
            <w:r w:rsidR="00B7726C">
              <w:rPr>
                <w:noProof/>
                <w:webHidden/>
              </w:rPr>
              <w:instrText xml:space="preserve"> PAGEREF _Toc62833788 \h </w:instrText>
            </w:r>
            <w:r w:rsidR="00B7726C">
              <w:rPr>
                <w:noProof/>
                <w:webHidden/>
              </w:rPr>
            </w:r>
            <w:r w:rsidR="00B7726C">
              <w:rPr>
                <w:noProof/>
                <w:webHidden/>
              </w:rPr>
              <w:fldChar w:fldCharType="separate"/>
            </w:r>
            <w:r w:rsidR="00B7726C">
              <w:rPr>
                <w:noProof/>
                <w:webHidden/>
              </w:rPr>
              <w:t>16</w:t>
            </w:r>
            <w:r w:rsidR="00B7726C">
              <w:rPr>
                <w:noProof/>
                <w:webHidden/>
              </w:rPr>
              <w:fldChar w:fldCharType="end"/>
            </w:r>
          </w:hyperlink>
        </w:p>
        <w:p w14:paraId="70BA7F28" w14:textId="7C62E564" w:rsidR="00B7726C" w:rsidRDefault="00736EAF">
          <w:pPr>
            <w:pStyle w:val="TOC2"/>
            <w:tabs>
              <w:tab w:val="right" w:leader="dot" w:pos="9736"/>
            </w:tabs>
            <w:rPr>
              <w:rFonts w:asciiTheme="minorHAnsi" w:eastAsiaTheme="minorEastAsia" w:hAnsiTheme="minorHAnsi"/>
              <w:noProof/>
              <w:lang w:eastAsia="en-AU"/>
            </w:rPr>
          </w:pPr>
          <w:hyperlink w:anchor="_Toc62833789" w:history="1">
            <w:r w:rsidR="00B7726C" w:rsidRPr="002E072E">
              <w:rPr>
                <w:rStyle w:val="Hyperlink"/>
                <w:noProof/>
              </w:rPr>
              <w:t>Recommendation 8: Ensure the Royal Commission into the Violence, Abuse, Neglect and Exploitation of People with Disability can meet its terms of reference</w:t>
            </w:r>
            <w:r w:rsidR="00B7726C">
              <w:rPr>
                <w:noProof/>
                <w:webHidden/>
              </w:rPr>
              <w:tab/>
            </w:r>
            <w:r w:rsidR="00B7726C">
              <w:rPr>
                <w:noProof/>
                <w:webHidden/>
              </w:rPr>
              <w:fldChar w:fldCharType="begin"/>
            </w:r>
            <w:r w:rsidR="00B7726C">
              <w:rPr>
                <w:noProof/>
                <w:webHidden/>
              </w:rPr>
              <w:instrText xml:space="preserve"> PAGEREF _Toc62833789 \h </w:instrText>
            </w:r>
            <w:r w:rsidR="00B7726C">
              <w:rPr>
                <w:noProof/>
                <w:webHidden/>
              </w:rPr>
            </w:r>
            <w:r w:rsidR="00B7726C">
              <w:rPr>
                <w:noProof/>
                <w:webHidden/>
              </w:rPr>
              <w:fldChar w:fldCharType="separate"/>
            </w:r>
            <w:r w:rsidR="00B7726C">
              <w:rPr>
                <w:noProof/>
                <w:webHidden/>
              </w:rPr>
              <w:t>16</w:t>
            </w:r>
            <w:r w:rsidR="00B7726C">
              <w:rPr>
                <w:noProof/>
                <w:webHidden/>
              </w:rPr>
              <w:fldChar w:fldCharType="end"/>
            </w:r>
          </w:hyperlink>
        </w:p>
        <w:p w14:paraId="3DAD24CE" w14:textId="58AE59C3" w:rsidR="00B7726C" w:rsidRDefault="00736EAF">
          <w:pPr>
            <w:pStyle w:val="TOC2"/>
            <w:tabs>
              <w:tab w:val="right" w:leader="dot" w:pos="9736"/>
            </w:tabs>
            <w:rPr>
              <w:rFonts w:asciiTheme="minorHAnsi" w:eastAsiaTheme="minorEastAsia" w:hAnsiTheme="minorHAnsi"/>
              <w:noProof/>
              <w:lang w:eastAsia="en-AU"/>
            </w:rPr>
          </w:pPr>
          <w:hyperlink w:anchor="_Toc62833790" w:history="1">
            <w:r w:rsidR="00B7726C" w:rsidRPr="002E072E">
              <w:rPr>
                <w:rStyle w:val="Hyperlink"/>
                <w:noProof/>
              </w:rPr>
              <w:t>Recommendation 9: Adequately resource the new National Disability Strategy’s actions and strategies</w:t>
            </w:r>
            <w:r w:rsidR="00B7726C">
              <w:rPr>
                <w:noProof/>
                <w:webHidden/>
              </w:rPr>
              <w:tab/>
            </w:r>
            <w:r w:rsidR="00B7726C">
              <w:rPr>
                <w:noProof/>
                <w:webHidden/>
              </w:rPr>
              <w:fldChar w:fldCharType="begin"/>
            </w:r>
            <w:r w:rsidR="00B7726C">
              <w:rPr>
                <w:noProof/>
                <w:webHidden/>
              </w:rPr>
              <w:instrText xml:space="preserve"> PAGEREF _Toc62833790 \h </w:instrText>
            </w:r>
            <w:r w:rsidR="00B7726C">
              <w:rPr>
                <w:noProof/>
                <w:webHidden/>
              </w:rPr>
            </w:r>
            <w:r w:rsidR="00B7726C">
              <w:rPr>
                <w:noProof/>
                <w:webHidden/>
              </w:rPr>
              <w:fldChar w:fldCharType="separate"/>
            </w:r>
            <w:r w:rsidR="00B7726C">
              <w:rPr>
                <w:noProof/>
                <w:webHidden/>
              </w:rPr>
              <w:t>17</w:t>
            </w:r>
            <w:r w:rsidR="00B7726C">
              <w:rPr>
                <w:noProof/>
                <w:webHidden/>
              </w:rPr>
              <w:fldChar w:fldCharType="end"/>
            </w:r>
          </w:hyperlink>
        </w:p>
        <w:p w14:paraId="3669D5AB" w14:textId="13ECBCAD" w:rsidR="00B7726C" w:rsidRDefault="00736EAF">
          <w:pPr>
            <w:pStyle w:val="TOC2"/>
            <w:tabs>
              <w:tab w:val="right" w:leader="dot" w:pos="9736"/>
            </w:tabs>
            <w:rPr>
              <w:rFonts w:asciiTheme="minorHAnsi" w:eastAsiaTheme="minorEastAsia" w:hAnsiTheme="minorHAnsi"/>
              <w:noProof/>
              <w:lang w:eastAsia="en-AU"/>
            </w:rPr>
          </w:pPr>
          <w:hyperlink w:anchor="_Toc62833791" w:history="1">
            <w:r w:rsidR="00B7726C" w:rsidRPr="002E072E">
              <w:rPr>
                <w:rStyle w:val="Hyperlink"/>
                <w:noProof/>
              </w:rPr>
              <w:t>Recommendation 10: Boost funding for systemic and individual advocacy for children and young people with disability for better outcomes</w:t>
            </w:r>
            <w:r w:rsidR="00B7726C">
              <w:rPr>
                <w:noProof/>
                <w:webHidden/>
              </w:rPr>
              <w:tab/>
            </w:r>
            <w:r w:rsidR="00B7726C">
              <w:rPr>
                <w:noProof/>
                <w:webHidden/>
              </w:rPr>
              <w:fldChar w:fldCharType="begin"/>
            </w:r>
            <w:r w:rsidR="00B7726C">
              <w:rPr>
                <w:noProof/>
                <w:webHidden/>
              </w:rPr>
              <w:instrText xml:space="preserve"> PAGEREF _Toc62833791 \h </w:instrText>
            </w:r>
            <w:r w:rsidR="00B7726C">
              <w:rPr>
                <w:noProof/>
                <w:webHidden/>
              </w:rPr>
            </w:r>
            <w:r w:rsidR="00B7726C">
              <w:rPr>
                <w:noProof/>
                <w:webHidden/>
              </w:rPr>
              <w:fldChar w:fldCharType="separate"/>
            </w:r>
            <w:r w:rsidR="00B7726C">
              <w:rPr>
                <w:noProof/>
                <w:webHidden/>
              </w:rPr>
              <w:t>17</w:t>
            </w:r>
            <w:r w:rsidR="00B7726C">
              <w:rPr>
                <w:noProof/>
                <w:webHidden/>
              </w:rPr>
              <w:fldChar w:fldCharType="end"/>
            </w:r>
          </w:hyperlink>
        </w:p>
        <w:p w14:paraId="6D4B0F6B" w14:textId="1536CB01"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2A9A456A" w14:textId="43153383" w:rsidR="0087777F" w:rsidRPr="003A71D7" w:rsidRDefault="0087777F" w:rsidP="0087777F">
      <w:pPr>
        <w:spacing w:before="0" w:line="259" w:lineRule="auto"/>
      </w:pPr>
      <w:r>
        <w:br w:type="page"/>
      </w:r>
    </w:p>
    <w:p w14:paraId="5D78670A" w14:textId="77777777" w:rsidR="00647D9D" w:rsidRDefault="00647D9D" w:rsidP="0041009E">
      <w:pPr>
        <w:pStyle w:val="Heading1"/>
      </w:pPr>
      <w:bookmarkStart w:id="0" w:name="_Toc62833777"/>
      <w:r>
        <w:lastRenderedPageBreak/>
        <w:t>Summary of recommendations</w:t>
      </w:r>
      <w:bookmarkEnd w:id="0"/>
    </w:p>
    <w:p w14:paraId="1004BAE0" w14:textId="7B4C4AAB" w:rsidR="00ED54DB" w:rsidRPr="00C3613B" w:rsidRDefault="00ED54DB" w:rsidP="00ED54DB">
      <w:pPr>
        <w:rPr>
          <w:rFonts w:cs="Arial"/>
          <w:b/>
          <w:bCs/>
        </w:rPr>
      </w:pPr>
      <w:r w:rsidRPr="00C3613B">
        <w:rPr>
          <w:rFonts w:cs="Arial"/>
          <w:b/>
          <w:bCs/>
        </w:rPr>
        <w:t xml:space="preserve">Recommendation 1: </w:t>
      </w:r>
      <w:r w:rsidR="00D608BA" w:rsidRPr="00C3613B">
        <w:rPr>
          <w:rFonts w:cs="Arial"/>
          <w:b/>
          <w:bCs/>
        </w:rPr>
        <w:t xml:space="preserve">Involve and engage children and young people with disability across all government portfolios impacting their </w:t>
      </w:r>
      <w:proofErr w:type="gramStart"/>
      <w:r w:rsidR="00D608BA" w:rsidRPr="00C3613B">
        <w:rPr>
          <w:rFonts w:cs="Arial"/>
          <w:b/>
          <w:bCs/>
        </w:rPr>
        <w:t>li</w:t>
      </w:r>
      <w:r w:rsidR="00B72C35" w:rsidRPr="00C3613B">
        <w:rPr>
          <w:rFonts w:cs="Arial"/>
          <w:b/>
          <w:bCs/>
        </w:rPr>
        <w:t>ves</w:t>
      </w:r>
      <w:proofErr w:type="gramEnd"/>
    </w:p>
    <w:p w14:paraId="4BE9F40F" w14:textId="2BCBCFF6" w:rsidR="00ED54DB" w:rsidRPr="00C3613B" w:rsidRDefault="00ED54DB" w:rsidP="00ED54DB">
      <w:pPr>
        <w:rPr>
          <w:rFonts w:cs="Arial"/>
        </w:rPr>
      </w:pPr>
      <w:r w:rsidRPr="00C3613B">
        <w:rPr>
          <w:rFonts w:cs="Arial"/>
        </w:rPr>
        <w:t xml:space="preserve">Children and young people with disability often face barriers to participating in consultative activities that inform policy and service development. This breaches children and young people’s rights and risks government investing in </w:t>
      </w:r>
      <w:r w:rsidR="007A09F0" w:rsidRPr="00C3613B">
        <w:rPr>
          <w:rFonts w:cs="Arial"/>
        </w:rPr>
        <w:t xml:space="preserve">actions </w:t>
      </w:r>
      <w:r w:rsidRPr="00C3613B">
        <w:rPr>
          <w:rFonts w:cs="Arial"/>
        </w:rPr>
        <w:t>that will not work or failing to provide targeted supports where most necessary. Funding is required to develop and implement a National Child and Young Person with Disability Engagement Framework</w:t>
      </w:r>
      <w:r w:rsidR="00886E54" w:rsidRPr="00C3613B">
        <w:rPr>
          <w:rFonts w:cs="Arial"/>
        </w:rPr>
        <w:t>.</w:t>
      </w:r>
    </w:p>
    <w:p w14:paraId="567B3FBC" w14:textId="328F3F04" w:rsidR="00ED54DB" w:rsidRPr="00C3613B" w:rsidRDefault="00ED54DB" w:rsidP="00ED54DB">
      <w:pPr>
        <w:rPr>
          <w:rFonts w:cs="Arial"/>
        </w:rPr>
      </w:pPr>
      <w:r w:rsidRPr="00C3613B">
        <w:rPr>
          <w:rFonts w:cs="Arial"/>
          <w:b/>
          <w:bCs/>
        </w:rPr>
        <w:t xml:space="preserve">Recommendation 2: Drive and fund transformational change to ensure inclusive </w:t>
      </w:r>
      <w:proofErr w:type="gramStart"/>
      <w:r w:rsidRPr="00C3613B">
        <w:rPr>
          <w:rFonts w:cs="Arial"/>
          <w:b/>
          <w:bCs/>
        </w:rPr>
        <w:t>education</w:t>
      </w:r>
      <w:proofErr w:type="gramEnd"/>
    </w:p>
    <w:p w14:paraId="3C7152C5" w14:textId="51AB3EEC" w:rsidR="00886E54" w:rsidRPr="00C3613B" w:rsidRDefault="00886E54" w:rsidP="00ED54DB">
      <w:pPr>
        <w:rPr>
          <w:rFonts w:cs="Arial"/>
        </w:rPr>
      </w:pPr>
      <w:r w:rsidRPr="00C3613B">
        <w:rPr>
          <w:rFonts w:cs="Arial"/>
        </w:rPr>
        <w:t xml:space="preserve">Australia’s education system is inequitable and does not adequately support the learning </w:t>
      </w:r>
      <w:r w:rsidR="007A09F0" w:rsidRPr="00C3613B">
        <w:rPr>
          <w:rFonts w:cs="Arial"/>
        </w:rPr>
        <w:t xml:space="preserve">and full inclusion of </w:t>
      </w:r>
      <w:r w:rsidRPr="00C3613B">
        <w:rPr>
          <w:rFonts w:cs="Arial"/>
        </w:rPr>
        <w:t xml:space="preserve">children and young people with disability. </w:t>
      </w:r>
      <w:r w:rsidR="007A09F0" w:rsidRPr="00C3613B">
        <w:rPr>
          <w:rFonts w:cs="Arial"/>
        </w:rPr>
        <w:t xml:space="preserve">Segregation of students with disability in special schools and classes continues and is growing, despite compelling evidence that inclusion in regular schools leads to better short and long-term outcomes. </w:t>
      </w:r>
      <w:r w:rsidRPr="00C3613B">
        <w:rPr>
          <w:rFonts w:cs="Arial"/>
        </w:rPr>
        <w:t>A National I</w:t>
      </w:r>
      <w:r w:rsidRPr="00C3613B">
        <w:rPr>
          <w:rFonts w:eastAsia="Times New Roman" w:cs="Arial"/>
          <w:color w:val="201F1E"/>
          <w:shd w:val="clear" w:color="auto" w:fill="FFFFFF"/>
        </w:rPr>
        <w:t xml:space="preserve">nclusive Education Plan is required to guarantee </w:t>
      </w:r>
      <w:r w:rsidR="007A09F0" w:rsidRPr="00C3613B">
        <w:rPr>
          <w:rFonts w:eastAsia="Times New Roman" w:cs="Arial"/>
          <w:color w:val="201F1E"/>
          <w:shd w:val="clear" w:color="auto" w:fill="FFFFFF"/>
        </w:rPr>
        <w:t xml:space="preserve">compliance with Australia’s international human rights obligations, consistent </w:t>
      </w:r>
      <w:r w:rsidRPr="00C3613B">
        <w:rPr>
          <w:rFonts w:cs="Arial"/>
        </w:rPr>
        <w:t>policies and practice across the country, educational outcomes are monitored and improved, and responsibilities across jurisdictions are clear.</w:t>
      </w:r>
    </w:p>
    <w:p w14:paraId="5149066F" w14:textId="324E4927" w:rsidR="00ED54DB" w:rsidRPr="00C3613B" w:rsidRDefault="00ED54DB" w:rsidP="00ED54DB">
      <w:pPr>
        <w:rPr>
          <w:rFonts w:cs="Arial"/>
        </w:rPr>
      </w:pPr>
      <w:r w:rsidRPr="00C3613B">
        <w:rPr>
          <w:rFonts w:cs="Arial"/>
          <w:b/>
          <w:bCs/>
        </w:rPr>
        <w:t>Recommendation 3: Develop and implement a targeted National Youth Disability Employment Strategy</w:t>
      </w:r>
      <w:r w:rsidRPr="00C3613B">
        <w:rPr>
          <w:rFonts w:cs="Arial"/>
        </w:rPr>
        <w:tab/>
      </w:r>
    </w:p>
    <w:p w14:paraId="00591D3C" w14:textId="4459F8D9" w:rsidR="00886E54" w:rsidRPr="00C3613B" w:rsidRDefault="00886E54" w:rsidP="00ED54DB">
      <w:pPr>
        <w:rPr>
          <w:rFonts w:cs="Arial"/>
        </w:rPr>
      </w:pPr>
      <w:r w:rsidRPr="00C3613B">
        <w:rPr>
          <w:rFonts w:cs="Arial"/>
        </w:rPr>
        <w:t>Young people with disability experience high rates of unemployment and underemployment. They experience the intersectional disadvantage of being a both young person and a person with disability in the labour market – w</w:t>
      </w:r>
      <w:r w:rsidR="00E8239D" w:rsidRPr="00C3613B">
        <w:rPr>
          <w:rFonts w:cs="Arial"/>
        </w:rPr>
        <w:t>ith</w:t>
      </w:r>
      <w:r w:rsidRPr="00C3613B">
        <w:rPr>
          <w:rFonts w:cs="Arial"/>
        </w:rPr>
        <w:t xml:space="preserve"> this disadvantage expected to be entrenched </w:t>
      </w:r>
      <w:proofErr w:type="gramStart"/>
      <w:r w:rsidRPr="00C3613B">
        <w:rPr>
          <w:rFonts w:cs="Arial"/>
        </w:rPr>
        <w:t>as a result of</w:t>
      </w:r>
      <w:proofErr w:type="gramEnd"/>
      <w:r w:rsidRPr="00C3613B">
        <w:rPr>
          <w:rFonts w:cs="Arial"/>
        </w:rPr>
        <w:t xml:space="preserve"> the COVID-19 economic down-turn. A targeted National Youth </w:t>
      </w:r>
      <w:r w:rsidR="000E1EB1" w:rsidRPr="00C3613B">
        <w:rPr>
          <w:rFonts w:cs="Arial"/>
        </w:rPr>
        <w:t>Disability Employment Strategy</w:t>
      </w:r>
      <w:r w:rsidR="008D640F" w:rsidRPr="00C3613B">
        <w:rPr>
          <w:rFonts w:cs="Arial"/>
        </w:rPr>
        <w:t xml:space="preserve"> which spans the career planning and support required in secondary school and the transition to post-school options</w:t>
      </w:r>
      <w:r w:rsidR="000E1EB1" w:rsidRPr="00C3613B">
        <w:rPr>
          <w:rFonts w:cs="Arial"/>
        </w:rPr>
        <w:t xml:space="preserve"> is required.</w:t>
      </w:r>
      <w:r w:rsidRPr="00C3613B">
        <w:rPr>
          <w:rFonts w:cs="Arial"/>
        </w:rPr>
        <w:t xml:space="preserve"> </w:t>
      </w:r>
    </w:p>
    <w:p w14:paraId="7A71E509" w14:textId="56ABA0F5" w:rsidR="00C143FB" w:rsidRPr="00C3613B" w:rsidRDefault="00ED54DB" w:rsidP="00ED54DB">
      <w:pPr>
        <w:rPr>
          <w:rFonts w:cs="Arial"/>
          <w:b/>
          <w:bCs/>
        </w:rPr>
      </w:pPr>
      <w:r w:rsidRPr="00C3613B">
        <w:rPr>
          <w:rFonts w:cs="Arial"/>
          <w:b/>
          <w:bCs/>
        </w:rPr>
        <w:t xml:space="preserve">Recommendation 4: </w:t>
      </w:r>
      <w:r w:rsidR="00C143FB" w:rsidRPr="00C3613B">
        <w:rPr>
          <w:rFonts w:cs="Arial"/>
          <w:b/>
          <w:bCs/>
        </w:rPr>
        <w:t>Develop a COVID-19 youth recovery response that includes the voice</w:t>
      </w:r>
      <w:r w:rsidR="00EE590B" w:rsidRPr="00C3613B">
        <w:rPr>
          <w:rFonts w:cs="Arial"/>
          <w:b/>
          <w:bCs/>
        </w:rPr>
        <w:t>s</w:t>
      </w:r>
      <w:r w:rsidR="00C143FB" w:rsidRPr="00C3613B">
        <w:rPr>
          <w:rFonts w:cs="Arial"/>
          <w:b/>
          <w:bCs/>
        </w:rPr>
        <w:t xml:space="preserve"> and needs of young people with </w:t>
      </w:r>
      <w:proofErr w:type="gramStart"/>
      <w:r w:rsidR="00C143FB" w:rsidRPr="00C3613B">
        <w:rPr>
          <w:rFonts w:cs="Arial"/>
          <w:b/>
          <w:bCs/>
        </w:rPr>
        <w:t>disability</w:t>
      </w:r>
      <w:proofErr w:type="gramEnd"/>
    </w:p>
    <w:p w14:paraId="24C418CF" w14:textId="77E16D12" w:rsidR="00C143FB" w:rsidRPr="00C3613B" w:rsidRDefault="00C143FB" w:rsidP="00ED54DB">
      <w:pPr>
        <w:rPr>
          <w:rFonts w:cs="Arial"/>
        </w:rPr>
      </w:pPr>
      <w:r w:rsidRPr="00C3613B">
        <w:rPr>
          <w:rFonts w:cs="Arial"/>
        </w:rPr>
        <w:t>Young people are disproportiona</w:t>
      </w:r>
      <w:r w:rsidR="009040BB" w:rsidRPr="00C3613B">
        <w:rPr>
          <w:rFonts w:cs="Arial"/>
        </w:rPr>
        <w:t>tely</w:t>
      </w:r>
      <w:r w:rsidRPr="00C3613B">
        <w:rPr>
          <w:rFonts w:cs="Arial"/>
        </w:rPr>
        <w:t xml:space="preserve"> affected by the immediate and long-term economic and social impacts of the COVID-19 global pandemic. Within the youth cohort, young people with disability face increased marginalisation. Development and implementation of a </w:t>
      </w:r>
      <w:r w:rsidR="00901A5A" w:rsidRPr="00C3613B">
        <w:rPr>
          <w:rFonts w:cs="Arial"/>
        </w:rPr>
        <w:t>COVID-19 y</w:t>
      </w:r>
      <w:r w:rsidRPr="00C3613B">
        <w:rPr>
          <w:rFonts w:cs="Arial"/>
        </w:rPr>
        <w:t xml:space="preserve">outh </w:t>
      </w:r>
      <w:r w:rsidR="00901A5A" w:rsidRPr="00C3613B">
        <w:rPr>
          <w:rFonts w:cs="Arial"/>
        </w:rPr>
        <w:t>r</w:t>
      </w:r>
      <w:r w:rsidRPr="00C3613B">
        <w:rPr>
          <w:rFonts w:cs="Arial"/>
        </w:rPr>
        <w:t xml:space="preserve">ecovery response is required to address inequities and mitigate negative, enduring consequences.  </w:t>
      </w:r>
    </w:p>
    <w:p w14:paraId="09DB2B9B" w14:textId="7E6C88AC" w:rsidR="00ED54DB" w:rsidRPr="00C3613B" w:rsidRDefault="00ED54DB" w:rsidP="00ED54DB">
      <w:pPr>
        <w:rPr>
          <w:rFonts w:cs="Arial"/>
          <w:b/>
          <w:bCs/>
        </w:rPr>
      </w:pPr>
      <w:r w:rsidRPr="00C3613B">
        <w:rPr>
          <w:rFonts w:cs="Arial"/>
          <w:b/>
          <w:bCs/>
        </w:rPr>
        <w:t xml:space="preserve">Recommendation 5: Ensure young people with disability are not living in </w:t>
      </w:r>
      <w:proofErr w:type="gramStart"/>
      <w:r w:rsidRPr="00C3613B">
        <w:rPr>
          <w:rFonts w:cs="Arial"/>
          <w:b/>
          <w:bCs/>
        </w:rPr>
        <w:t>poverty</w:t>
      </w:r>
      <w:proofErr w:type="gramEnd"/>
      <w:r w:rsidRPr="00C3613B">
        <w:rPr>
          <w:rFonts w:cs="Arial"/>
          <w:b/>
          <w:bCs/>
        </w:rPr>
        <w:tab/>
      </w:r>
    </w:p>
    <w:p w14:paraId="430C5455" w14:textId="20CF4CF6" w:rsidR="000E1EB1" w:rsidRPr="00C3613B" w:rsidRDefault="000E1EB1" w:rsidP="00ED54DB">
      <w:pPr>
        <w:rPr>
          <w:rFonts w:cs="Arial"/>
        </w:rPr>
      </w:pPr>
      <w:r w:rsidRPr="00C3613B">
        <w:rPr>
          <w:rFonts w:cs="Arial"/>
        </w:rPr>
        <w:t xml:space="preserve">Nearly half of young people with disability are reliant on income support as their main source of income. The income payments are inadequate for a dignified standard of living – with young people receiving varying rates of payment on an inequitable basis. </w:t>
      </w:r>
      <w:r w:rsidR="005C241F" w:rsidRPr="00C3613B">
        <w:rPr>
          <w:rFonts w:cs="Arial"/>
        </w:rPr>
        <w:t xml:space="preserve">A review and amendment of the social security system </w:t>
      </w:r>
      <w:r w:rsidR="00A05EAE" w:rsidRPr="00C3613B">
        <w:rPr>
          <w:rFonts w:cs="Arial"/>
        </w:rPr>
        <w:t xml:space="preserve">is </w:t>
      </w:r>
      <w:r w:rsidR="00901A5A" w:rsidRPr="00C3613B">
        <w:rPr>
          <w:rFonts w:cs="Arial"/>
        </w:rPr>
        <w:t xml:space="preserve">necessary </w:t>
      </w:r>
      <w:r w:rsidR="005C241F" w:rsidRPr="00C3613B">
        <w:rPr>
          <w:rFonts w:cs="Arial"/>
        </w:rPr>
        <w:t>to ensure that young people with disability are not living in poverty</w:t>
      </w:r>
      <w:r w:rsidR="00753357" w:rsidRPr="00C3613B">
        <w:rPr>
          <w:rFonts w:cs="Arial"/>
        </w:rPr>
        <w:t>.</w:t>
      </w:r>
    </w:p>
    <w:p w14:paraId="3824A091" w14:textId="152E7102" w:rsidR="00ED54DB" w:rsidRPr="00C3613B" w:rsidRDefault="00ED54DB" w:rsidP="00ED54DB">
      <w:pPr>
        <w:rPr>
          <w:rFonts w:cs="Arial"/>
          <w:b/>
          <w:bCs/>
        </w:rPr>
      </w:pPr>
      <w:r w:rsidRPr="00C3613B">
        <w:rPr>
          <w:rFonts w:cs="Arial"/>
          <w:b/>
          <w:bCs/>
        </w:rPr>
        <w:t xml:space="preserve">Recommendation 6: Ensure the National Disability Insurance Scheme is fit-for-purpose for children and young </w:t>
      </w:r>
      <w:proofErr w:type="gramStart"/>
      <w:r w:rsidRPr="00C3613B">
        <w:rPr>
          <w:rFonts w:cs="Arial"/>
          <w:b/>
          <w:bCs/>
        </w:rPr>
        <w:t>people</w:t>
      </w:r>
      <w:proofErr w:type="gramEnd"/>
      <w:r w:rsidRPr="00C3613B">
        <w:rPr>
          <w:rFonts w:cs="Arial"/>
          <w:b/>
          <w:bCs/>
        </w:rPr>
        <w:tab/>
      </w:r>
    </w:p>
    <w:p w14:paraId="31B20B68" w14:textId="3F885670" w:rsidR="005C241F" w:rsidRPr="00C3613B" w:rsidRDefault="005C241F" w:rsidP="00ED54DB">
      <w:pPr>
        <w:rPr>
          <w:rFonts w:cs="Arial"/>
          <w:caps/>
        </w:rPr>
      </w:pPr>
      <w:r w:rsidRPr="00C3613B">
        <w:rPr>
          <w:rFonts w:cs="Arial"/>
        </w:rPr>
        <w:t xml:space="preserve">The National Disability Insurance </w:t>
      </w:r>
      <w:r w:rsidR="00496E5C" w:rsidRPr="00C3613B">
        <w:rPr>
          <w:rFonts w:cs="Arial"/>
        </w:rPr>
        <w:t>Scheme</w:t>
      </w:r>
      <w:r w:rsidRPr="00C3613B">
        <w:rPr>
          <w:rFonts w:cs="Arial"/>
        </w:rPr>
        <w:t xml:space="preserve"> (NDIS) </w:t>
      </w:r>
      <w:r w:rsidR="00496E5C" w:rsidRPr="00C3613B">
        <w:rPr>
          <w:rFonts w:cs="Arial"/>
        </w:rPr>
        <w:t xml:space="preserve">model and service delivery does not </w:t>
      </w:r>
      <w:proofErr w:type="gramStart"/>
      <w:r w:rsidR="00496E5C" w:rsidRPr="00C3613B">
        <w:rPr>
          <w:rFonts w:cs="Arial"/>
        </w:rPr>
        <w:t>take into account</w:t>
      </w:r>
      <w:proofErr w:type="gramEnd"/>
      <w:r w:rsidR="00496E5C" w:rsidRPr="00C3613B">
        <w:rPr>
          <w:rFonts w:cs="Arial"/>
        </w:rPr>
        <w:t xml:space="preserve"> the holistic needs</w:t>
      </w:r>
      <w:r w:rsidR="00E74E9E" w:rsidRPr="00C3613B">
        <w:rPr>
          <w:rFonts w:cs="Arial"/>
        </w:rPr>
        <w:t xml:space="preserve"> of children and young </w:t>
      </w:r>
      <w:r w:rsidR="00E8239D" w:rsidRPr="00C3613B">
        <w:rPr>
          <w:rFonts w:cs="Arial"/>
        </w:rPr>
        <w:t>people</w:t>
      </w:r>
      <w:r w:rsidR="00496E5C" w:rsidRPr="00C3613B">
        <w:rPr>
          <w:rFonts w:cs="Arial"/>
        </w:rPr>
        <w:t>, including their development, social</w:t>
      </w:r>
      <w:r w:rsidR="00095F91" w:rsidRPr="00C3613B">
        <w:rPr>
          <w:rFonts w:cs="Arial"/>
        </w:rPr>
        <w:t xml:space="preserve"> and emotional needs,</w:t>
      </w:r>
      <w:r w:rsidR="00496E5C" w:rsidRPr="00C3613B">
        <w:rPr>
          <w:rFonts w:cs="Arial"/>
        </w:rPr>
        <w:t xml:space="preserve"> and interactions with mainstream services and community life. Additionally, the NDIS does not effectively interface with other service system</w:t>
      </w:r>
      <w:r w:rsidR="00E8239D" w:rsidRPr="00C3613B">
        <w:rPr>
          <w:rFonts w:cs="Arial"/>
        </w:rPr>
        <w:t>s</w:t>
      </w:r>
      <w:r w:rsidR="00496E5C" w:rsidRPr="00C3613B">
        <w:rPr>
          <w:rFonts w:cs="Arial"/>
        </w:rPr>
        <w:t xml:space="preserve">, resulting in children, young people and their families experiencing negative outcomes. It is recommended that a NDIS practice </w:t>
      </w:r>
      <w:r w:rsidR="00496E5C" w:rsidRPr="00C3613B">
        <w:rPr>
          <w:rFonts w:cs="Arial"/>
        </w:rPr>
        <w:lastRenderedPageBreak/>
        <w:t>framework for working with participants</w:t>
      </w:r>
      <w:r w:rsidR="00E8239D" w:rsidRPr="00C3613B">
        <w:rPr>
          <w:rFonts w:cs="Arial"/>
        </w:rPr>
        <w:t xml:space="preserve"> </w:t>
      </w:r>
      <w:r w:rsidR="00496E5C" w:rsidRPr="00C3613B">
        <w:rPr>
          <w:rFonts w:cs="Arial"/>
        </w:rPr>
        <w:t>aged 0-25</w:t>
      </w:r>
      <w:r w:rsidR="00E8239D" w:rsidRPr="00C3613B">
        <w:rPr>
          <w:rFonts w:cs="Arial"/>
        </w:rPr>
        <w:t xml:space="preserve"> is developed and rolled</w:t>
      </w:r>
      <w:r w:rsidR="00B61892" w:rsidRPr="00C3613B">
        <w:rPr>
          <w:rFonts w:cs="Arial"/>
        </w:rPr>
        <w:t xml:space="preserve"> </w:t>
      </w:r>
      <w:r w:rsidR="00E8239D" w:rsidRPr="00C3613B">
        <w:rPr>
          <w:rFonts w:cs="Arial"/>
        </w:rPr>
        <w:t>out</w:t>
      </w:r>
      <w:r w:rsidR="00496E5C" w:rsidRPr="00C3613B">
        <w:rPr>
          <w:rFonts w:cs="Arial"/>
        </w:rPr>
        <w:t xml:space="preserve"> to ensure service improvement and consistency across the country.</w:t>
      </w:r>
    </w:p>
    <w:p w14:paraId="7030AA8C" w14:textId="0B2014A6" w:rsidR="00ED54DB" w:rsidRPr="00C3613B" w:rsidRDefault="00ED54DB" w:rsidP="00ED54DB">
      <w:pPr>
        <w:rPr>
          <w:rFonts w:cs="Arial"/>
        </w:rPr>
      </w:pPr>
      <w:r w:rsidRPr="00C3613B">
        <w:rPr>
          <w:rFonts w:cs="Arial"/>
          <w:b/>
          <w:bCs/>
        </w:rPr>
        <w:t xml:space="preserve">Recommendation 7: Fund outcomes monitoring for children and young people with </w:t>
      </w:r>
      <w:proofErr w:type="gramStart"/>
      <w:r w:rsidRPr="00C3613B">
        <w:rPr>
          <w:rFonts w:cs="Arial"/>
          <w:b/>
          <w:bCs/>
        </w:rPr>
        <w:t>disability</w:t>
      </w:r>
      <w:proofErr w:type="gramEnd"/>
    </w:p>
    <w:p w14:paraId="68C4C845" w14:textId="4BC83DA0" w:rsidR="00E74E9E" w:rsidRPr="00C3613B" w:rsidRDefault="00E74E9E" w:rsidP="00ED54DB">
      <w:pPr>
        <w:rPr>
          <w:rFonts w:cs="Arial"/>
        </w:rPr>
      </w:pPr>
      <w:r w:rsidRPr="00C3613B">
        <w:rPr>
          <w:rFonts w:cs="Arial"/>
        </w:rPr>
        <w:t xml:space="preserve">The available data and </w:t>
      </w:r>
      <w:r w:rsidR="00095F91" w:rsidRPr="00C3613B">
        <w:rPr>
          <w:rFonts w:cs="Arial"/>
        </w:rPr>
        <w:t xml:space="preserve">outcomes </w:t>
      </w:r>
      <w:r w:rsidRPr="00C3613B">
        <w:rPr>
          <w:rFonts w:cs="Arial"/>
        </w:rPr>
        <w:t xml:space="preserve">reporting </w:t>
      </w:r>
      <w:r w:rsidR="00095F91" w:rsidRPr="00C3613B">
        <w:rPr>
          <w:rFonts w:cs="Arial"/>
        </w:rPr>
        <w:t xml:space="preserve">for </w:t>
      </w:r>
      <w:r w:rsidRPr="00C3613B">
        <w:rPr>
          <w:rFonts w:cs="Arial"/>
        </w:rPr>
        <w:t>children a</w:t>
      </w:r>
      <w:r w:rsidR="00753357" w:rsidRPr="00C3613B">
        <w:rPr>
          <w:rFonts w:cs="Arial"/>
        </w:rPr>
        <w:t>n</w:t>
      </w:r>
      <w:r w:rsidRPr="00C3613B">
        <w:rPr>
          <w:rFonts w:cs="Arial"/>
        </w:rPr>
        <w:t>d young people with disability is lacking. While the National Disability Data Asset</w:t>
      </w:r>
      <w:r w:rsidR="00753357" w:rsidRPr="00C3613B">
        <w:rPr>
          <w:rFonts w:cs="Arial"/>
        </w:rPr>
        <w:t xml:space="preserve"> (NDDA)</w:t>
      </w:r>
      <w:r w:rsidRPr="00C3613B">
        <w:rPr>
          <w:rFonts w:cs="Arial"/>
        </w:rPr>
        <w:t xml:space="preserve"> is a welcomed initiative to help addre</w:t>
      </w:r>
      <w:r w:rsidR="00753357" w:rsidRPr="00C3613B">
        <w:rPr>
          <w:rFonts w:cs="Arial"/>
        </w:rPr>
        <w:t>ss</w:t>
      </w:r>
      <w:r w:rsidR="00E8239D" w:rsidRPr="00C3613B">
        <w:rPr>
          <w:rFonts w:cs="Arial"/>
        </w:rPr>
        <w:t xml:space="preserve"> this issue</w:t>
      </w:r>
      <w:r w:rsidR="00753357" w:rsidRPr="00C3613B">
        <w:rPr>
          <w:rFonts w:cs="Arial"/>
        </w:rPr>
        <w:t xml:space="preserve">, </w:t>
      </w:r>
      <w:r w:rsidR="00E8239D" w:rsidRPr="00C3613B">
        <w:rPr>
          <w:rFonts w:cs="Arial"/>
        </w:rPr>
        <w:t>an</w:t>
      </w:r>
      <w:r w:rsidRPr="00C3613B">
        <w:rPr>
          <w:rFonts w:cs="Arial"/>
        </w:rPr>
        <w:t xml:space="preserve"> 1</w:t>
      </w:r>
      <w:r w:rsidR="00753357" w:rsidRPr="00C3613B">
        <w:rPr>
          <w:rFonts w:cs="Arial"/>
        </w:rPr>
        <w:t>8-</w:t>
      </w:r>
      <w:r w:rsidRPr="00C3613B">
        <w:rPr>
          <w:rFonts w:cs="Arial"/>
        </w:rPr>
        <w:t>month pilot is too short to</w:t>
      </w:r>
      <w:r w:rsidR="00753357" w:rsidRPr="00C3613B">
        <w:rPr>
          <w:rFonts w:cs="Arial"/>
        </w:rPr>
        <w:t xml:space="preserve"> monitor or</w:t>
      </w:r>
      <w:r w:rsidRPr="00C3613B">
        <w:rPr>
          <w:rFonts w:cs="Arial"/>
        </w:rPr>
        <w:t xml:space="preserve"> </w:t>
      </w:r>
      <w:r w:rsidR="00753357" w:rsidRPr="00C3613B">
        <w:rPr>
          <w:rFonts w:cs="Arial"/>
        </w:rPr>
        <w:t xml:space="preserve">understand any medium or longer-term impacts </w:t>
      </w:r>
      <w:r w:rsidR="00901A5A" w:rsidRPr="00C3613B">
        <w:rPr>
          <w:rFonts w:cs="Arial"/>
        </w:rPr>
        <w:t>and</w:t>
      </w:r>
      <w:r w:rsidR="00753357" w:rsidRPr="00C3613B">
        <w:rPr>
          <w:rFonts w:cs="Arial"/>
        </w:rPr>
        <w:t xml:space="preserve"> outcomes. A full investment and extension of the NDAA is required </w:t>
      </w:r>
      <w:r w:rsidR="00331F4E" w:rsidRPr="00C3613B">
        <w:rPr>
          <w:rFonts w:cs="Arial"/>
        </w:rPr>
        <w:t xml:space="preserve">to ensure its value and </w:t>
      </w:r>
      <w:r w:rsidR="00753357" w:rsidRPr="00C3613B">
        <w:rPr>
          <w:rFonts w:cs="Arial"/>
        </w:rPr>
        <w:t>effectiveness.</w:t>
      </w:r>
    </w:p>
    <w:p w14:paraId="4179C6C8" w14:textId="23BD5099" w:rsidR="00753357" w:rsidRPr="00C3613B" w:rsidRDefault="00ED54DB" w:rsidP="00ED54DB">
      <w:pPr>
        <w:rPr>
          <w:rFonts w:cs="Arial"/>
          <w:b/>
          <w:bCs/>
        </w:rPr>
      </w:pPr>
      <w:r w:rsidRPr="00C3613B">
        <w:rPr>
          <w:rFonts w:cs="Arial"/>
          <w:b/>
          <w:bCs/>
        </w:rPr>
        <w:t xml:space="preserve">Recommendation 8: Ensure the Royal Commission into the Violence, Abuse, Neglect and Exploitation of People with Disability can meet its terms of </w:t>
      </w:r>
      <w:proofErr w:type="gramStart"/>
      <w:r w:rsidRPr="00C3613B">
        <w:rPr>
          <w:rFonts w:cs="Arial"/>
          <w:b/>
          <w:bCs/>
        </w:rPr>
        <w:t>reference</w:t>
      </w:r>
      <w:proofErr w:type="gramEnd"/>
    </w:p>
    <w:p w14:paraId="2613A592" w14:textId="46522A56" w:rsidR="00753357" w:rsidRPr="00C3613B" w:rsidRDefault="00753357" w:rsidP="00ED54DB">
      <w:pPr>
        <w:rPr>
          <w:rFonts w:cs="Arial"/>
        </w:rPr>
      </w:pPr>
      <w:r w:rsidRPr="00C3613B">
        <w:rPr>
          <w:rFonts w:cs="Arial"/>
        </w:rPr>
        <w:t xml:space="preserve">The terms of reference of the Royal Commission into the Violence, Abuse, Neglect and Exploitation of People with Disability are vast and complex. As such, the Commissioners have called </w:t>
      </w:r>
      <w:r w:rsidR="004C675E" w:rsidRPr="00C3613B">
        <w:rPr>
          <w:rFonts w:cs="Arial"/>
        </w:rPr>
        <w:t xml:space="preserve">for </w:t>
      </w:r>
      <w:r w:rsidR="00A2111B" w:rsidRPr="00C3613B">
        <w:rPr>
          <w:rFonts w:cs="Arial"/>
        </w:rPr>
        <w:t>the Royal Commission to be extended to September 2023. CYDA urges the Government to sufficiently resource this extension so the Royal Commission can effectively identify system failures, recommend change and prevent future incidents of violence and mistreatment.</w:t>
      </w:r>
    </w:p>
    <w:p w14:paraId="593EB921" w14:textId="305067C9" w:rsidR="00ED54DB" w:rsidRPr="00C3613B" w:rsidRDefault="00ED54DB" w:rsidP="00ED54DB">
      <w:pPr>
        <w:rPr>
          <w:rFonts w:cs="Arial"/>
          <w:b/>
          <w:bCs/>
        </w:rPr>
      </w:pPr>
      <w:r w:rsidRPr="00C3613B">
        <w:rPr>
          <w:rFonts w:cs="Arial"/>
          <w:b/>
          <w:bCs/>
        </w:rPr>
        <w:t xml:space="preserve">Recommendation 9: Adequately resource the new National Disability </w:t>
      </w:r>
      <w:r w:rsidR="00A2111B" w:rsidRPr="00C3613B">
        <w:rPr>
          <w:rFonts w:cs="Arial"/>
          <w:b/>
          <w:bCs/>
        </w:rPr>
        <w:t>S</w:t>
      </w:r>
      <w:r w:rsidRPr="00C3613B">
        <w:rPr>
          <w:rFonts w:cs="Arial"/>
          <w:b/>
          <w:bCs/>
        </w:rPr>
        <w:t xml:space="preserve">trategy’s actions and </w:t>
      </w:r>
      <w:proofErr w:type="gramStart"/>
      <w:r w:rsidRPr="00C3613B">
        <w:rPr>
          <w:rFonts w:cs="Arial"/>
          <w:b/>
          <w:bCs/>
        </w:rPr>
        <w:t>strategies</w:t>
      </w:r>
      <w:proofErr w:type="gramEnd"/>
      <w:r w:rsidRPr="00C3613B">
        <w:rPr>
          <w:rFonts w:cs="Arial"/>
          <w:b/>
          <w:bCs/>
        </w:rPr>
        <w:tab/>
      </w:r>
    </w:p>
    <w:p w14:paraId="2147EAA4" w14:textId="05C8933F" w:rsidR="00A2111B" w:rsidRPr="00C3613B" w:rsidRDefault="00A2111B" w:rsidP="00ED54DB">
      <w:pPr>
        <w:rPr>
          <w:rFonts w:cs="Arial"/>
        </w:rPr>
      </w:pPr>
      <w:r w:rsidRPr="00C3613B">
        <w:rPr>
          <w:rFonts w:cs="Arial"/>
        </w:rPr>
        <w:t>The previous National Disability Strategy 2010-2020 lacked a coordinated approach across policy areas and jurisdictions. As</w:t>
      </w:r>
      <w:r w:rsidR="00354865" w:rsidRPr="00C3613B">
        <w:rPr>
          <w:rFonts w:cs="Arial"/>
        </w:rPr>
        <w:t xml:space="preserve"> a</w:t>
      </w:r>
      <w:r w:rsidRPr="00C3613B">
        <w:rPr>
          <w:rFonts w:cs="Arial"/>
        </w:rPr>
        <w:t xml:space="preserve"> result, it fell flat on many of its intended outcomes. To ensure that history does not repeat</w:t>
      </w:r>
      <w:r w:rsidR="00095F91" w:rsidRPr="00C3613B">
        <w:rPr>
          <w:rFonts w:cs="Arial"/>
        </w:rPr>
        <w:t>,</w:t>
      </w:r>
      <w:r w:rsidRPr="00C3613B">
        <w:rPr>
          <w:rFonts w:cs="Arial"/>
        </w:rPr>
        <w:t xml:space="preserve"> and the new National Disability Strategy </w:t>
      </w:r>
      <w:r w:rsidR="00095F91" w:rsidRPr="00C3613B">
        <w:rPr>
          <w:rFonts w:cs="Arial"/>
        </w:rPr>
        <w:t>under</w:t>
      </w:r>
      <w:r w:rsidRPr="00C3613B">
        <w:rPr>
          <w:rFonts w:cs="Arial"/>
        </w:rPr>
        <w:t xml:space="preserve"> </w:t>
      </w:r>
      <w:r w:rsidR="00095F91" w:rsidRPr="00C3613B">
        <w:rPr>
          <w:rFonts w:cs="Arial"/>
        </w:rPr>
        <w:t xml:space="preserve">development </w:t>
      </w:r>
      <w:r w:rsidRPr="00C3613B">
        <w:rPr>
          <w:rFonts w:cs="Arial"/>
        </w:rPr>
        <w:t xml:space="preserve">can live up to its potential, </w:t>
      </w:r>
      <w:r w:rsidR="00C92548" w:rsidRPr="00C3613B">
        <w:rPr>
          <w:rFonts w:cs="Arial"/>
        </w:rPr>
        <w:t xml:space="preserve">there must be sufficient resourcing of the proposed actions and strategies. </w:t>
      </w:r>
      <w:r w:rsidR="00095F91" w:rsidRPr="00C3613B">
        <w:rPr>
          <w:rFonts w:cs="Arial"/>
        </w:rPr>
        <w:t>A particular focus on children and young people with disability, which will have lifelong impacts</w:t>
      </w:r>
      <w:r w:rsidR="00C96BAE" w:rsidRPr="00C3613B">
        <w:rPr>
          <w:rFonts w:cs="Arial"/>
        </w:rPr>
        <w:t>,</w:t>
      </w:r>
      <w:r w:rsidR="00095F91" w:rsidRPr="00C3613B">
        <w:rPr>
          <w:rFonts w:cs="Arial"/>
        </w:rPr>
        <w:t xml:space="preserve"> is also needed.</w:t>
      </w:r>
    </w:p>
    <w:p w14:paraId="5F411A5E" w14:textId="4D1CC852" w:rsidR="00647D9D" w:rsidRPr="00C3613B" w:rsidRDefault="00ED54DB" w:rsidP="00ED54DB">
      <w:pPr>
        <w:rPr>
          <w:rFonts w:cs="Arial"/>
          <w:b/>
          <w:bCs/>
        </w:rPr>
      </w:pPr>
      <w:r w:rsidRPr="00C3613B">
        <w:rPr>
          <w:rFonts w:cs="Arial"/>
          <w:b/>
          <w:bCs/>
        </w:rPr>
        <w:t>Recommendation 10:  Boost funding for systemic and individual advocacy for children and young people with disability for better outcomes</w:t>
      </w:r>
      <w:r w:rsidRPr="00C3613B">
        <w:rPr>
          <w:rFonts w:cs="Arial"/>
          <w:b/>
          <w:bCs/>
        </w:rPr>
        <w:tab/>
      </w:r>
    </w:p>
    <w:p w14:paraId="34FB6A9E" w14:textId="3FD3798A" w:rsidR="00647D9D" w:rsidRPr="00735A15" w:rsidRDefault="00C92548" w:rsidP="00901A5A">
      <w:r w:rsidRPr="00C3613B">
        <w:rPr>
          <w:rFonts w:cs="Arial"/>
        </w:rPr>
        <w:t>Individual and systemic advocacy organisation</w:t>
      </w:r>
      <w:r w:rsidR="00735A15" w:rsidRPr="00C3613B">
        <w:rPr>
          <w:rFonts w:cs="Arial"/>
        </w:rPr>
        <w:t>s</w:t>
      </w:r>
      <w:r w:rsidRPr="00C3613B">
        <w:rPr>
          <w:rFonts w:cs="Arial"/>
        </w:rPr>
        <w:t xml:space="preserve"> are vital mechanisms to </w:t>
      </w:r>
      <w:r w:rsidR="00095F91" w:rsidRPr="00C3613B">
        <w:rPr>
          <w:rFonts w:cs="Arial"/>
        </w:rPr>
        <w:t xml:space="preserve">support and </w:t>
      </w:r>
      <w:r w:rsidRPr="00C3613B">
        <w:rPr>
          <w:rFonts w:cs="Arial"/>
        </w:rPr>
        <w:t xml:space="preserve">protect the rights of children and young people with disability. Currently, these </w:t>
      </w:r>
      <w:r w:rsidR="00095F91" w:rsidRPr="00C3613B">
        <w:rPr>
          <w:rFonts w:cs="Arial"/>
        </w:rPr>
        <w:t xml:space="preserve">organisations </w:t>
      </w:r>
      <w:r w:rsidRPr="00C3613B">
        <w:rPr>
          <w:rFonts w:cs="Arial"/>
        </w:rPr>
        <w:t xml:space="preserve">are under resourced and unable to meet the high </w:t>
      </w:r>
      <w:r w:rsidR="00901A5A" w:rsidRPr="00C3613B">
        <w:rPr>
          <w:rFonts w:cs="Arial"/>
        </w:rPr>
        <w:t>demand</w:t>
      </w:r>
      <w:r w:rsidR="00095F91" w:rsidRPr="00C3613B">
        <w:rPr>
          <w:rFonts w:cs="Arial"/>
        </w:rPr>
        <w:t>, despite the return on investment being well established</w:t>
      </w:r>
      <w:r w:rsidR="00901A5A" w:rsidRPr="00C3613B">
        <w:rPr>
          <w:rFonts w:cs="Arial"/>
        </w:rPr>
        <w:t xml:space="preserve">. Increased </w:t>
      </w:r>
      <w:r w:rsidR="00095F91" w:rsidRPr="00C3613B">
        <w:rPr>
          <w:rFonts w:cs="Arial"/>
        </w:rPr>
        <w:t xml:space="preserve">funding </w:t>
      </w:r>
      <w:r w:rsidR="00354865" w:rsidRPr="00C3613B">
        <w:rPr>
          <w:rFonts w:cs="Arial"/>
        </w:rPr>
        <w:t>for</w:t>
      </w:r>
      <w:r w:rsidR="00901A5A" w:rsidRPr="00C3613B">
        <w:rPr>
          <w:rFonts w:cs="Arial"/>
        </w:rPr>
        <w:t xml:space="preserve"> </w:t>
      </w:r>
      <w:r w:rsidR="00095F91" w:rsidRPr="00C3613B">
        <w:rPr>
          <w:rFonts w:cs="Arial"/>
        </w:rPr>
        <w:t xml:space="preserve">disability </w:t>
      </w:r>
      <w:r w:rsidR="00901A5A" w:rsidRPr="00C3613B">
        <w:rPr>
          <w:rFonts w:cs="Arial"/>
        </w:rPr>
        <w:t>advocacy services and supports is urgently required</w:t>
      </w:r>
      <w:r w:rsidR="00901A5A">
        <w:t>.</w:t>
      </w:r>
      <w:r w:rsidRPr="00735A15">
        <w:t xml:space="preserve"> </w:t>
      </w:r>
    </w:p>
    <w:p w14:paraId="2C86A371" w14:textId="77777777" w:rsidR="00647D9D" w:rsidRDefault="00647D9D" w:rsidP="00B92B58">
      <w:pPr>
        <w:pStyle w:val="BodytextRPC"/>
      </w:pPr>
    </w:p>
    <w:p w14:paraId="2175174F" w14:textId="77777777" w:rsidR="00647D9D" w:rsidRDefault="00647D9D">
      <w:pPr>
        <w:spacing w:before="0" w:line="259" w:lineRule="auto"/>
        <w:rPr>
          <w:rFonts w:ascii="Helvetica" w:eastAsiaTheme="majorEastAsia" w:hAnsi="Helvetica" w:cstheme="majorBidi"/>
          <w:color w:val="538135" w:themeColor="accent6" w:themeShade="BF"/>
          <w:sz w:val="32"/>
          <w:szCs w:val="32"/>
        </w:rPr>
      </w:pPr>
      <w:r>
        <w:br w:type="page"/>
      </w:r>
    </w:p>
    <w:p w14:paraId="1335817E" w14:textId="308CB7D4" w:rsidR="0041009E" w:rsidRDefault="00F978C3" w:rsidP="0041009E">
      <w:pPr>
        <w:pStyle w:val="Heading1"/>
      </w:pPr>
      <w:bookmarkStart w:id="1" w:name="_Toc62833778"/>
      <w:r>
        <w:lastRenderedPageBreak/>
        <w:t>Introduction</w:t>
      </w:r>
      <w:bookmarkEnd w:id="1"/>
    </w:p>
    <w:p w14:paraId="5B538991" w14:textId="14395B5D" w:rsidR="002D59F0" w:rsidRPr="004858FB" w:rsidRDefault="002D59F0" w:rsidP="002D59F0">
      <w:pPr>
        <w:rPr>
          <w:color w:val="000000" w:themeColor="text1"/>
        </w:rPr>
      </w:pPr>
      <w:r w:rsidRPr="004858FB">
        <w:rPr>
          <w:color w:val="000000" w:themeColor="text1"/>
        </w:rPr>
        <w:t>Children and Young People with Disability Australia (CYDA) is the national representative organisation for children and young people with disability aged 0 to 25 years. CYDA has an extensive national membership of more than 5</w:t>
      </w:r>
      <w:r w:rsidR="00095F91">
        <w:rPr>
          <w:color w:val="000000" w:themeColor="text1"/>
        </w:rPr>
        <w:t>,</w:t>
      </w:r>
      <w:r w:rsidRPr="004858FB">
        <w:rPr>
          <w:color w:val="000000" w:themeColor="text1"/>
        </w:rPr>
        <w:t xml:space="preserve">000 young people with disability, </w:t>
      </w:r>
      <w:proofErr w:type="gramStart"/>
      <w:r w:rsidRPr="004858FB">
        <w:rPr>
          <w:color w:val="000000" w:themeColor="text1"/>
        </w:rPr>
        <w:t>families</w:t>
      </w:r>
      <w:proofErr w:type="gramEnd"/>
      <w:r w:rsidRPr="004858FB">
        <w:rPr>
          <w:color w:val="000000" w:themeColor="text1"/>
        </w:rPr>
        <w:t xml:space="preserve"> and caregivers of children with disability, and advocacy and community organisations.</w:t>
      </w:r>
    </w:p>
    <w:p w14:paraId="05F6287F" w14:textId="08F233F2" w:rsidR="00CD4938" w:rsidRPr="004858FB" w:rsidRDefault="00C93336" w:rsidP="002D59F0">
      <w:pPr>
        <w:rPr>
          <w:color w:val="000000" w:themeColor="text1"/>
        </w:rPr>
      </w:pPr>
      <w:r>
        <w:rPr>
          <w:color w:val="000000" w:themeColor="text1"/>
        </w:rPr>
        <w:t>Our</w:t>
      </w:r>
      <w:r w:rsidRPr="004858FB">
        <w:rPr>
          <w:color w:val="000000" w:themeColor="text1"/>
        </w:rPr>
        <w:t xml:space="preserve"> </w:t>
      </w:r>
      <w:r w:rsidR="004858FB" w:rsidRPr="004858FB">
        <w:rPr>
          <w:color w:val="000000" w:themeColor="text1"/>
        </w:rPr>
        <w:t>vision is that children and young people with disability are valued and living empowered lives with equality of opportunity</w:t>
      </w:r>
      <w:r>
        <w:rPr>
          <w:color w:val="000000" w:themeColor="text1"/>
        </w:rPr>
        <w:t xml:space="preserve">; and our </w:t>
      </w:r>
      <w:r w:rsidR="002D59F0" w:rsidRPr="004858FB">
        <w:rPr>
          <w:color w:val="000000" w:themeColor="text1"/>
        </w:rPr>
        <w:t>purpose</w:t>
      </w:r>
      <w:r w:rsidR="00637202" w:rsidRPr="004858FB">
        <w:rPr>
          <w:color w:val="000000" w:themeColor="text1"/>
        </w:rPr>
        <w:t xml:space="preserve"> is to ensure governments, </w:t>
      </w:r>
      <w:r w:rsidRPr="004858FB">
        <w:rPr>
          <w:color w:val="000000" w:themeColor="text1"/>
        </w:rPr>
        <w:t>communities,</w:t>
      </w:r>
      <w:r w:rsidR="00637202" w:rsidRPr="004858FB">
        <w:rPr>
          <w:color w:val="000000" w:themeColor="text1"/>
        </w:rPr>
        <w:t xml:space="preserve"> and families, are empowering children and young people with disability to fully exercise their rights and aspirations.</w:t>
      </w:r>
      <w:r w:rsidR="00497EF3" w:rsidRPr="004858FB">
        <w:rPr>
          <w:color w:val="000000" w:themeColor="text1"/>
        </w:rPr>
        <w:t xml:space="preserve"> We do this by:</w:t>
      </w:r>
    </w:p>
    <w:p w14:paraId="3DF10298" w14:textId="3E8A4937" w:rsidR="00497EF3" w:rsidRPr="004858FB" w:rsidRDefault="009E1B1C" w:rsidP="004007B8">
      <w:pPr>
        <w:pStyle w:val="ListParagraph"/>
        <w:numPr>
          <w:ilvl w:val="0"/>
          <w:numId w:val="3"/>
        </w:numPr>
        <w:ind w:left="714" w:hanging="357"/>
        <w:contextualSpacing w:val="0"/>
        <w:rPr>
          <w:color w:val="000000" w:themeColor="text1"/>
        </w:rPr>
      </w:pPr>
      <w:r w:rsidRPr="004858FB">
        <w:rPr>
          <w:color w:val="000000" w:themeColor="text1"/>
        </w:rPr>
        <w:t>Driving inclusion</w:t>
      </w:r>
    </w:p>
    <w:p w14:paraId="5A279793" w14:textId="23BC3537" w:rsidR="009E1B1C" w:rsidRPr="004858FB" w:rsidRDefault="009E1B1C" w:rsidP="004007B8">
      <w:pPr>
        <w:pStyle w:val="ListParagraph"/>
        <w:numPr>
          <w:ilvl w:val="0"/>
          <w:numId w:val="3"/>
        </w:numPr>
        <w:ind w:left="714" w:hanging="357"/>
        <w:contextualSpacing w:val="0"/>
        <w:rPr>
          <w:color w:val="000000" w:themeColor="text1"/>
        </w:rPr>
      </w:pPr>
      <w:r w:rsidRPr="004858FB">
        <w:rPr>
          <w:color w:val="000000" w:themeColor="text1"/>
        </w:rPr>
        <w:t>Creat</w:t>
      </w:r>
      <w:r w:rsidR="006B7D13" w:rsidRPr="004858FB">
        <w:rPr>
          <w:color w:val="000000" w:themeColor="text1"/>
        </w:rPr>
        <w:t>ing</w:t>
      </w:r>
      <w:r w:rsidRPr="004858FB">
        <w:rPr>
          <w:color w:val="000000" w:themeColor="text1"/>
        </w:rPr>
        <w:t xml:space="preserve"> equitable life pathways and opportunities</w:t>
      </w:r>
    </w:p>
    <w:p w14:paraId="065247BD" w14:textId="601C2C7A" w:rsidR="006B7D13" w:rsidRPr="004858FB" w:rsidRDefault="006B7D13" w:rsidP="004007B8">
      <w:pPr>
        <w:pStyle w:val="ListParagraph"/>
        <w:numPr>
          <w:ilvl w:val="0"/>
          <w:numId w:val="3"/>
        </w:numPr>
        <w:ind w:left="714" w:hanging="357"/>
        <w:contextualSpacing w:val="0"/>
        <w:rPr>
          <w:color w:val="000000" w:themeColor="text1"/>
        </w:rPr>
      </w:pPr>
      <w:r w:rsidRPr="004858FB">
        <w:rPr>
          <w:color w:val="000000" w:themeColor="text1"/>
        </w:rPr>
        <w:t>Leading change in community attitudes and aspirations</w:t>
      </w:r>
    </w:p>
    <w:p w14:paraId="6C238E2E" w14:textId="28605679" w:rsidR="006B7D13" w:rsidRPr="004858FB" w:rsidRDefault="006B7D13" w:rsidP="004007B8">
      <w:pPr>
        <w:pStyle w:val="ListParagraph"/>
        <w:numPr>
          <w:ilvl w:val="0"/>
          <w:numId w:val="3"/>
        </w:numPr>
        <w:ind w:left="714" w:hanging="357"/>
        <w:contextualSpacing w:val="0"/>
        <w:rPr>
          <w:color w:val="000000" w:themeColor="text1"/>
        </w:rPr>
      </w:pPr>
      <w:r w:rsidRPr="004858FB">
        <w:rPr>
          <w:color w:val="000000" w:themeColor="text1"/>
        </w:rPr>
        <w:t xml:space="preserve">Supporting young people to take </w:t>
      </w:r>
      <w:proofErr w:type="gramStart"/>
      <w:r w:rsidRPr="004858FB">
        <w:rPr>
          <w:color w:val="000000" w:themeColor="text1"/>
        </w:rPr>
        <w:t>control</w:t>
      </w:r>
      <w:proofErr w:type="gramEnd"/>
    </w:p>
    <w:p w14:paraId="12E22292" w14:textId="3885DB57" w:rsidR="006B7D13" w:rsidRPr="004858FB" w:rsidRDefault="00F64BB6" w:rsidP="004007B8">
      <w:pPr>
        <w:pStyle w:val="ListParagraph"/>
        <w:numPr>
          <w:ilvl w:val="0"/>
          <w:numId w:val="3"/>
        </w:numPr>
        <w:ind w:left="714" w:hanging="357"/>
        <w:contextualSpacing w:val="0"/>
        <w:rPr>
          <w:color w:val="000000" w:themeColor="text1"/>
        </w:rPr>
      </w:pPr>
      <w:r w:rsidRPr="004858FB">
        <w:rPr>
          <w:color w:val="000000" w:themeColor="text1"/>
        </w:rPr>
        <w:t>Call</w:t>
      </w:r>
      <w:r w:rsidR="004858FB">
        <w:rPr>
          <w:color w:val="000000" w:themeColor="text1"/>
        </w:rPr>
        <w:t>ing</w:t>
      </w:r>
      <w:r w:rsidRPr="004858FB">
        <w:rPr>
          <w:color w:val="000000" w:themeColor="text1"/>
        </w:rPr>
        <w:t xml:space="preserve"> out discrimination, abuse, and neglect</w:t>
      </w:r>
      <w:r w:rsidR="004858FB">
        <w:rPr>
          <w:color w:val="000000" w:themeColor="text1"/>
        </w:rPr>
        <w:t>.</w:t>
      </w:r>
    </w:p>
    <w:p w14:paraId="22E0B8ED" w14:textId="77777777" w:rsidR="00BF523F" w:rsidRDefault="00BF523F" w:rsidP="009D29E9">
      <w:pPr>
        <w:contextualSpacing/>
      </w:pPr>
    </w:p>
    <w:p w14:paraId="74C9006C" w14:textId="5BF10F2C" w:rsidR="007B3DFA" w:rsidRDefault="00632581" w:rsidP="00827C1B">
      <w:r>
        <w:t xml:space="preserve">CYDA welcomes the </w:t>
      </w:r>
      <w:r w:rsidR="00BF523F">
        <w:t>opportunity</w:t>
      </w:r>
      <w:r>
        <w:t xml:space="preserve"> to </w:t>
      </w:r>
      <w:r w:rsidR="00143DF8">
        <w:t xml:space="preserve">provide a 2021-22 Pre-Budget Submission. The </w:t>
      </w:r>
      <w:r w:rsidR="00095F91">
        <w:t xml:space="preserve">Australian Government, through the </w:t>
      </w:r>
      <w:r w:rsidR="00143DF8">
        <w:t>Federal Budget</w:t>
      </w:r>
      <w:r w:rsidR="00A461A1">
        <w:t>,</w:t>
      </w:r>
      <w:r w:rsidR="00143DF8">
        <w:t xml:space="preserve"> </w:t>
      </w:r>
      <w:r w:rsidR="00DD4C75">
        <w:t xml:space="preserve">has the power to </w:t>
      </w:r>
      <w:r w:rsidR="00214DD8">
        <w:t xml:space="preserve">fund initiatives that will lead to </w:t>
      </w:r>
      <w:r w:rsidR="00DD4C75">
        <w:t xml:space="preserve">vast improvements </w:t>
      </w:r>
      <w:r w:rsidR="00214DD8">
        <w:t xml:space="preserve">in </w:t>
      </w:r>
      <w:r w:rsidR="00DD4C75">
        <w:t xml:space="preserve">the lives of children and young people with disability. By investing in interventions and strategies that will protect and empower </w:t>
      </w:r>
      <w:r w:rsidR="00735A15">
        <w:t>th</w:t>
      </w:r>
      <w:r w:rsidR="00862DDA">
        <w:t>is</w:t>
      </w:r>
      <w:r w:rsidR="00735A15">
        <w:t xml:space="preserve"> cohort,</w:t>
      </w:r>
      <w:r w:rsidR="00DD4C75">
        <w:t xml:space="preserve"> the </w:t>
      </w:r>
      <w:r w:rsidR="00735A15">
        <w:t>Australian Government</w:t>
      </w:r>
      <w:r w:rsidR="00DD4C75">
        <w:t xml:space="preserve"> can support </w:t>
      </w:r>
      <w:r w:rsidR="00735A15">
        <w:t>children and young people</w:t>
      </w:r>
      <w:r w:rsidR="00DD4C75">
        <w:t xml:space="preserve"> to thrive – now and as they transition into adulthood.</w:t>
      </w:r>
    </w:p>
    <w:p w14:paraId="442CEA9F" w14:textId="007B81B1" w:rsidR="00D608BA" w:rsidRDefault="00F412A3" w:rsidP="00827C1B">
      <w:r>
        <w:t xml:space="preserve">When children and young people are given equal opportunities to engage in a quality education, employment, make friends, and enjoy community life, </w:t>
      </w:r>
      <w:r w:rsidR="000E1EB1">
        <w:t>we</w:t>
      </w:r>
      <w:r>
        <w:t xml:space="preserve"> all benefit – culturally, </w:t>
      </w:r>
      <w:proofErr w:type="gramStart"/>
      <w:r>
        <w:t>socially</w:t>
      </w:r>
      <w:proofErr w:type="gramEnd"/>
      <w:r>
        <w:t xml:space="preserve"> and economically.</w:t>
      </w:r>
    </w:p>
    <w:p w14:paraId="1D2B00C0" w14:textId="77777777" w:rsidR="00D608BA" w:rsidRDefault="00D608BA">
      <w:pPr>
        <w:spacing w:before="0" w:line="259" w:lineRule="auto"/>
      </w:pPr>
      <w:r>
        <w:br w:type="page"/>
      </w:r>
    </w:p>
    <w:p w14:paraId="5EE69093" w14:textId="5D5359DF" w:rsidR="00BF0F1D" w:rsidRPr="009948CD" w:rsidRDefault="00214DD8" w:rsidP="00BF0F1D">
      <w:pPr>
        <w:pStyle w:val="Heading1"/>
      </w:pPr>
      <w:bookmarkStart w:id="2" w:name="_Toc62833779"/>
      <w:r>
        <w:lastRenderedPageBreak/>
        <w:t>Drive</w:t>
      </w:r>
      <w:r w:rsidRPr="009948CD">
        <w:t xml:space="preserve"> </w:t>
      </w:r>
      <w:r w:rsidR="00BF0F1D" w:rsidRPr="009948CD">
        <w:t>inclusion and equity for children and young people with disability</w:t>
      </w:r>
      <w:r>
        <w:t xml:space="preserve">: our </w:t>
      </w:r>
      <w:proofErr w:type="gramStart"/>
      <w:r>
        <w:t>recommendations</w:t>
      </w:r>
      <w:bookmarkEnd w:id="2"/>
      <w:proofErr w:type="gramEnd"/>
    </w:p>
    <w:p w14:paraId="69630F21" w14:textId="48C70491" w:rsidR="006A412B" w:rsidRPr="00900135" w:rsidRDefault="006A412B" w:rsidP="00FD031B">
      <w:pPr>
        <w:pStyle w:val="Heading2"/>
      </w:pPr>
      <w:bookmarkStart w:id="3" w:name="_Toc62833780"/>
      <w:r>
        <w:t>Recommendation</w:t>
      </w:r>
      <w:r w:rsidR="00A95078">
        <w:t xml:space="preserve"> 1</w:t>
      </w:r>
      <w:r>
        <w:t xml:space="preserve">: </w:t>
      </w:r>
      <w:r w:rsidR="009948CD" w:rsidRPr="00900135">
        <w:t xml:space="preserve">Involve and engage </w:t>
      </w:r>
      <w:r w:rsidR="00DA30FF" w:rsidRPr="00900135">
        <w:t>children and young people with disability</w:t>
      </w:r>
      <w:r w:rsidR="009948CD" w:rsidRPr="00900135">
        <w:t xml:space="preserve"> across </w:t>
      </w:r>
      <w:r w:rsidR="00BA3610" w:rsidRPr="00900135">
        <w:t xml:space="preserve">all </w:t>
      </w:r>
      <w:r w:rsidR="009948CD" w:rsidRPr="00900135">
        <w:t xml:space="preserve">government portfolios </w:t>
      </w:r>
      <w:r w:rsidR="00214DD8">
        <w:t>impacting</w:t>
      </w:r>
      <w:r w:rsidR="009948CD" w:rsidRPr="00900135">
        <w:t xml:space="preserve"> their </w:t>
      </w:r>
      <w:proofErr w:type="gramStart"/>
      <w:r w:rsidR="009948CD" w:rsidRPr="00900135">
        <w:t>li</w:t>
      </w:r>
      <w:r w:rsidR="005D07A4">
        <w:t>ves</w:t>
      </w:r>
      <w:bookmarkEnd w:id="3"/>
      <w:proofErr w:type="gramEnd"/>
    </w:p>
    <w:p w14:paraId="3732B1C1" w14:textId="456C4619" w:rsidR="009948CD" w:rsidRPr="00C3613B" w:rsidRDefault="009948CD" w:rsidP="00CA4C50">
      <w:r w:rsidRPr="00C3613B">
        <w:t>The rights of children and young people with disability to express their views, and have these views listened to, are articulated in the Convention on the Rights of Persons with Disability (CPRD) and the Convention on the Rights of the Child (CRC), and recognised through a range of legislation and policy in Australia at federal and state levels, including the Disability Discrimination Act (1992), various State Disability Acts, and the Disability Standards for Education (2005).</w:t>
      </w:r>
    </w:p>
    <w:p w14:paraId="2EDA1294" w14:textId="42C5AFA4" w:rsidR="009948CD" w:rsidRPr="00C3613B" w:rsidRDefault="009948CD" w:rsidP="00CA4C50">
      <w:r w:rsidRPr="00C3613B">
        <w:t>Article 7(3) of the CRPD states “</w:t>
      </w:r>
      <w:r w:rsidRPr="00C3613B">
        <w:rPr>
          <w:i/>
          <w:iCs/>
        </w:rPr>
        <w:t>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r w:rsidRPr="00C3613B">
        <w:t>”. Article 12 of the CRC states “</w:t>
      </w:r>
      <w:r w:rsidRPr="00C3613B">
        <w:rPr>
          <w:i/>
          <w:iCs/>
        </w:rPr>
        <w:t>States Parties shall assure to the child who is capable of forming his or her own views the right to express those views freely in all matters affecting the child, the views of the child being given due weight in accordance with the age and maturity of the child</w:t>
      </w:r>
      <w:r w:rsidR="00BF0F1D" w:rsidRPr="00C3613B">
        <w:rPr>
          <w:i/>
          <w:iCs/>
        </w:rPr>
        <w:t>.</w:t>
      </w:r>
      <w:r w:rsidRPr="00C3613B">
        <w:rPr>
          <w:i/>
          <w:iCs/>
        </w:rPr>
        <w:t>”</w:t>
      </w:r>
    </w:p>
    <w:p w14:paraId="46A423B4" w14:textId="77777777" w:rsidR="00D33697" w:rsidRPr="00C3613B" w:rsidRDefault="009948CD" w:rsidP="00D33697">
      <w:pPr>
        <w:shd w:val="clear" w:color="auto" w:fill="FFFFFF"/>
        <w:ind w:right="567"/>
        <w:rPr>
          <w:rFonts w:cs="Arial"/>
        </w:rPr>
      </w:pPr>
      <w:r w:rsidRPr="00C3613B">
        <w:t xml:space="preserve">However, there are currently few mechanisms to implement these rights in Australia in practice. </w:t>
      </w:r>
      <w:r w:rsidR="00791E3F" w:rsidRPr="00C3613B">
        <w:rPr>
          <w:rFonts w:cs="Arial"/>
        </w:rPr>
        <w:t>Children and young people with disability are too often overlooked</w:t>
      </w:r>
      <w:r w:rsidR="00493FF0" w:rsidRPr="00C3613B">
        <w:rPr>
          <w:rFonts w:cs="Arial"/>
        </w:rPr>
        <w:t xml:space="preserve"> in policy and service development – including in the previous budget where mention of the group was largely absent. </w:t>
      </w:r>
    </w:p>
    <w:p w14:paraId="39A3A2A5" w14:textId="568F6C1C" w:rsidR="00D33697" w:rsidRPr="00C3613B" w:rsidRDefault="001A346E" w:rsidP="00D33697">
      <w:pPr>
        <w:shd w:val="clear" w:color="auto" w:fill="FFFFFF"/>
        <w:ind w:right="567"/>
      </w:pPr>
      <w:r w:rsidRPr="00C3613B">
        <w:rPr>
          <w:rFonts w:cs="Arial"/>
        </w:rPr>
        <w:t>Children and young people with disability and their</w:t>
      </w:r>
      <w:r w:rsidR="00493FF0" w:rsidRPr="00C3613B">
        <w:rPr>
          <w:rFonts w:cs="Arial"/>
        </w:rPr>
        <w:t xml:space="preserve"> distinct needs are </w:t>
      </w:r>
      <w:r w:rsidR="00300625" w:rsidRPr="00C3613B">
        <w:rPr>
          <w:rFonts w:cs="Arial"/>
        </w:rPr>
        <w:t>regularly</w:t>
      </w:r>
      <w:r w:rsidR="00493FF0" w:rsidRPr="00C3613B">
        <w:rPr>
          <w:rFonts w:cs="Arial"/>
        </w:rPr>
        <w:t xml:space="preserve"> </w:t>
      </w:r>
      <w:r w:rsidR="00214DD8" w:rsidRPr="00C3613B">
        <w:rPr>
          <w:rFonts w:cs="Arial"/>
        </w:rPr>
        <w:t>missed</w:t>
      </w:r>
      <w:r w:rsidR="00D33697" w:rsidRPr="00C3613B">
        <w:rPr>
          <w:rFonts w:cs="Arial"/>
        </w:rPr>
        <w:t xml:space="preserve"> in government policy</w:t>
      </w:r>
      <w:r w:rsidR="00493FF0" w:rsidRPr="00C3613B">
        <w:rPr>
          <w:rFonts w:cs="Arial"/>
        </w:rPr>
        <w:t xml:space="preserve">. </w:t>
      </w:r>
      <w:r w:rsidR="00D33697" w:rsidRPr="00C3613B">
        <w:rPr>
          <w:rFonts w:cs="Arial"/>
        </w:rPr>
        <w:t>“</w:t>
      </w:r>
      <w:r w:rsidR="00D33697" w:rsidRPr="00C3613B">
        <w:t xml:space="preserve">When children’s rights are considered, children with disabilities tend to be forgotten. When the rights of people with disabilities are considered, children with disabilities tend to be forgotten. Their rights, therefore, are at risk of being </w:t>
      </w:r>
      <w:r w:rsidR="00712CAF" w:rsidRPr="00C3613B">
        <w:t>marginalised</w:t>
      </w:r>
      <w:r w:rsidR="00C20F91" w:rsidRPr="00C3613B">
        <w:t>.</w:t>
      </w:r>
      <w:r w:rsidR="00D33697" w:rsidRPr="00C3613B">
        <w:t>”</w:t>
      </w:r>
      <w:r w:rsidR="00D33697" w:rsidRPr="00C3613B">
        <w:rPr>
          <w:rStyle w:val="FootnoteReference"/>
        </w:rPr>
        <w:footnoteReference w:id="2"/>
      </w:r>
    </w:p>
    <w:p w14:paraId="3C3F756F" w14:textId="74AA424F" w:rsidR="00493FF0" w:rsidRPr="00C3613B" w:rsidRDefault="00493FF0" w:rsidP="00CA4C50">
      <w:r w:rsidRPr="00C3613B">
        <w:rPr>
          <w:rFonts w:cs="Arial"/>
        </w:rPr>
        <w:t xml:space="preserve">This risks governments investing in interventions </w:t>
      </w:r>
      <w:r w:rsidR="00116C62" w:rsidRPr="00C3613B">
        <w:rPr>
          <w:rFonts w:cs="Arial"/>
        </w:rPr>
        <w:t>and strategies that will</w:t>
      </w:r>
      <w:r w:rsidR="00735A15" w:rsidRPr="00C3613B">
        <w:rPr>
          <w:rFonts w:cs="Arial"/>
        </w:rPr>
        <w:t xml:space="preserve"> not</w:t>
      </w:r>
      <w:r w:rsidR="00116C62" w:rsidRPr="00C3613B">
        <w:rPr>
          <w:rFonts w:cs="Arial"/>
        </w:rPr>
        <w:t xml:space="preserve"> </w:t>
      </w:r>
      <w:r w:rsidR="00FD031B" w:rsidRPr="00C3613B">
        <w:rPr>
          <w:rFonts w:cs="Arial"/>
        </w:rPr>
        <w:t xml:space="preserve">be effective </w:t>
      </w:r>
      <w:r w:rsidR="00D33697" w:rsidRPr="00C3613B">
        <w:rPr>
          <w:rFonts w:cs="Arial"/>
        </w:rPr>
        <w:t xml:space="preserve">for the almost one in 10 Australian children and young people who experience disability </w:t>
      </w:r>
      <w:r w:rsidR="00262148" w:rsidRPr="00C3613B">
        <w:rPr>
          <w:rStyle w:val="FootnoteReference"/>
          <w:rFonts w:cs="Arial"/>
        </w:rPr>
        <w:footnoteReference w:id="3"/>
      </w:r>
      <w:r w:rsidR="00116C62" w:rsidRPr="00C3613B">
        <w:rPr>
          <w:rFonts w:cs="Arial"/>
        </w:rPr>
        <w:t xml:space="preserve"> </w:t>
      </w:r>
      <w:r w:rsidR="00DF7A2D" w:rsidRPr="00C3613B">
        <w:rPr>
          <w:rFonts w:cs="Arial"/>
        </w:rPr>
        <w:t>and/</w:t>
      </w:r>
      <w:r w:rsidR="00FD031B" w:rsidRPr="00C3613B">
        <w:rPr>
          <w:rFonts w:cs="Arial"/>
        </w:rPr>
        <w:t xml:space="preserve">or failing to provide targeted supports </w:t>
      </w:r>
      <w:r w:rsidR="00D33697" w:rsidRPr="00C3613B">
        <w:rPr>
          <w:rFonts w:cs="Arial"/>
        </w:rPr>
        <w:t>when and where most</w:t>
      </w:r>
      <w:r w:rsidR="00FD031B" w:rsidRPr="00C3613B">
        <w:rPr>
          <w:rFonts w:cs="Arial"/>
        </w:rPr>
        <w:t xml:space="preserve"> necessary.</w:t>
      </w:r>
    </w:p>
    <w:p w14:paraId="2C5873FA" w14:textId="2813609B" w:rsidR="00D40735" w:rsidRPr="00C3613B" w:rsidRDefault="00D40735" w:rsidP="00CA4C50">
      <w:r w:rsidRPr="00C3613B">
        <w:t xml:space="preserve">Children and young people with disability often face barriers to participating in consultative activities that inform policy and service development. The processes are often inaccessible (including inadequate information delivery, meeting structures, interpreters, assistive technology), and we have seen </w:t>
      </w:r>
      <w:r w:rsidR="009948CD" w:rsidRPr="00C3613B">
        <w:t xml:space="preserve">scant </w:t>
      </w:r>
      <w:r w:rsidRPr="00C3613B">
        <w:t xml:space="preserve">evidence that government consultative processes are responding to these needs adequately. This </w:t>
      </w:r>
      <w:r w:rsidR="009948CD" w:rsidRPr="00C3613B">
        <w:t>was noted</w:t>
      </w:r>
      <w:r w:rsidRPr="00C3613B">
        <w:t xml:space="preserve"> in the recent report commissioned by the Department of Social Services, </w:t>
      </w:r>
      <w:r w:rsidR="00BC73C4" w:rsidRPr="00C3613B">
        <w:t xml:space="preserve">which confirmed young people with disability </w:t>
      </w:r>
      <w:r w:rsidR="00E8239D" w:rsidRPr="00C3613B">
        <w:t>“</w:t>
      </w:r>
      <w:r w:rsidRPr="00C3613B">
        <w:t>do not find current mechanisms used by governments to engage on these issues appealing, suitable or easy to access</w:t>
      </w:r>
      <w:r w:rsidR="00E8239D" w:rsidRPr="00C3613B">
        <w:t>.”</w:t>
      </w:r>
      <w:r w:rsidRPr="00C3613B">
        <w:rPr>
          <w:rStyle w:val="FootnoteReference"/>
        </w:rPr>
        <w:footnoteReference w:id="4"/>
      </w:r>
      <w:r w:rsidRPr="00C3613B">
        <w:t xml:space="preserve"> </w:t>
      </w:r>
    </w:p>
    <w:p w14:paraId="2B3393FA" w14:textId="11583649" w:rsidR="008C34C6" w:rsidRPr="00C3613B" w:rsidRDefault="008C34C6" w:rsidP="008C34C6">
      <w:r w:rsidRPr="00C3613B">
        <w:t xml:space="preserve">At the national level, policy impacting children and young people with disability sits across multiple policy portfolios, including: </w:t>
      </w:r>
    </w:p>
    <w:p w14:paraId="4AAB41EB" w14:textId="49DFE1FA" w:rsidR="001B057B" w:rsidRPr="00C3613B" w:rsidRDefault="001B057B" w:rsidP="008C34C6">
      <w:pPr>
        <w:pStyle w:val="ListParagraph"/>
        <w:numPr>
          <w:ilvl w:val="0"/>
          <w:numId w:val="5"/>
        </w:numPr>
      </w:pPr>
      <w:r w:rsidRPr="00C3613B">
        <w:rPr>
          <w:i/>
          <w:iCs/>
        </w:rPr>
        <w:lastRenderedPageBreak/>
        <w:t xml:space="preserve">Education policy and programming </w:t>
      </w:r>
      <w:r w:rsidRPr="00C3613B">
        <w:t>– Services Australia, Department of Social Services (DSS) and Department of Education, Skills and Employment (DESE)</w:t>
      </w:r>
    </w:p>
    <w:p w14:paraId="74C09A36" w14:textId="497C98CE" w:rsidR="008C34C6" w:rsidRPr="00C3613B" w:rsidRDefault="008C34C6" w:rsidP="008C34C6">
      <w:pPr>
        <w:pStyle w:val="ListParagraph"/>
        <w:numPr>
          <w:ilvl w:val="0"/>
          <w:numId w:val="5"/>
        </w:numPr>
      </w:pPr>
      <w:r w:rsidRPr="00C3613B">
        <w:rPr>
          <w:i/>
          <w:iCs/>
        </w:rPr>
        <w:t>Employment policy, services, income support</w:t>
      </w:r>
      <w:r w:rsidRPr="00C3613B">
        <w:t xml:space="preserve"> – </w:t>
      </w:r>
      <w:proofErr w:type="gramStart"/>
      <w:r w:rsidRPr="00C3613B">
        <w:t>DESE</w:t>
      </w:r>
      <w:proofErr w:type="gramEnd"/>
    </w:p>
    <w:p w14:paraId="1BE8F2E5" w14:textId="77777777" w:rsidR="008C34C6" w:rsidRPr="00C3613B" w:rsidRDefault="008C34C6" w:rsidP="008C34C6">
      <w:pPr>
        <w:pStyle w:val="ListParagraph"/>
        <w:numPr>
          <w:ilvl w:val="0"/>
          <w:numId w:val="5"/>
        </w:numPr>
      </w:pPr>
      <w:r w:rsidRPr="00C3613B">
        <w:rPr>
          <w:i/>
          <w:iCs/>
        </w:rPr>
        <w:t>Youth policy</w:t>
      </w:r>
      <w:r w:rsidRPr="00C3613B">
        <w:t xml:space="preserve"> – </w:t>
      </w:r>
      <w:proofErr w:type="gramStart"/>
      <w:r w:rsidRPr="00C3613B">
        <w:t>DESE</w:t>
      </w:r>
      <w:proofErr w:type="gramEnd"/>
    </w:p>
    <w:p w14:paraId="52BAF69C" w14:textId="77777777" w:rsidR="008C34C6" w:rsidRPr="00C3613B" w:rsidRDefault="008C34C6" w:rsidP="008C34C6">
      <w:pPr>
        <w:pStyle w:val="ListParagraph"/>
        <w:numPr>
          <w:ilvl w:val="0"/>
          <w:numId w:val="5"/>
        </w:numPr>
      </w:pPr>
      <w:r w:rsidRPr="00C3613B">
        <w:rPr>
          <w:i/>
          <w:iCs/>
        </w:rPr>
        <w:t>Disability services</w:t>
      </w:r>
      <w:r w:rsidRPr="00C3613B">
        <w:t xml:space="preserve"> – DSS and National Disability Insurance Agency (NDIA)</w:t>
      </w:r>
    </w:p>
    <w:p w14:paraId="1B2E6DC2" w14:textId="77777777" w:rsidR="008C34C6" w:rsidRPr="00C3613B" w:rsidRDefault="008C34C6" w:rsidP="001A346E">
      <w:pPr>
        <w:pStyle w:val="ListParagraph"/>
        <w:numPr>
          <w:ilvl w:val="0"/>
          <w:numId w:val="5"/>
        </w:numPr>
      </w:pPr>
      <w:r w:rsidRPr="00C3613B">
        <w:rPr>
          <w:i/>
          <w:iCs/>
        </w:rPr>
        <w:t xml:space="preserve">Abuse, neglect, child protection and juvenile justice </w:t>
      </w:r>
      <w:r w:rsidRPr="00C3613B">
        <w:t>– DSS, NDIS Quality and Safeguards Commission, Attorney General’s Department</w:t>
      </w:r>
    </w:p>
    <w:p w14:paraId="0A6DEF95" w14:textId="3A66F76A" w:rsidR="008C34C6" w:rsidRPr="00C3613B" w:rsidRDefault="008C34C6" w:rsidP="001A346E">
      <w:pPr>
        <w:pStyle w:val="ListParagraph"/>
        <w:numPr>
          <w:ilvl w:val="0"/>
          <w:numId w:val="5"/>
        </w:numPr>
      </w:pPr>
      <w:r w:rsidRPr="00C3613B">
        <w:rPr>
          <w:i/>
          <w:iCs/>
        </w:rPr>
        <w:t xml:space="preserve">First Nations policy and programming </w:t>
      </w:r>
      <w:r w:rsidRPr="00C3613B">
        <w:t>– National Indigenous Australians Agency.</w:t>
      </w:r>
    </w:p>
    <w:p w14:paraId="1FBA6D2C" w14:textId="111764A4" w:rsidR="00BA3610" w:rsidRPr="00C3613B" w:rsidRDefault="00BC73C4" w:rsidP="008C34C6">
      <w:r w:rsidRPr="00C3613B">
        <w:rPr>
          <w:rFonts w:cs="Arial"/>
        </w:rPr>
        <w:t xml:space="preserve">For </w:t>
      </w:r>
      <w:r w:rsidR="009948CD" w:rsidRPr="00C3613B">
        <w:rPr>
          <w:rFonts w:cs="Arial"/>
        </w:rPr>
        <w:t>policy to</w:t>
      </w:r>
      <w:r w:rsidRPr="00C3613B">
        <w:rPr>
          <w:rFonts w:cs="Arial"/>
        </w:rPr>
        <w:t xml:space="preserve"> reflect the needs of children and young people with disability and for the respective departments to follow through on effective service and strategy delivery, governments need to meaningfully</w:t>
      </w:r>
      <w:r w:rsidR="001A346E" w:rsidRPr="00C3613B">
        <w:rPr>
          <w:rFonts w:cs="Arial"/>
        </w:rPr>
        <w:t xml:space="preserve"> consult with,</w:t>
      </w:r>
      <w:r w:rsidRPr="00C3613B">
        <w:rPr>
          <w:rFonts w:cs="Arial"/>
        </w:rPr>
        <w:t xml:space="preserve"> involve </w:t>
      </w:r>
      <w:r w:rsidR="00D33697" w:rsidRPr="00C3613B">
        <w:rPr>
          <w:rFonts w:cs="Arial"/>
        </w:rPr>
        <w:t xml:space="preserve">and engage </w:t>
      </w:r>
      <w:r w:rsidRPr="00C3613B">
        <w:rPr>
          <w:rFonts w:cs="Arial"/>
        </w:rPr>
        <w:t xml:space="preserve">children </w:t>
      </w:r>
      <w:r w:rsidR="00D33697" w:rsidRPr="00C3613B">
        <w:rPr>
          <w:rFonts w:cs="Arial"/>
        </w:rPr>
        <w:t xml:space="preserve">and young people with disability </w:t>
      </w:r>
      <w:r w:rsidRPr="00C3613B">
        <w:rPr>
          <w:rFonts w:cs="Arial"/>
        </w:rPr>
        <w:t>and their families</w:t>
      </w:r>
      <w:r w:rsidR="00D33697" w:rsidRPr="00C3613B">
        <w:rPr>
          <w:rFonts w:cs="Arial"/>
        </w:rPr>
        <w:t>/</w:t>
      </w:r>
      <w:r w:rsidRPr="00C3613B">
        <w:rPr>
          <w:rFonts w:cs="Arial"/>
        </w:rPr>
        <w:t xml:space="preserve"> </w:t>
      </w:r>
      <w:r w:rsidR="00D33697" w:rsidRPr="00C3613B">
        <w:rPr>
          <w:rFonts w:cs="Arial"/>
        </w:rPr>
        <w:t>caregivers</w:t>
      </w:r>
      <w:r w:rsidRPr="00C3613B">
        <w:rPr>
          <w:rFonts w:cs="Arial"/>
        </w:rPr>
        <w:t xml:space="preserve"> in policy development. </w:t>
      </w:r>
      <w:r w:rsidR="008C34C6" w:rsidRPr="00C3613B">
        <w:rPr>
          <w:rFonts w:cs="Arial"/>
        </w:rPr>
        <w:t>This inclusion must be genuine and built on co</w:t>
      </w:r>
      <w:r w:rsidR="00BA3610" w:rsidRPr="00C3613B">
        <w:t>-design principles.</w:t>
      </w:r>
      <w:r w:rsidR="00BA3610" w:rsidRPr="00C3613B">
        <w:rPr>
          <w:rStyle w:val="FootnoteReference"/>
        </w:rPr>
        <w:footnoteReference w:id="5"/>
      </w:r>
      <w:r w:rsidR="00BA3610" w:rsidRPr="00C3613B">
        <w:t xml:space="preserve"> </w:t>
      </w:r>
    </w:p>
    <w:p w14:paraId="3E84CB55" w14:textId="713A32FD" w:rsidR="00E74166" w:rsidRPr="00C3613B" w:rsidRDefault="00780F96" w:rsidP="008C34C6">
      <w:r w:rsidRPr="00C3613B">
        <w:t>Disability representative organisations have diverse and engaged networks</w:t>
      </w:r>
      <w:r w:rsidR="00E74166" w:rsidRPr="00C3613B">
        <w:t xml:space="preserve"> and specialised knowledge</w:t>
      </w:r>
      <w:r w:rsidRPr="00C3613B">
        <w:t xml:space="preserve"> that can promote genuine</w:t>
      </w:r>
      <w:r w:rsidR="00E74166" w:rsidRPr="00C3613B">
        <w:t xml:space="preserve"> and</w:t>
      </w:r>
      <w:r w:rsidRPr="00C3613B">
        <w:t xml:space="preserve"> </w:t>
      </w:r>
      <w:r w:rsidR="00E74166" w:rsidRPr="00C3613B">
        <w:t>safe engagement</w:t>
      </w:r>
      <w:r w:rsidRPr="00C3613B">
        <w:t xml:space="preserve"> opportunities for different communities</w:t>
      </w:r>
      <w:r w:rsidR="00E74166" w:rsidRPr="00C3613B">
        <w:t xml:space="preserve"> and cohorts</w:t>
      </w:r>
      <w:r w:rsidR="00805FED" w:rsidRPr="00C3613B">
        <w:t>; however, they are</w:t>
      </w:r>
      <w:r w:rsidRPr="00C3613B">
        <w:t xml:space="preserve"> often not called upon by </w:t>
      </w:r>
      <w:r w:rsidR="00E74166" w:rsidRPr="00C3613B">
        <w:t>governments</w:t>
      </w:r>
      <w:r w:rsidRPr="00C3613B">
        <w:t xml:space="preserve"> to support in </w:t>
      </w:r>
      <w:r w:rsidR="00E74166" w:rsidRPr="00C3613B">
        <w:t>facilitating</w:t>
      </w:r>
      <w:r w:rsidRPr="00C3613B">
        <w:t xml:space="preserve"> consultative process</w:t>
      </w:r>
      <w:r w:rsidR="00E74166" w:rsidRPr="00C3613B">
        <w:t>es</w:t>
      </w:r>
      <w:r w:rsidRPr="00C3613B">
        <w:t xml:space="preserve">. </w:t>
      </w:r>
      <w:r w:rsidR="00E74166" w:rsidRPr="00C3613B">
        <w:t xml:space="preserve">This risks governments, despite their best intentions, delivering sessions that are not meaningful, </w:t>
      </w:r>
      <w:proofErr w:type="gramStart"/>
      <w:r w:rsidR="00E74166" w:rsidRPr="00C3613B">
        <w:t>accessible</w:t>
      </w:r>
      <w:proofErr w:type="gramEnd"/>
      <w:r w:rsidR="00E74166" w:rsidRPr="00C3613B">
        <w:t xml:space="preserve"> or inclusive for target audience</w:t>
      </w:r>
      <w:r w:rsidR="00805FED" w:rsidRPr="00C3613B">
        <w:t>s</w:t>
      </w:r>
      <w:r w:rsidR="00E74166" w:rsidRPr="00C3613B">
        <w:t>. In contrast, an example of good practice is the Youth Advocacy Support grants</w:t>
      </w:r>
      <w:r w:rsidR="00805FED" w:rsidRPr="00C3613B">
        <w:t xml:space="preserve"> program</w:t>
      </w:r>
      <w:r w:rsidR="00E74166" w:rsidRPr="00C3613B">
        <w:t xml:space="preserve">, whereby government has </w:t>
      </w:r>
      <w:r w:rsidR="00805FED" w:rsidRPr="00C3613B">
        <w:t xml:space="preserve">utilised existing organisations to meaningfully engage with different communities of young people. This method of leveraging representative organisations’ expertise should be used consistently across portfolios. </w:t>
      </w:r>
    </w:p>
    <w:p w14:paraId="6812B67C" w14:textId="381357BC" w:rsidR="00CD215A" w:rsidRDefault="00BA3610" w:rsidP="001456C1">
      <w:pPr>
        <w:rPr>
          <w:rFonts w:cs="Arial"/>
        </w:rPr>
      </w:pPr>
      <w:r w:rsidRPr="00C3613B">
        <w:rPr>
          <w:rFonts w:cs="Arial"/>
        </w:rPr>
        <w:t xml:space="preserve">CYDA recommends funding </w:t>
      </w:r>
      <w:r w:rsidR="00656901" w:rsidRPr="00C3613B">
        <w:rPr>
          <w:rFonts w:cs="Arial"/>
        </w:rPr>
        <w:t xml:space="preserve">and implementing </w:t>
      </w:r>
      <w:r w:rsidRPr="00C3613B">
        <w:rPr>
          <w:rFonts w:cs="Arial"/>
        </w:rPr>
        <w:t xml:space="preserve">a </w:t>
      </w:r>
      <w:r w:rsidR="00656901" w:rsidRPr="00C3613B">
        <w:rPr>
          <w:rFonts w:cs="Arial"/>
        </w:rPr>
        <w:t>N</w:t>
      </w:r>
      <w:r w:rsidRPr="00C3613B">
        <w:rPr>
          <w:rFonts w:cs="Arial"/>
        </w:rPr>
        <w:t xml:space="preserve">ational </w:t>
      </w:r>
      <w:r w:rsidR="00656901" w:rsidRPr="00C3613B">
        <w:rPr>
          <w:rFonts w:cs="Arial"/>
        </w:rPr>
        <w:t>C</w:t>
      </w:r>
      <w:r w:rsidRPr="00C3613B">
        <w:rPr>
          <w:rFonts w:cs="Arial"/>
        </w:rPr>
        <w:t>hild</w:t>
      </w:r>
      <w:r w:rsidR="00D33697" w:rsidRPr="00C3613B">
        <w:rPr>
          <w:rFonts w:cs="Arial"/>
        </w:rPr>
        <w:t>ren</w:t>
      </w:r>
      <w:r w:rsidRPr="00C3613B">
        <w:rPr>
          <w:rFonts w:cs="Arial"/>
        </w:rPr>
        <w:t xml:space="preserve"> and </w:t>
      </w:r>
      <w:r w:rsidR="00656901" w:rsidRPr="00C3613B">
        <w:rPr>
          <w:rFonts w:cs="Arial"/>
        </w:rPr>
        <w:t>Y</w:t>
      </w:r>
      <w:r w:rsidRPr="00C3613B">
        <w:rPr>
          <w:rFonts w:cs="Arial"/>
        </w:rPr>
        <w:t xml:space="preserve">oung </w:t>
      </w:r>
      <w:r w:rsidR="00D33697" w:rsidRPr="00C3613B">
        <w:rPr>
          <w:rFonts w:cs="Arial"/>
        </w:rPr>
        <w:t xml:space="preserve">People </w:t>
      </w:r>
      <w:r w:rsidRPr="00C3613B">
        <w:rPr>
          <w:rFonts w:cs="Arial"/>
        </w:rPr>
        <w:t xml:space="preserve">with </w:t>
      </w:r>
      <w:r w:rsidR="00656901" w:rsidRPr="00C3613B">
        <w:rPr>
          <w:rFonts w:cs="Arial"/>
        </w:rPr>
        <w:t>D</w:t>
      </w:r>
      <w:r w:rsidRPr="00C3613B">
        <w:rPr>
          <w:rFonts w:cs="Arial"/>
        </w:rPr>
        <w:t xml:space="preserve">isability </w:t>
      </w:r>
      <w:r w:rsidR="00656901" w:rsidRPr="00C3613B">
        <w:rPr>
          <w:rFonts w:cs="Arial"/>
        </w:rPr>
        <w:t>E</w:t>
      </w:r>
      <w:r w:rsidRPr="00C3613B">
        <w:rPr>
          <w:rFonts w:cs="Arial"/>
        </w:rPr>
        <w:t xml:space="preserve">ngagement </w:t>
      </w:r>
      <w:r w:rsidR="00656901" w:rsidRPr="00C3613B">
        <w:rPr>
          <w:rFonts w:cs="Arial"/>
        </w:rPr>
        <w:t>F</w:t>
      </w:r>
      <w:r w:rsidRPr="00C3613B">
        <w:rPr>
          <w:rFonts w:cs="Arial"/>
        </w:rPr>
        <w:t>ramework</w:t>
      </w:r>
      <w:r w:rsidR="008C34C6" w:rsidRPr="00C3613B">
        <w:rPr>
          <w:rFonts w:cs="Arial"/>
        </w:rPr>
        <w:t xml:space="preserve"> for genuine inclusion, built on co</w:t>
      </w:r>
      <w:r w:rsidR="008C34C6" w:rsidRPr="00C3613B">
        <w:t>-design principles</w:t>
      </w:r>
      <w:r w:rsidR="008C34C6" w:rsidRPr="00C3613B">
        <w:rPr>
          <w:rStyle w:val="FootnoteReference"/>
        </w:rPr>
        <w:footnoteReference w:id="6"/>
      </w:r>
      <w:r w:rsidR="008C34C6" w:rsidRPr="00C3613B">
        <w:t xml:space="preserve">. The Framework should be used to input into the </w:t>
      </w:r>
      <w:r w:rsidR="008C34C6" w:rsidRPr="00C3613B">
        <w:rPr>
          <w:rFonts w:cs="Arial"/>
        </w:rPr>
        <w:t>National Disability Strategy and other policies and systems that intersect with the children and young people with disability</w:t>
      </w:r>
      <w:r w:rsidR="00D33697" w:rsidRPr="00C3613B">
        <w:rPr>
          <w:rFonts w:cs="Arial"/>
        </w:rPr>
        <w:t xml:space="preserve"> across the multiple portfolios</w:t>
      </w:r>
      <w:r w:rsidR="008C34C6" w:rsidRPr="00C3613B">
        <w:rPr>
          <w:rFonts w:cs="Arial"/>
        </w:rPr>
        <w:t>.</w:t>
      </w:r>
      <w:r w:rsidR="004007B8" w:rsidRPr="00C3613B">
        <w:rPr>
          <w:rFonts w:cs="Arial"/>
        </w:rPr>
        <w:t xml:space="preserve"> </w:t>
      </w:r>
      <w:r w:rsidRPr="00C3613B">
        <w:rPr>
          <w:rFonts w:cs="Arial"/>
        </w:rPr>
        <w:t xml:space="preserve">This framework needs to be developed and implemented in partnership with </w:t>
      </w:r>
      <w:r w:rsidR="00656901" w:rsidRPr="00C3613B">
        <w:rPr>
          <w:rFonts w:cs="Arial"/>
        </w:rPr>
        <w:t xml:space="preserve">young people with disability and </w:t>
      </w:r>
      <w:r w:rsidR="00CD215A" w:rsidRPr="00C3613B">
        <w:rPr>
          <w:rFonts w:cs="Arial"/>
        </w:rPr>
        <w:t>D</w:t>
      </w:r>
      <w:r w:rsidRPr="00C3613B">
        <w:rPr>
          <w:rFonts w:cs="Arial"/>
        </w:rPr>
        <w:t xml:space="preserve">isability </w:t>
      </w:r>
      <w:r w:rsidR="00CD215A" w:rsidRPr="00C3613B">
        <w:rPr>
          <w:rFonts w:cs="Arial"/>
        </w:rPr>
        <w:t>R</w:t>
      </w:r>
      <w:r w:rsidRPr="00C3613B">
        <w:rPr>
          <w:rFonts w:cs="Arial"/>
        </w:rPr>
        <w:t xml:space="preserve">epresentative </w:t>
      </w:r>
      <w:r w:rsidR="00CD215A" w:rsidRPr="00C3613B">
        <w:rPr>
          <w:rFonts w:cs="Arial"/>
        </w:rPr>
        <w:t>O</w:t>
      </w:r>
      <w:r w:rsidRPr="00C3613B">
        <w:rPr>
          <w:rFonts w:cs="Arial"/>
        </w:rPr>
        <w:t>rganisations</w:t>
      </w:r>
      <w:r w:rsidR="008C34C6" w:rsidRPr="00C3613B">
        <w:rPr>
          <w:rFonts w:cs="Arial"/>
        </w:rPr>
        <w:t>,</w:t>
      </w:r>
      <w:r w:rsidRPr="00C3613B">
        <w:rPr>
          <w:rFonts w:cs="Arial"/>
        </w:rPr>
        <w:t xml:space="preserve"> including </w:t>
      </w:r>
      <w:r w:rsidR="008C34C6" w:rsidRPr="00C3613B">
        <w:rPr>
          <w:rFonts w:cs="Arial"/>
        </w:rPr>
        <w:t>CYDA</w:t>
      </w:r>
      <w:r w:rsidR="00656901" w:rsidRPr="00C3613B">
        <w:rPr>
          <w:rFonts w:cs="Arial"/>
        </w:rPr>
        <w:t>,</w:t>
      </w:r>
      <w:r w:rsidRPr="00C3613B">
        <w:rPr>
          <w:rFonts w:cs="Arial"/>
        </w:rPr>
        <w:t xml:space="preserve"> the only national representative organisation focusing solely on the rights and need</w:t>
      </w:r>
      <w:r w:rsidR="00354865" w:rsidRPr="00C3613B">
        <w:rPr>
          <w:rFonts w:cs="Arial"/>
        </w:rPr>
        <w:t>s</w:t>
      </w:r>
      <w:r w:rsidRPr="00C3613B">
        <w:rPr>
          <w:rFonts w:cs="Arial"/>
        </w:rPr>
        <w:t xml:space="preserve"> of children and young people with disability aged 0</w:t>
      </w:r>
      <w:r w:rsidR="008C34C6" w:rsidRPr="00C3613B">
        <w:rPr>
          <w:rFonts w:cs="Arial"/>
        </w:rPr>
        <w:t>-</w:t>
      </w:r>
      <w:r w:rsidRPr="00C3613B">
        <w:rPr>
          <w:rFonts w:cs="Arial"/>
        </w:rPr>
        <w:t>25.</w:t>
      </w:r>
    </w:p>
    <w:p w14:paraId="5919A122" w14:textId="77777777" w:rsidR="001456C1" w:rsidRDefault="001456C1" w:rsidP="001456C1"/>
    <w:p w14:paraId="4A7B27D8" w14:textId="3775FF40" w:rsidR="003220F1" w:rsidRDefault="000D344D" w:rsidP="00E8239D">
      <w:pPr>
        <w:pStyle w:val="Heading2"/>
      </w:pPr>
      <w:bookmarkStart w:id="4" w:name="_Toc62833781"/>
      <w:r w:rsidRPr="00300625">
        <w:t>Recommendation</w:t>
      </w:r>
      <w:r w:rsidR="00FF168B" w:rsidRPr="00300625">
        <w:t xml:space="preserve"> </w:t>
      </w:r>
      <w:r w:rsidR="00A95078" w:rsidRPr="00300625">
        <w:t>2</w:t>
      </w:r>
      <w:r w:rsidRPr="00300625">
        <w:t xml:space="preserve">: </w:t>
      </w:r>
      <w:r w:rsidR="00BA3610">
        <w:t xml:space="preserve">Drive </w:t>
      </w:r>
      <w:r w:rsidR="00656901">
        <w:t xml:space="preserve">and fund transformational change to ensure inclusive </w:t>
      </w:r>
      <w:proofErr w:type="gramStart"/>
      <w:r w:rsidR="00656901">
        <w:t>education</w:t>
      </w:r>
      <w:bookmarkEnd w:id="4"/>
      <w:proofErr w:type="gramEnd"/>
    </w:p>
    <w:p w14:paraId="268FAD08" w14:textId="002AD73F" w:rsidR="00886A52" w:rsidRPr="00C3613B" w:rsidRDefault="00271DD1" w:rsidP="00CA4C50">
      <w:r w:rsidRPr="00C3613B">
        <w:t xml:space="preserve">Having a quality education helps set us up for life. </w:t>
      </w:r>
      <w:r w:rsidR="00194D13" w:rsidRPr="00C3613B">
        <w:t>On an individual level, quality education and levels of education</w:t>
      </w:r>
      <w:r w:rsidR="00E84318" w:rsidRPr="00C3613B">
        <w:t>al</w:t>
      </w:r>
      <w:r w:rsidR="00194D13" w:rsidRPr="00C3613B">
        <w:t xml:space="preserve"> attainment </w:t>
      </w:r>
      <w:r w:rsidR="00733120" w:rsidRPr="00C3613B">
        <w:t xml:space="preserve">are </w:t>
      </w:r>
      <w:r w:rsidR="00194D13" w:rsidRPr="00C3613B">
        <w:t>linked with increased employment outcomes</w:t>
      </w:r>
      <w:r w:rsidR="001B2828" w:rsidRPr="00C3613B">
        <w:t>,</w:t>
      </w:r>
      <w:r w:rsidR="00194D13" w:rsidRPr="00C3613B">
        <w:t xml:space="preserve"> higher </w:t>
      </w:r>
      <w:r w:rsidR="008C34C6" w:rsidRPr="00C3613B">
        <w:t>w</w:t>
      </w:r>
      <w:r w:rsidR="00194D13" w:rsidRPr="00C3613B">
        <w:t>age earnings</w:t>
      </w:r>
      <w:r w:rsidR="001B2828" w:rsidRPr="00C3613B">
        <w:t>, and reduced reliance on income support as a main source of income</w:t>
      </w:r>
      <w:r w:rsidR="00194D13" w:rsidRPr="00C3613B">
        <w:t xml:space="preserve"> later in life.</w:t>
      </w:r>
      <w:r w:rsidR="00194D13" w:rsidRPr="00C3613B">
        <w:rPr>
          <w:rStyle w:val="FootnoteReference"/>
        </w:rPr>
        <w:footnoteReference w:id="7"/>
      </w:r>
      <w:r w:rsidR="00567C1A" w:rsidRPr="00C3613B">
        <w:t xml:space="preserve"> </w:t>
      </w:r>
      <w:r w:rsidR="00567C1A" w:rsidRPr="00C3613B">
        <w:rPr>
          <w:rStyle w:val="FootnoteReference"/>
        </w:rPr>
        <w:footnoteReference w:id="8"/>
      </w:r>
      <w:r w:rsidR="00194D13" w:rsidRPr="00C3613B">
        <w:t xml:space="preserve"> </w:t>
      </w:r>
      <w:r w:rsidR="001B2828" w:rsidRPr="00C3613B">
        <w:t xml:space="preserve">The </w:t>
      </w:r>
      <w:r w:rsidR="001B2828" w:rsidRPr="00C3613B">
        <w:lastRenderedPageBreak/>
        <w:t>skills</w:t>
      </w:r>
      <w:r w:rsidR="00EC020B" w:rsidRPr="00C3613B">
        <w:t xml:space="preserve">, </w:t>
      </w:r>
      <w:proofErr w:type="gramStart"/>
      <w:r w:rsidR="00EC020B" w:rsidRPr="00C3613B">
        <w:t>attributes</w:t>
      </w:r>
      <w:proofErr w:type="gramEnd"/>
      <w:r w:rsidR="00EC020B" w:rsidRPr="00C3613B">
        <w:t xml:space="preserve"> and knowledge we gain through getting a good education also support us to be active citizens in our community</w:t>
      </w:r>
      <w:r w:rsidR="0031612C" w:rsidRPr="00C3613B">
        <w:t>.</w:t>
      </w:r>
    </w:p>
    <w:p w14:paraId="217595E6" w14:textId="0AAA0500" w:rsidR="00271DD1" w:rsidRPr="00C3613B" w:rsidRDefault="00886A52" w:rsidP="00CA4C50">
      <w:r w:rsidRPr="00C3613B">
        <w:t xml:space="preserve">The benefits of quality education for </w:t>
      </w:r>
      <w:r w:rsidR="00EC020B" w:rsidRPr="00C3613B">
        <w:t>society</w:t>
      </w:r>
      <w:r w:rsidRPr="00C3613B">
        <w:t xml:space="preserve"> are also widespread. </w:t>
      </w:r>
      <w:r w:rsidR="00EC020B" w:rsidRPr="00C3613B">
        <w:t>Modelling by Deloitte Access Economics</w:t>
      </w:r>
      <w:r w:rsidR="00EC020B" w:rsidRPr="00C3613B">
        <w:rPr>
          <w:rStyle w:val="FootnoteReference"/>
        </w:rPr>
        <w:footnoteReference w:id="9"/>
      </w:r>
      <w:r w:rsidR="00EC020B" w:rsidRPr="00C3613B">
        <w:t xml:space="preserve"> has shown that quality education outcomes for Australian students </w:t>
      </w:r>
      <w:proofErr w:type="gramStart"/>
      <w:r w:rsidR="00EC020B" w:rsidRPr="00C3613B">
        <w:t>has</w:t>
      </w:r>
      <w:proofErr w:type="gramEnd"/>
      <w:r w:rsidR="00EC020B" w:rsidRPr="00C3613B">
        <w:t xml:space="preserve"> </w:t>
      </w:r>
      <w:r w:rsidR="008C34C6" w:rsidRPr="00C3613B">
        <w:t>spill over</w:t>
      </w:r>
      <w:r w:rsidR="00EC020B" w:rsidRPr="00C3613B">
        <w:t xml:space="preserve"> </w:t>
      </w:r>
      <w:r w:rsidR="0031612C" w:rsidRPr="00C3613B">
        <w:t>e</w:t>
      </w:r>
      <w:r w:rsidR="00EC020B" w:rsidRPr="00C3613B">
        <w:t xml:space="preserve">ffects at the whole-of-economy level, and investment in quality education pays large dividends in the future. </w:t>
      </w:r>
    </w:p>
    <w:p w14:paraId="28371E85" w14:textId="786A57EA" w:rsidR="003A3E8D" w:rsidRPr="00C3613B" w:rsidRDefault="0065371E" w:rsidP="00CA4C50">
      <w:r w:rsidRPr="00C3613B">
        <w:t xml:space="preserve">Students with disability </w:t>
      </w:r>
      <w:r w:rsidR="003A608D" w:rsidRPr="00C3613B">
        <w:t>d</w:t>
      </w:r>
      <w:r w:rsidRPr="00C3613B">
        <w:t xml:space="preserve">o not </w:t>
      </w:r>
      <w:r w:rsidR="003A608D" w:rsidRPr="00C3613B">
        <w:t>current</w:t>
      </w:r>
      <w:r w:rsidR="00495271" w:rsidRPr="00C3613B">
        <w:t>ly</w:t>
      </w:r>
      <w:r w:rsidR="003A608D" w:rsidRPr="00C3613B">
        <w:t xml:space="preserve"> experience quality education on the same basis as their peers. </w:t>
      </w:r>
      <w:r w:rsidR="00A30A24" w:rsidRPr="00C3613B">
        <w:t>Despite academic reviews revealing there is a lack of evidence to suggest any benefit of segregated education, enrolment in special schools in Australia is increasing.</w:t>
      </w:r>
      <w:r w:rsidR="00A30A24" w:rsidRPr="00C3613B">
        <w:rPr>
          <w:rStyle w:val="FootnoteReference"/>
        </w:rPr>
        <w:footnoteReference w:id="10"/>
      </w:r>
      <w:r w:rsidR="003A3E8D" w:rsidRPr="00C3613B">
        <w:t xml:space="preserve"> </w:t>
      </w:r>
      <w:r w:rsidR="00F10B41" w:rsidRPr="00C3613B">
        <w:t>For student</w:t>
      </w:r>
      <w:r w:rsidR="0074075A" w:rsidRPr="00C3613B">
        <w:t>s</w:t>
      </w:r>
      <w:r w:rsidR="00F10B41" w:rsidRPr="00C3613B">
        <w:t xml:space="preserve"> in mainstream settings, many are separated from their peers in segregated classes and units and/or are not receiving adequate support to</w:t>
      </w:r>
      <w:r w:rsidR="000E56BA" w:rsidRPr="00C3613B">
        <w:t xml:space="preserve"> foster</w:t>
      </w:r>
      <w:r w:rsidR="00F10B41" w:rsidRPr="00C3613B">
        <w:t xml:space="preserve"> their learning and participation in their school community</w:t>
      </w:r>
      <w:r w:rsidR="0074075A" w:rsidRPr="00C3613B">
        <w:t>.</w:t>
      </w:r>
      <w:r w:rsidR="000E56BA" w:rsidRPr="00C3613B">
        <w:rPr>
          <w:rStyle w:val="FootnoteReference"/>
        </w:rPr>
        <w:footnoteReference w:id="11"/>
      </w:r>
    </w:p>
    <w:p w14:paraId="614C4E5E" w14:textId="46E53617" w:rsidR="00F10B41" w:rsidRPr="00C3613B" w:rsidRDefault="008169AA" w:rsidP="00CA4C50">
      <w:r w:rsidRPr="00C3613B">
        <w:t xml:space="preserve">These inequitable opportunities have consequential impacts on students’ experiences of education and educational outcomes. </w:t>
      </w:r>
      <w:r w:rsidR="00F10B41" w:rsidRPr="00C3613B">
        <w:t>A 2019 national youth survey found that compared with those without disability, twice the proportion of respondents with disability reported that they were either dissatisfied or very dissatisfied with their studies.</w:t>
      </w:r>
      <w:r w:rsidR="00F10B41" w:rsidRPr="00C3613B">
        <w:rPr>
          <w:rStyle w:val="FootnoteReference"/>
        </w:rPr>
        <w:footnoteReference w:id="12"/>
      </w:r>
      <w:r w:rsidR="00F10B41" w:rsidRPr="00C3613B">
        <w:t xml:space="preserve"> Students with disability leave school before the age of 16 at a rate nearly three times higher</w:t>
      </w:r>
      <w:r w:rsidR="006C3C49" w:rsidRPr="00C3613B">
        <w:rPr>
          <w:rStyle w:val="FootnoteReference"/>
        </w:rPr>
        <w:footnoteReference w:id="13"/>
      </w:r>
      <w:r w:rsidR="00F10B41" w:rsidRPr="00C3613B">
        <w:t xml:space="preserve"> than that of their counterparts and are less likely to complete year 12 or attain a tertiary education, such as a gaining a bachelor’s degree or higher.</w:t>
      </w:r>
      <w:r w:rsidR="006C3C49" w:rsidRPr="00C3613B">
        <w:rPr>
          <w:rStyle w:val="FootnoteReference"/>
        </w:rPr>
        <w:footnoteReference w:id="14"/>
      </w:r>
      <w:r w:rsidR="006C3C49" w:rsidRPr="00C3613B">
        <w:rPr>
          <w:rStyle w:val="Heading1Char"/>
          <w:rFonts w:ascii="Lato" w:hAnsi="Lato"/>
          <w:sz w:val="22"/>
          <w:szCs w:val="22"/>
        </w:rPr>
        <w:t xml:space="preserve"> </w:t>
      </w:r>
      <w:r w:rsidRPr="00C3613B">
        <w:t xml:space="preserve"> </w:t>
      </w:r>
    </w:p>
    <w:p w14:paraId="08E57E83" w14:textId="3F4419C6" w:rsidR="003C7148" w:rsidRPr="00C3613B" w:rsidRDefault="003C7148" w:rsidP="00CA4C50">
      <w:r w:rsidRPr="00C3613B">
        <w:t xml:space="preserve">In </w:t>
      </w:r>
      <w:r w:rsidR="007E20E0" w:rsidRPr="00C3613B">
        <w:t>contrast to the current education system, inclusive education – whereby</w:t>
      </w:r>
      <w:r w:rsidR="000E0BF7" w:rsidRPr="00C3613B">
        <w:t xml:space="preserve"> all students experience equitable and full participation and membership within the school community – “has positive benefits for everyone”</w:t>
      </w:r>
      <w:r w:rsidR="000E0BF7" w:rsidRPr="00C3613B">
        <w:rPr>
          <w:rStyle w:val="FootnoteReference"/>
          <w:rFonts w:cs="Arial"/>
        </w:rPr>
        <w:footnoteReference w:id="15"/>
      </w:r>
      <w:r w:rsidR="000E0BF7" w:rsidRPr="00C3613B">
        <w:t>, including students with and without disabilit</w:t>
      </w:r>
      <w:r w:rsidR="00354865" w:rsidRPr="00C3613B">
        <w:t>y</w:t>
      </w:r>
      <w:r w:rsidR="000E0BF7" w:rsidRPr="00C3613B">
        <w:t xml:space="preserve">, </w:t>
      </w:r>
      <w:proofErr w:type="gramStart"/>
      <w:r w:rsidR="000E0BF7" w:rsidRPr="00C3613B">
        <w:t>teachers</w:t>
      </w:r>
      <w:proofErr w:type="gramEnd"/>
      <w:r w:rsidR="000E0BF7" w:rsidRPr="00C3613B">
        <w:t xml:space="preserve"> and the broader school community. For all students, inclusive education facilitates social development, socially inclusive attitudes, improved education outcomes and communication and language development.</w:t>
      </w:r>
      <w:r w:rsidR="000E0BF7" w:rsidRPr="00C3613B">
        <w:rPr>
          <w:rStyle w:val="FootnoteReference"/>
        </w:rPr>
        <w:footnoteReference w:id="16"/>
      </w:r>
      <w:r w:rsidR="000E0BF7" w:rsidRPr="00C3613B">
        <w:t xml:space="preserve"> Achieving inclusive education “requires recognising the right of every child </w:t>
      </w:r>
      <w:r w:rsidR="008A3983" w:rsidRPr="00C3613B">
        <w:rPr>
          <w:rFonts w:cs="Arial"/>
        </w:rPr>
        <w:t>−</w:t>
      </w:r>
      <w:r w:rsidR="001C4987" w:rsidRPr="00C3613B">
        <w:rPr>
          <w:rFonts w:cs="Arial"/>
        </w:rPr>
        <w:t xml:space="preserve"> </w:t>
      </w:r>
      <w:r w:rsidR="000E0BF7" w:rsidRPr="00C3613B">
        <w:t>without exception</w:t>
      </w:r>
      <w:r w:rsidR="008A3983" w:rsidRPr="00C3613B">
        <w:t xml:space="preserve"> </w:t>
      </w:r>
      <w:r w:rsidR="008A3983" w:rsidRPr="00C3613B">
        <w:rPr>
          <w:rFonts w:cs="Arial"/>
        </w:rPr>
        <w:t>−</w:t>
      </w:r>
      <w:r w:rsidR="000E0BF7" w:rsidRPr="00C3613B">
        <w:t xml:space="preserve"> to be </w:t>
      </w:r>
      <w:proofErr w:type="gramStart"/>
      <w:r w:rsidR="000E0BF7" w:rsidRPr="00C3613B">
        <w:t>included</w:t>
      </w:r>
      <w:r w:rsidR="00867E96" w:rsidRPr="00C3613B">
        <w:t>,</w:t>
      </w:r>
      <w:r w:rsidR="00F91C77" w:rsidRPr="00C3613B">
        <w:t xml:space="preserve"> </w:t>
      </w:r>
      <w:r w:rsidR="000E0BF7" w:rsidRPr="00C3613B">
        <w:t>and</w:t>
      </w:r>
      <w:proofErr w:type="gramEnd"/>
      <w:r w:rsidR="000E0BF7" w:rsidRPr="00C3613B">
        <w:t xml:space="preserve"> adapting the environment and teaching approaches in order to ensure the valued participation of all children.”</w:t>
      </w:r>
      <w:r w:rsidR="000E0BF7" w:rsidRPr="00C3613B">
        <w:rPr>
          <w:rStyle w:val="FootnoteReference"/>
        </w:rPr>
        <w:footnoteReference w:id="17"/>
      </w:r>
    </w:p>
    <w:p w14:paraId="28B99A84" w14:textId="13413200" w:rsidR="002C0F9C" w:rsidRPr="00C3613B" w:rsidRDefault="00647D9D" w:rsidP="00CA4C50">
      <w:pPr>
        <w:rPr>
          <w:rFonts w:cs="Arial"/>
        </w:rPr>
      </w:pPr>
      <w:r w:rsidRPr="00C3613B">
        <w:rPr>
          <w:lang w:val="en-US"/>
        </w:rPr>
        <w:t xml:space="preserve">The Australian Government holds many of the levers for ensuring students with disability are fully included in school. Most importantly, they hold the funding and legislative levers under the </w:t>
      </w:r>
      <w:r w:rsidRPr="00C3613B">
        <w:rPr>
          <w:i/>
          <w:iCs/>
          <w:lang w:val="en-US"/>
        </w:rPr>
        <w:t xml:space="preserve">Disability Discrimination Act </w:t>
      </w:r>
      <w:r w:rsidR="002C0F9C" w:rsidRPr="00C3613B">
        <w:rPr>
          <w:i/>
          <w:iCs/>
          <w:lang w:val="en-US"/>
        </w:rPr>
        <w:t xml:space="preserve">1992 </w:t>
      </w:r>
      <w:r w:rsidRPr="00C3613B">
        <w:rPr>
          <w:lang w:val="en-US"/>
        </w:rPr>
        <w:t xml:space="preserve">and the </w:t>
      </w:r>
      <w:r w:rsidRPr="00C3613B">
        <w:rPr>
          <w:i/>
          <w:iCs/>
          <w:lang w:val="en-US"/>
        </w:rPr>
        <w:t xml:space="preserve">Disability Standards for Education </w:t>
      </w:r>
      <w:r w:rsidR="002C0F9C" w:rsidRPr="00C3613B">
        <w:rPr>
          <w:i/>
          <w:iCs/>
          <w:lang w:val="en-US"/>
        </w:rPr>
        <w:t>2005</w:t>
      </w:r>
      <w:r w:rsidR="002C0F9C" w:rsidRPr="00C3613B">
        <w:rPr>
          <w:lang w:val="en-US"/>
        </w:rPr>
        <w:t xml:space="preserve">, </w:t>
      </w:r>
      <w:r w:rsidRPr="00C3613B">
        <w:rPr>
          <w:lang w:val="en-US"/>
        </w:rPr>
        <w:t xml:space="preserve">that have been widely </w:t>
      </w:r>
      <w:proofErr w:type="spellStart"/>
      <w:r w:rsidRPr="00C3613B">
        <w:rPr>
          <w:lang w:val="en-US"/>
        </w:rPr>
        <w:t>criticised</w:t>
      </w:r>
      <w:proofErr w:type="spellEnd"/>
      <w:r w:rsidRPr="00C3613B">
        <w:rPr>
          <w:lang w:val="en-US"/>
        </w:rPr>
        <w:t xml:space="preserve"> as being ineffective, including by the Committee overseeing the Convention on the Rights for Persons with Disabilities for not providing the </w:t>
      </w:r>
      <w:hyperlink r:id="rId16" w:history="1">
        <w:r w:rsidRPr="00C3613B">
          <w:rPr>
            <w:rStyle w:val="Hyperlink"/>
            <w:lang w:val="en-US"/>
          </w:rPr>
          <w:t xml:space="preserve">impetus for schools to provide inclusive </w:t>
        </w:r>
        <w:r w:rsidRPr="00C3613B">
          <w:rPr>
            <w:rStyle w:val="Hyperlink"/>
            <w:lang w:val="en-US"/>
          </w:rPr>
          <w:lastRenderedPageBreak/>
          <w:t>education</w:t>
        </w:r>
      </w:hyperlink>
      <w:r w:rsidR="000E484F" w:rsidRPr="00C3613B">
        <w:rPr>
          <w:rStyle w:val="Hyperlink"/>
          <w:lang w:val="en-US"/>
        </w:rPr>
        <w:t>.</w:t>
      </w:r>
      <w:r w:rsidR="00C52D77" w:rsidRPr="00C3613B">
        <w:rPr>
          <w:rStyle w:val="FootnoteReference"/>
        </w:rPr>
        <w:footnoteReference w:id="18"/>
      </w:r>
      <w:r w:rsidRPr="00C3613B">
        <w:rPr>
          <w:lang w:val="en-US"/>
        </w:rPr>
        <w:t xml:space="preserve"> </w:t>
      </w:r>
      <w:r w:rsidR="000E484F" w:rsidRPr="00C3613B">
        <w:rPr>
          <w:rFonts w:cs="Arial"/>
        </w:rPr>
        <w:t>The</w:t>
      </w:r>
      <w:r w:rsidR="002C0F9C" w:rsidRPr="00C3613B">
        <w:rPr>
          <w:rFonts w:cs="Arial"/>
        </w:rPr>
        <w:t xml:space="preserve"> intent</w:t>
      </w:r>
      <w:r w:rsidR="000E484F" w:rsidRPr="00C3613B">
        <w:rPr>
          <w:rFonts w:cs="Arial"/>
        </w:rPr>
        <w:t xml:space="preserve"> of the legislation</w:t>
      </w:r>
      <w:r w:rsidR="002C0F9C" w:rsidRPr="00C3613B">
        <w:rPr>
          <w:rFonts w:cs="Arial"/>
        </w:rPr>
        <w:t xml:space="preserve"> to</w:t>
      </w:r>
      <w:r w:rsidR="000E484F" w:rsidRPr="00C3613B">
        <w:rPr>
          <w:rFonts w:cs="Arial"/>
        </w:rPr>
        <w:t xml:space="preserve"> safeguard and</w:t>
      </w:r>
      <w:r w:rsidR="002C0F9C" w:rsidRPr="00C3613B">
        <w:rPr>
          <w:rFonts w:cs="Arial"/>
        </w:rPr>
        <w:t xml:space="preserve"> uphold the right</w:t>
      </w:r>
      <w:r w:rsidR="000E484F" w:rsidRPr="00C3613B">
        <w:rPr>
          <w:rFonts w:cs="Arial"/>
        </w:rPr>
        <w:t xml:space="preserve">s of children and young people </w:t>
      </w:r>
      <w:r w:rsidR="002C0F9C" w:rsidRPr="00C3613B">
        <w:rPr>
          <w:rFonts w:cs="Arial"/>
        </w:rPr>
        <w:t xml:space="preserve">to an inclusive education </w:t>
      </w:r>
      <w:r w:rsidR="008A3983" w:rsidRPr="00C3613B">
        <w:rPr>
          <w:rFonts w:cs="Arial"/>
        </w:rPr>
        <w:t>is</w:t>
      </w:r>
      <w:r w:rsidR="008D640F" w:rsidRPr="00C3613B">
        <w:rPr>
          <w:rFonts w:cs="Arial"/>
        </w:rPr>
        <w:t xml:space="preserve"> currently</w:t>
      </w:r>
      <w:r w:rsidR="002C0F9C" w:rsidRPr="00C3613B">
        <w:rPr>
          <w:rFonts w:cs="Arial"/>
        </w:rPr>
        <w:t xml:space="preserve"> failing, with strong inconsistencies in the access and implementation of inclusive practices throughout Australia. A review of policies and practices found that there was a lack of systemic coherence about what inclusive education means and what is required to achieve inclusive education.</w:t>
      </w:r>
      <w:r w:rsidR="002C0F9C" w:rsidRPr="00C3613B">
        <w:rPr>
          <w:rStyle w:val="FootnoteReference"/>
          <w:rFonts w:cs="Arial"/>
        </w:rPr>
        <w:footnoteReference w:id="19"/>
      </w:r>
      <w:r w:rsidR="002C0F9C" w:rsidRPr="00C3613B">
        <w:rPr>
          <w:rFonts w:cs="Arial"/>
        </w:rPr>
        <w:t xml:space="preserve"> </w:t>
      </w:r>
    </w:p>
    <w:p w14:paraId="7A11697D" w14:textId="22B47A0F" w:rsidR="00B31AB6" w:rsidRPr="00C3613B" w:rsidRDefault="00B31AB6" w:rsidP="00CA4C50">
      <w:pPr>
        <w:rPr>
          <w:rFonts w:cs="Arial"/>
        </w:rPr>
      </w:pPr>
      <w:r w:rsidRPr="00C3613B">
        <w:rPr>
          <w:rFonts w:cs="Arial"/>
        </w:rPr>
        <w:t xml:space="preserve">The Australian </w:t>
      </w:r>
      <w:r w:rsidR="0074075A" w:rsidRPr="00C3613B">
        <w:rPr>
          <w:rFonts w:cs="Arial"/>
        </w:rPr>
        <w:t>Government</w:t>
      </w:r>
      <w:r w:rsidRPr="00C3613B">
        <w:rPr>
          <w:rFonts w:cs="Arial"/>
        </w:rPr>
        <w:t xml:space="preserve"> </w:t>
      </w:r>
      <w:r w:rsidR="002C0F9C" w:rsidRPr="00C3613B">
        <w:rPr>
          <w:rFonts w:cs="Arial"/>
        </w:rPr>
        <w:t>plays a critical role</w:t>
      </w:r>
      <w:r w:rsidRPr="00C3613B">
        <w:rPr>
          <w:rFonts w:cs="Arial"/>
        </w:rPr>
        <w:t xml:space="preserve"> in preventing students from bearing the burden of </w:t>
      </w:r>
      <w:r w:rsidR="008D640F" w:rsidRPr="00C3613B">
        <w:rPr>
          <w:rFonts w:cs="Arial"/>
        </w:rPr>
        <w:t xml:space="preserve">systemic </w:t>
      </w:r>
      <w:r w:rsidRPr="00C3613B">
        <w:rPr>
          <w:rFonts w:cs="Arial"/>
        </w:rPr>
        <w:t xml:space="preserve">failures and ensuring they can reap the immediate and ongoing benefits of a quality education. A </w:t>
      </w:r>
      <w:r w:rsidR="00656901" w:rsidRPr="00C3613B">
        <w:rPr>
          <w:rFonts w:cs="Arial"/>
        </w:rPr>
        <w:t>National I</w:t>
      </w:r>
      <w:r w:rsidRPr="00C3613B">
        <w:rPr>
          <w:rFonts w:eastAsia="Times New Roman"/>
          <w:color w:val="201F1E"/>
          <w:shd w:val="clear" w:color="auto" w:fill="FFFFFF"/>
        </w:rPr>
        <w:t xml:space="preserve">nclusive </w:t>
      </w:r>
      <w:r w:rsidR="00656901" w:rsidRPr="00C3613B">
        <w:rPr>
          <w:rFonts w:eastAsia="Times New Roman"/>
          <w:color w:val="201F1E"/>
          <w:shd w:val="clear" w:color="auto" w:fill="FFFFFF"/>
        </w:rPr>
        <w:t>Education P</w:t>
      </w:r>
      <w:r w:rsidRPr="00C3613B">
        <w:rPr>
          <w:rFonts w:eastAsia="Times New Roman"/>
          <w:color w:val="201F1E"/>
          <w:shd w:val="clear" w:color="auto" w:fill="FFFFFF"/>
        </w:rPr>
        <w:t xml:space="preserve">lan is required to guarantee </w:t>
      </w:r>
      <w:r w:rsidRPr="00C3613B">
        <w:rPr>
          <w:rFonts w:cs="Arial"/>
        </w:rPr>
        <w:t>policies and practice are consistent across the country</w:t>
      </w:r>
      <w:r w:rsidR="00C6000E" w:rsidRPr="00C3613B">
        <w:rPr>
          <w:rFonts w:cs="Arial"/>
        </w:rPr>
        <w:t xml:space="preserve">, educational outcomes are monitored and improved, and responsibilities across jurisdictions are clear. </w:t>
      </w:r>
    </w:p>
    <w:p w14:paraId="32AD5373" w14:textId="64A4B790" w:rsidR="00C6000E" w:rsidRPr="00C3613B" w:rsidRDefault="00C6000E" w:rsidP="00CA4C50">
      <w:pPr>
        <w:rPr>
          <w:rFonts w:cs="Arial"/>
        </w:rPr>
      </w:pPr>
      <w:r w:rsidRPr="00C3613B">
        <w:rPr>
          <w:rFonts w:cs="Arial"/>
          <w:color w:val="000000"/>
        </w:rPr>
        <w:t xml:space="preserve">The Australian Coalition for Inclusive Education (ACIE), </w:t>
      </w:r>
      <w:r w:rsidR="008D640F" w:rsidRPr="00C3613B">
        <w:rPr>
          <w:rFonts w:cs="Arial"/>
          <w:color w:val="000000"/>
        </w:rPr>
        <w:t xml:space="preserve">chaired and co-convened by CYDA and All Means All, </w:t>
      </w:r>
      <w:r w:rsidRPr="00C3613B">
        <w:rPr>
          <w:rFonts w:cs="Arial"/>
          <w:color w:val="000000"/>
        </w:rPr>
        <w:t>an initiative which brings together organisations that share a commitment to advance inclusive education in Australia, has developed a 10-year plan</w:t>
      </w:r>
      <w:r w:rsidRPr="00C3613B">
        <w:rPr>
          <w:rFonts w:cs="Arial"/>
          <w:color w:val="000000"/>
          <w:vertAlign w:val="superscript"/>
        </w:rPr>
        <w:t>31</w:t>
      </w:r>
      <w:r w:rsidRPr="00C3613B">
        <w:rPr>
          <w:rFonts w:cs="Arial"/>
          <w:color w:val="000000"/>
        </w:rPr>
        <w:t xml:space="preserve"> (</w:t>
      </w:r>
      <w:hyperlink r:id="rId17" w:history="1">
        <w:r w:rsidRPr="00C3613B">
          <w:rPr>
            <w:rStyle w:val="Hyperlink"/>
            <w:rFonts w:cs="Arial"/>
            <w:i/>
            <w:iCs/>
          </w:rPr>
          <w:t>Driving change: A roadmap for achieving inclusive education in Australia</w:t>
        </w:r>
      </w:hyperlink>
      <w:r w:rsidRPr="00C3613B">
        <w:rPr>
          <w:rFonts w:cs="Arial"/>
          <w:color w:val="000000"/>
        </w:rPr>
        <w:t xml:space="preserve">) to help realise inclusive education and prevent the violence, abuse, neglect and exploitation of students with disability. This plan has been </w:t>
      </w:r>
      <w:r w:rsidRPr="00C3613B">
        <w:t>endorsed by disability advocacy and youth-led organisations across the country.</w:t>
      </w:r>
    </w:p>
    <w:p w14:paraId="523EF5AF" w14:textId="11B4878D" w:rsidR="0047750F" w:rsidRDefault="00656901" w:rsidP="00CA4C50">
      <w:pPr>
        <w:rPr>
          <w:rFonts w:cs="Arial"/>
          <w:color w:val="000000"/>
        </w:rPr>
      </w:pPr>
      <w:r w:rsidRPr="00C3613B">
        <w:rPr>
          <w:rFonts w:cs="Arial"/>
          <w:color w:val="000000"/>
        </w:rPr>
        <w:t xml:space="preserve">Our roadmap has </w:t>
      </w:r>
      <w:r w:rsidR="00647D9D" w:rsidRPr="00C3613B">
        <w:rPr>
          <w:rFonts w:cs="Arial"/>
          <w:color w:val="000000"/>
        </w:rPr>
        <w:t>six key pillars to ensure Australia’s compliance with Article 24 of the CPRD</w:t>
      </w:r>
      <w:r w:rsidR="0047750F">
        <w:rPr>
          <w:rFonts w:cs="Arial"/>
          <w:color w:val="000000"/>
        </w:rPr>
        <w:t>:</w:t>
      </w:r>
    </w:p>
    <w:p w14:paraId="55C0F594" w14:textId="4589E270" w:rsidR="0047750F" w:rsidRDefault="0047750F" w:rsidP="0047750F">
      <w:pPr>
        <w:pStyle w:val="ListParagraph"/>
        <w:numPr>
          <w:ilvl w:val="0"/>
          <w:numId w:val="7"/>
        </w:numPr>
        <w:rPr>
          <w:rFonts w:cs="Arial"/>
          <w:color w:val="000000"/>
        </w:rPr>
      </w:pPr>
      <w:r>
        <w:rPr>
          <w:rFonts w:cs="Arial"/>
          <w:color w:val="000000"/>
        </w:rPr>
        <w:t xml:space="preserve">Ensure inclusive </w:t>
      </w:r>
      <w:proofErr w:type="gramStart"/>
      <w:r>
        <w:rPr>
          <w:rFonts w:cs="Arial"/>
          <w:color w:val="000000"/>
        </w:rPr>
        <w:t>education</w:t>
      </w:r>
      <w:proofErr w:type="gramEnd"/>
    </w:p>
    <w:p w14:paraId="55C0AD04" w14:textId="60CF56C9" w:rsidR="0047750F" w:rsidRDefault="0047750F" w:rsidP="0047750F">
      <w:pPr>
        <w:pStyle w:val="ListParagraph"/>
        <w:numPr>
          <w:ilvl w:val="0"/>
          <w:numId w:val="7"/>
        </w:numPr>
        <w:rPr>
          <w:rFonts w:cs="Arial"/>
          <w:color w:val="000000"/>
        </w:rPr>
      </w:pPr>
      <w:r>
        <w:rPr>
          <w:rFonts w:cs="Arial"/>
          <w:color w:val="000000"/>
        </w:rPr>
        <w:t xml:space="preserve">Phase out segregated </w:t>
      </w:r>
      <w:proofErr w:type="gramStart"/>
      <w:r>
        <w:rPr>
          <w:rFonts w:cs="Arial"/>
          <w:color w:val="000000"/>
        </w:rPr>
        <w:t>education</w:t>
      </w:r>
      <w:proofErr w:type="gramEnd"/>
    </w:p>
    <w:p w14:paraId="0D41451A" w14:textId="243D2D77" w:rsidR="0047750F" w:rsidRDefault="0047750F" w:rsidP="0047750F">
      <w:pPr>
        <w:pStyle w:val="ListParagraph"/>
        <w:numPr>
          <w:ilvl w:val="0"/>
          <w:numId w:val="7"/>
        </w:numPr>
        <w:rPr>
          <w:rFonts w:cs="Arial"/>
          <w:color w:val="000000"/>
        </w:rPr>
      </w:pPr>
      <w:r>
        <w:rPr>
          <w:rFonts w:cs="Arial"/>
          <w:color w:val="000000"/>
        </w:rPr>
        <w:t xml:space="preserve">Increase educational </w:t>
      </w:r>
      <w:proofErr w:type="gramStart"/>
      <w:r>
        <w:rPr>
          <w:rFonts w:cs="Arial"/>
          <w:color w:val="000000"/>
        </w:rPr>
        <w:t>outcomes</w:t>
      </w:r>
      <w:proofErr w:type="gramEnd"/>
    </w:p>
    <w:p w14:paraId="5A0600A6" w14:textId="0E59412B" w:rsidR="0047750F" w:rsidRDefault="0047750F" w:rsidP="0047750F">
      <w:pPr>
        <w:pStyle w:val="ListParagraph"/>
        <w:numPr>
          <w:ilvl w:val="0"/>
          <w:numId w:val="7"/>
        </w:numPr>
        <w:rPr>
          <w:rFonts w:cs="Arial"/>
          <w:color w:val="000000"/>
        </w:rPr>
      </w:pPr>
      <w:r>
        <w:rPr>
          <w:rFonts w:cs="Arial"/>
          <w:color w:val="000000"/>
        </w:rPr>
        <w:t xml:space="preserve">Stop gatekeeping and other </w:t>
      </w:r>
      <w:proofErr w:type="gramStart"/>
      <w:r>
        <w:rPr>
          <w:rFonts w:cs="Arial"/>
          <w:color w:val="000000"/>
        </w:rPr>
        <w:t>discrimination</w:t>
      </w:r>
      <w:proofErr w:type="gramEnd"/>
    </w:p>
    <w:p w14:paraId="1125D655" w14:textId="16FC038D" w:rsidR="0047750F" w:rsidRDefault="0047750F" w:rsidP="0047750F">
      <w:pPr>
        <w:pStyle w:val="ListParagraph"/>
        <w:numPr>
          <w:ilvl w:val="0"/>
          <w:numId w:val="7"/>
        </w:numPr>
        <w:rPr>
          <w:rFonts w:cs="Arial"/>
          <w:color w:val="000000"/>
        </w:rPr>
      </w:pPr>
      <w:r>
        <w:rPr>
          <w:rFonts w:cs="Arial"/>
          <w:color w:val="000000"/>
        </w:rPr>
        <w:t xml:space="preserve">Eliminate restrictive </w:t>
      </w:r>
      <w:proofErr w:type="gramStart"/>
      <w:r>
        <w:rPr>
          <w:rFonts w:cs="Arial"/>
          <w:color w:val="000000"/>
        </w:rPr>
        <w:t>practices</w:t>
      </w:r>
      <w:proofErr w:type="gramEnd"/>
    </w:p>
    <w:p w14:paraId="5D20EDF2" w14:textId="5FA33290" w:rsidR="0047750F" w:rsidRPr="0047750F" w:rsidRDefault="0047750F" w:rsidP="0047750F">
      <w:pPr>
        <w:pStyle w:val="ListParagraph"/>
        <w:numPr>
          <w:ilvl w:val="0"/>
          <w:numId w:val="7"/>
        </w:numPr>
        <w:rPr>
          <w:rFonts w:cs="Arial"/>
          <w:color w:val="000000"/>
        </w:rPr>
      </w:pPr>
      <w:r>
        <w:rPr>
          <w:rFonts w:cs="Arial"/>
          <w:color w:val="000000"/>
        </w:rPr>
        <w:t xml:space="preserve">Prevent suspensions and </w:t>
      </w:r>
      <w:proofErr w:type="gramStart"/>
      <w:r>
        <w:rPr>
          <w:rFonts w:cs="Arial"/>
          <w:color w:val="000000"/>
        </w:rPr>
        <w:t>expulsions</w:t>
      </w:r>
      <w:proofErr w:type="gramEnd"/>
    </w:p>
    <w:p w14:paraId="2E74A463" w14:textId="17E0B940" w:rsidR="00647D9D" w:rsidRDefault="00647D9D" w:rsidP="00C3613B">
      <w:pPr>
        <w:jc w:val="center"/>
      </w:pPr>
      <w:r w:rsidRPr="00647D9D">
        <w:rPr>
          <w:noProof/>
        </w:rPr>
        <w:drawing>
          <wp:inline distT="0" distB="0" distL="0" distR="0" wp14:anchorId="33DFC4E8" wp14:editId="4483F99D">
            <wp:extent cx="2632029" cy="2286000"/>
            <wp:effectExtent l="0" t="0" r="0" b="0"/>
            <wp:docPr id="1" name="Picture 1" descr="Picture of Australian Coalition for Inclusive Education's six key pillar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Australian Coalition for Inclusive Education's six key pillars mode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9670" cy="2292636"/>
                    </a:xfrm>
                    <a:prstGeom prst="rect">
                      <a:avLst/>
                    </a:prstGeom>
                    <a:noFill/>
                    <a:ln>
                      <a:noFill/>
                    </a:ln>
                  </pic:spPr>
                </pic:pic>
              </a:graphicData>
            </a:graphic>
          </wp:inline>
        </w:drawing>
      </w:r>
    </w:p>
    <w:p w14:paraId="40EB8BF1" w14:textId="0A654690" w:rsidR="00EB4F23" w:rsidRDefault="00647D9D" w:rsidP="00CA4C50">
      <w:r w:rsidRPr="00B92B58">
        <w:t xml:space="preserve">A nationally agreed </w:t>
      </w:r>
      <w:r>
        <w:t xml:space="preserve">Inclusive Education Plan developed with states and territories </w:t>
      </w:r>
      <w:r w:rsidR="008D640F">
        <w:t xml:space="preserve">together with </w:t>
      </w:r>
      <w:r w:rsidR="00E90AE6">
        <w:t>students</w:t>
      </w:r>
      <w:r>
        <w:t xml:space="preserve"> </w:t>
      </w:r>
      <w:r w:rsidR="00C52D77">
        <w:t xml:space="preserve">with disability </w:t>
      </w:r>
      <w:r>
        <w:t xml:space="preserve">and their representative organisations would </w:t>
      </w:r>
      <w:r w:rsidR="00C52D77">
        <w:t>transform</w:t>
      </w:r>
      <w:r>
        <w:t xml:space="preserve"> education and drive inclusion.</w:t>
      </w:r>
    </w:p>
    <w:p w14:paraId="6A50B57C" w14:textId="77777777" w:rsidR="001456C1" w:rsidRDefault="001456C1" w:rsidP="00CA4C50"/>
    <w:p w14:paraId="3A86E972" w14:textId="05C2B94C" w:rsidR="00FC300E" w:rsidRDefault="00FC300E" w:rsidP="00647D9D">
      <w:pPr>
        <w:pStyle w:val="Heading2"/>
      </w:pPr>
      <w:bookmarkStart w:id="5" w:name="_Toc62833782"/>
      <w:r w:rsidRPr="00FC300E">
        <w:lastRenderedPageBreak/>
        <w:t>Recommendation</w:t>
      </w:r>
      <w:r w:rsidR="00FF168B">
        <w:t xml:space="preserve"> </w:t>
      </w:r>
      <w:r w:rsidR="00A95078">
        <w:t>3</w:t>
      </w:r>
      <w:r w:rsidRPr="00FC300E">
        <w:t xml:space="preserve">: Develop and implement a </w:t>
      </w:r>
      <w:r w:rsidR="00647D9D">
        <w:t xml:space="preserve">targeted </w:t>
      </w:r>
      <w:r w:rsidRPr="00FC300E">
        <w:t>National Youth Disability Employment Strategy</w:t>
      </w:r>
      <w:bookmarkEnd w:id="5"/>
    </w:p>
    <w:p w14:paraId="757A9264" w14:textId="28E29AC5" w:rsidR="00B946AF" w:rsidRPr="00C3613B" w:rsidRDefault="00550340" w:rsidP="001456C1">
      <w:pPr>
        <w:spacing w:line="259" w:lineRule="auto"/>
        <w:rPr>
          <w:rFonts w:cs="Arial"/>
        </w:rPr>
      </w:pPr>
      <w:r w:rsidRPr="001456C1">
        <w:t>While it</w:t>
      </w:r>
      <w:r w:rsidR="00CF45ED" w:rsidRPr="001456C1">
        <w:t xml:space="preserve"> is</w:t>
      </w:r>
      <w:r w:rsidRPr="001456C1">
        <w:t xml:space="preserve"> encouraging to see the investment in youth employment initiatives in the 2020-21 Budget and the recent announcements and development of the Australian Public Service Disability Employment Strategy 2020-25 and the National Disability Employment Strategy – young people with disability</w:t>
      </w:r>
      <w:r w:rsidR="00B946AF" w:rsidRPr="00C3613B">
        <w:rPr>
          <w:rFonts w:cs="Arial"/>
        </w:rPr>
        <w:t xml:space="preserve">, and strategies to address the multi-faceted barriers they face in the workforce, remain largely absent in national policy. </w:t>
      </w:r>
    </w:p>
    <w:p w14:paraId="0AEA0F50" w14:textId="7E016335" w:rsidR="00A15DF4" w:rsidRPr="00C3613B" w:rsidRDefault="00A15DF4" w:rsidP="00A15DF4">
      <w:pPr>
        <w:rPr>
          <w:rFonts w:cs="Arial"/>
        </w:rPr>
      </w:pPr>
      <w:bookmarkStart w:id="6" w:name="_Hlk53734700"/>
      <w:r w:rsidRPr="00C3613B">
        <w:rPr>
          <w:rFonts w:cs="Arial"/>
        </w:rPr>
        <w:t xml:space="preserve">Young people with disability are one of the most disadvantaged cohorts in the labour market. They experience the intersectionality of systemic disadvantage and oppression of both being a person with disability and a young person – with this disadvantage being even further amplified by other demographic factors, such as socio-economic status, ethnicity, </w:t>
      </w:r>
      <w:proofErr w:type="gramStart"/>
      <w:r w:rsidRPr="00C3613B">
        <w:rPr>
          <w:rFonts w:cs="Arial"/>
        </w:rPr>
        <w:t>gender</w:t>
      </w:r>
      <w:proofErr w:type="gramEnd"/>
      <w:r w:rsidRPr="00C3613B">
        <w:rPr>
          <w:rFonts w:cs="Arial"/>
        </w:rPr>
        <w:t xml:space="preserve"> or sexual diversity, or living in a regional or rural area. </w:t>
      </w:r>
    </w:p>
    <w:p w14:paraId="1647E5FD" w14:textId="2C8D0686" w:rsidR="00A15DF4" w:rsidRPr="00C3613B" w:rsidRDefault="00A15DF4" w:rsidP="00A15DF4">
      <w:pPr>
        <w:rPr>
          <w:rFonts w:cs="Arial"/>
        </w:rPr>
      </w:pPr>
      <w:r w:rsidRPr="00C3613B">
        <w:rPr>
          <w:rFonts w:cs="Arial"/>
        </w:rPr>
        <w:t>Young people</w:t>
      </w:r>
      <w:r w:rsidRPr="00C3613B">
        <w:rPr>
          <w:rStyle w:val="FootnoteReference"/>
          <w:rFonts w:cs="Arial"/>
        </w:rPr>
        <w:footnoteReference w:id="20"/>
      </w:r>
      <w:r w:rsidRPr="00C3613B">
        <w:rPr>
          <w:rFonts w:cs="Arial"/>
        </w:rPr>
        <w:t xml:space="preserve"> with disability in the labour force are more than twice as likely to be unemployed than older adults</w:t>
      </w:r>
      <w:r w:rsidRPr="00C3613B">
        <w:rPr>
          <w:rStyle w:val="FootnoteReference"/>
          <w:rFonts w:cs="Arial"/>
        </w:rPr>
        <w:footnoteReference w:id="21"/>
      </w:r>
      <w:r w:rsidRPr="00C3613B">
        <w:rPr>
          <w:rFonts w:cs="Arial"/>
        </w:rPr>
        <w:t xml:space="preserve"> with disability (24.7 per cent compared to 7.9 per cent).</w:t>
      </w:r>
      <w:r w:rsidRPr="00C3613B">
        <w:rPr>
          <w:rStyle w:val="FootnoteReference"/>
          <w:rFonts w:cs="Arial"/>
        </w:rPr>
        <w:footnoteReference w:id="22"/>
      </w:r>
      <w:r w:rsidRPr="00C3613B">
        <w:rPr>
          <w:rFonts w:cs="Arial"/>
        </w:rPr>
        <w:t xml:space="preserve"> Young people with disability are also more than twice as likely to be underemployed</w:t>
      </w:r>
      <w:r w:rsidRPr="00C3613B">
        <w:rPr>
          <w:rStyle w:val="FootnoteReference"/>
          <w:rFonts w:cs="Arial"/>
        </w:rPr>
        <w:footnoteReference w:id="23"/>
      </w:r>
      <w:r w:rsidRPr="00C3613B">
        <w:rPr>
          <w:rFonts w:cs="Arial"/>
        </w:rPr>
        <w:t xml:space="preserve"> </w:t>
      </w:r>
      <w:r w:rsidRPr="00C3613B">
        <w:rPr>
          <w:rFonts w:cs="Arial"/>
          <w:color w:val="262626"/>
        </w:rPr>
        <w:t xml:space="preserve">— </w:t>
      </w:r>
      <w:r w:rsidRPr="00C3613B">
        <w:rPr>
          <w:rFonts w:cs="Arial"/>
        </w:rPr>
        <w:t>meaning they have the capacity and desire to work more hours than what they are currently employed.</w:t>
      </w:r>
    </w:p>
    <w:bookmarkEnd w:id="6"/>
    <w:p w14:paraId="33B21D9E" w14:textId="15BBFD09" w:rsidR="00A15DF4" w:rsidRPr="00C3613B" w:rsidRDefault="00A15DF4" w:rsidP="00A15DF4">
      <w:pPr>
        <w:spacing w:before="0" w:line="259" w:lineRule="auto"/>
        <w:rPr>
          <w:rFonts w:cs="Arial"/>
        </w:rPr>
      </w:pPr>
      <w:r w:rsidRPr="00C3613B">
        <w:rPr>
          <w:rFonts w:cs="Arial"/>
        </w:rPr>
        <w:t>According to the Productivity Commission</w:t>
      </w:r>
      <w:r w:rsidRPr="00C3613B">
        <w:rPr>
          <w:rStyle w:val="FootnoteReference"/>
          <w:rFonts w:cs="Arial"/>
        </w:rPr>
        <w:footnoteReference w:id="24"/>
      </w:r>
      <w:r w:rsidRPr="00C3613B">
        <w:rPr>
          <w:rFonts w:cs="Arial"/>
        </w:rPr>
        <w:t>, those who experience negative shocks in the labour market, such as those caused by economic down-turn, go on to have ‘scarring’ effects on their longer-term employment and earnings prospects. While the previous Budget acknowledges that young people are disproportionality impacted by the COVID-19 economic crisis, the strategies do not factor in the increased systemic and structural disadvantage in the labour market</w:t>
      </w:r>
      <w:r w:rsidR="00953ED5" w:rsidRPr="00C3613B">
        <w:rPr>
          <w:rFonts w:cs="Arial"/>
        </w:rPr>
        <w:t xml:space="preserve"> experience</w:t>
      </w:r>
      <w:r w:rsidR="001A0489" w:rsidRPr="00C3613B">
        <w:rPr>
          <w:rFonts w:cs="Arial"/>
        </w:rPr>
        <w:t>d</w:t>
      </w:r>
      <w:r w:rsidR="00953ED5" w:rsidRPr="00C3613B">
        <w:rPr>
          <w:rFonts w:cs="Arial"/>
        </w:rPr>
        <w:t xml:space="preserve"> by young people with disability compared to their peers without disability.</w:t>
      </w:r>
      <w:r w:rsidRPr="00C3613B">
        <w:rPr>
          <w:rFonts w:cs="Arial"/>
        </w:rPr>
        <w:t xml:space="preserve"> </w:t>
      </w:r>
    </w:p>
    <w:p w14:paraId="3F265EA1" w14:textId="74F101E5" w:rsidR="00FE454B" w:rsidRPr="00C3613B" w:rsidRDefault="00953ED5" w:rsidP="00A15DF4">
      <w:pPr>
        <w:spacing w:before="0" w:line="259" w:lineRule="auto"/>
        <w:rPr>
          <w:rFonts w:cs="Arial"/>
        </w:rPr>
      </w:pPr>
      <w:r w:rsidRPr="00C3613B">
        <w:rPr>
          <w:rFonts w:cs="Arial"/>
        </w:rPr>
        <w:t>To ensure employment strategies and policies are designed to address the distinct causes of unemployment and underemployment of young people with disability, particularly</w:t>
      </w:r>
      <w:r w:rsidR="00CF45ED" w:rsidRPr="00C3613B">
        <w:rPr>
          <w:rFonts w:cs="Arial"/>
        </w:rPr>
        <w:t xml:space="preserve"> during the current</w:t>
      </w:r>
      <w:r w:rsidRPr="00C3613B">
        <w:rPr>
          <w:rFonts w:cs="Arial"/>
        </w:rPr>
        <w:t xml:space="preserve"> economic period where they face increased vulnerability, the development of a targeted, fit-for purpose </w:t>
      </w:r>
      <w:r w:rsidR="008D640F" w:rsidRPr="00C3613B">
        <w:rPr>
          <w:rFonts w:cs="Arial"/>
        </w:rPr>
        <w:t>National Y</w:t>
      </w:r>
      <w:r w:rsidRPr="00C3613B">
        <w:rPr>
          <w:rFonts w:cs="Arial"/>
        </w:rPr>
        <w:t xml:space="preserve">outh </w:t>
      </w:r>
      <w:r w:rsidR="008D640F" w:rsidRPr="00C3613B">
        <w:rPr>
          <w:rFonts w:cs="Arial"/>
        </w:rPr>
        <w:t>Disability E</w:t>
      </w:r>
      <w:r w:rsidR="00CF45ED" w:rsidRPr="00C3613B">
        <w:rPr>
          <w:rFonts w:cs="Arial"/>
        </w:rPr>
        <w:t>mployment</w:t>
      </w:r>
      <w:r w:rsidRPr="00C3613B">
        <w:rPr>
          <w:rFonts w:cs="Arial"/>
        </w:rPr>
        <w:t xml:space="preserve"> </w:t>
      </w:r>
      <w:r w:rsidR="008D640F" w:rsidRPr="00C3613B">
        <w:rPr>
          <w:rFonts w:cs="Arial"/>
        </w:rPr>
        <w:t>S</w:t>
      </w:r>
      <w:r w:rsidRPr="00C3613B">
        <w:rPr>
          <w:rFonts w:cs="Arial"/>
        </w:rPr>
        <w:t>trategy is required</w:t>
      </w:r>
      <w:r w:rsidR="008D640F" w:rsidRPr="00C3613B">
        <w:rPr>
          <w:rFonts w:cs="Arial"/>
        </w:rPr>
        <w:t xml:space="preserve">. </w:t>
      </w:r>
      <w:r w:rsidR="00FE454B" w:rsidRPr="00C3613B">
        <w:rPr>
          <w:rFonts w:cs="Arial"/>
        </w:rPr>
        <w:t>As</w:t>
      </w:r>
      <w:r w:rsidR="00D30939" w:rsidRPr="00C3613B">
        <w:rPr>
          <w:rFonts w:cs="Arial"/>
        </w:rPr>
        <w:t xml:space="preserve"> the</w:t>
      </w:r>
      <w:r w:rsidR="00FE454B" w:rsidRPr="00C3613B">
        <w:rPr>
          <w:rFonts w:cs="Arial"/>
        </w:rPr>
        <w:t xml:space="preserve"> </w:t>
      </w:r>
      <w:r w:rsidR="00D30939" w:rsidRPr="00C3613B">
        <w:rPr>
          <w:rFonts w:cs="Arial"/>
        </w:rPr>
        <w:t>disadvantage experienced by young people with disability in the labour market is so complex and distinct from other cohorts, a generalised employment strategy for people with disability, which is not co-designed with young people, will not be effective.</w:t>
      </w:r>
    </w:p>
    <w:p w14:paraId="027B5CC3" w14:textId="261BB950" w:rsidR="00953ED5" w:rsidRDefault="00953ED5" w:rsidP="00A15DF4">
      <w:pPr>
        <w:spacing w:before="0" w:line="259" w:lineRule="auto"/>
        <w:rPr>
          <w:rFonts w:cs="Arial"/>
        </w:rPr>
      </w:pPr>
      <w:r w:rsidRPr="00C3613B">
        <w:rPr>
          <w:rFonts w:cs="Arial"/>
        </w:rPr>
        <w:t xml:space="preserve">This strategy should be planned, </w:t>
      </w:r>
      <w:proofErr w:type="gramStart"/>
      <w:r w:rsidRPr="00C3613B">
        <w:rPr>
          <w:rFonts w:cs="Arial"/>
        </w:rPr>
        <w:t>implemented</w:t>
      </w:r>
      <w:proofErr w:type="gramEnd"/>
      <w:r w:rsidRPr="00C3613B">
        <w:rPr>
          <w:rFonts w:cs="Arial"/>
        </w:rPr>
        <w:t xml:space="preserve"> and eventually evaluated with</w:t>
      </w:r>
      <w:r w:rsidR="000B7F85" w:rsidRPr="00C3613B">
        <w:rPr>
          <w:rFonts w:cs="Arial"/>
        </w:rPr>
        <w:t xml:space="preserve"> the</w:t>
      </w:r>
      <w:r w:rsidRPr="00C3613B">
        <w:rPr>
          <w:rFonts w:cs="Arial"/>
        </w:rPr>
        <w:t xml:space="preserve"> meaningful inclusion of young people. </w:t>
      </w:r>
      <w:r w:rsidR="008D640F" w:rsidRPr="00C3613B">
        <w:rPr>
          <w:rFonts w:cs="Arial"/>
        </w:rPr>
        <w:t xml:space="preserve">It needs to consider the </w:t>
      </w:r>
      <w:r w:rsidR="00E90AE6" w:rsidRPr="00C3613B">
        <w:rPr>
          <w:rFonts w:cs="Arial"/>
        </w:rPr>
        <w:t xml:space="preserve">crucial careers guidance </w:t>
      </w:r>
      <w:r w:rsidR="00440F47" w:rsidRPr="00C3613B">
        <w:rPr>
          <w:rFonts w:cs="Arial"/>
        </w:rPr>
        <w:t xml:space="preserve">provided </w:t>
      </w:r>
      <w:r w:rsidR="00E90AE6" w:rsidRPr="00C3613B">
        <w:rPr>
          <w:rFonts w:cs="Arial"/>
        </w:rPr>
        <w:t xml:space="preserve">at school, and </w:t>
      </w:r>
      <w:r w:rsidR="008D640F" w:rsidRPr="00C3613B">
        <w:rPr>
          <w:rFonts w:cs="Arial"/>
        </w:rPr>
        <w:t>transition between education and post-school options, as recommended in the Senior Secondary Pathways Review</w:t>
      </w:r>
      <w:r w:rsidR="00F63666" w:rsidRPr="00C3613B">
        <w:rPr>
          <w:rFonts w:cs="Arial"/>
        </w:rPr>
        <w:t>.</w:t>
      </w:r>
      <w:r w:rsidR="00F63666" w:rsidRPr="00C3613B">
        <w:rPr>
          <w:rStyle w:val="FootnoteReference"/>
          <w:rFonts w:cs="Arial"/>
        </w:rPr>
        <w:footnoteReference w:id="25"/>
      </w:r>
      <w:r w:rsidR="008D640F" w:rsidRPr="00C3613B">
        <w:rPr>
          <w:rFonts w:cs="Arial"/>
        </w:rPr>
        <w:t xml:space="preserve"> </w:t>
      </w:r>
      <w:r w:rsidRPr="00C3613B">
        <w:rPr>
          <w:rFonts w:cs="Arial"/>
        </w:rPr>
        <w:t xml:space="preserve">The strategy should also </w:t>
      </w:r>
      <w:r w:rsidR="00FC300E" w:rsidRPr="00C3613B">
        <w:rPr>
          <w:rFonts w:cs="Arial"/>
        </w:rPr>
        <w:t>include</w:t>
      </w:r>
      <w:r w:rsidR="00CF45ED" w:rsidRPr="00C3613B">
        <w:rPr>
          <w:rFonts w:cs="Arial"/>
        </w:rPr>
        <w:t xml:space="preserve"> </w:t>
      </w:r>
      <w:r w:rsidR="00156D55" w:rsidRPr="00C3613B">
        <w:rPr>
          <w:rFonts w:cs="Arial"/>
        </w:rPr>
        <w:t>targeted</w:t>
      </w:r>
      <w:r w:rsidR="00FC300E" w:rsidRPr="00C3613B">
        <w:rPr>
          <w:rFonts w:cs="Arial"/>
        </w:rPr>
        <w:t xml:space="preserve"> approaches for young people within the disability community that risk experiencing increased marginalisation in the workforce, such as young Aboriginal and Torres Strait Islander peoples, gender diverse young people and different disability groups.</w:t>
      </w:r>
    </w:p>
    <w:p w14:paraId="10A0FCEB" w14:textId="77777777" w:rsidR="001456C1" w:rsidRPr="00C3613B" w:rsidRDefault="001456C1" w:rsidP="00A15DF4">
      <w:pPr>
        <w:spacing w:before="0" w:line="259" w:lineRule="auto"/>
        <w:rPr>
          <w:rFonts w:cs="Arial"/>
        </w:rPr>
      </w:pPr>
    </w:p>
    <w:p w14:paraId="6AAFD708" w14:textId="7219A7D2" w:rsidR="00FD3537" w:rsidRDefault="00B070C8" w:rsidP="00B070C8">
      <w:pPr>
        <w:pStyle w:val="Heading2"/>
      </w:pPr>
      <w:bookmarkStart w:id="7" w:name="_Toc62833783"/>
      <w:r>
        <w:t xml:space="preserve">Recommendation 4: Develop a COVID-19 </w:t>
      </w:r>
      <w:r w:rsidR="002B258E">
        <w:t xml:space="preserve">youth </w:t>
      </w:r>
      <w:r>
        <w:t xml:space="preserve">recovery response that </w:t>
      </w:r>
      <w:r w:rsidR="002B258E">
        <w:t>includes the voice</w:t>
      </w:r>
      <w:r w:rsidR="00EE590B">
        <w:t>s</w:t>
      </w:r>
      <w:r w:rsidR="002B258E">
        <w:t xml:space="preserve"> and needs of young people with </w:t>
      </w:r>
      <w:proofErr w:type="gramStart"/>
      <w:r w:rsidR="002B258E">
        <w:t>disability</w:t>
      </w:r>
      <w:bookmarkEnd w:id="7"/>
      <w:proofErr w:type="gramEnd"/>
    </w:p>
    <w:p w14:paraId="63F654A8" w14:textId="69311C39" w:rsidR="00CA7615" w:rsidRDefault="00D94DC7" w:rsidP="00541436">
      <w:pPr>
        <w:rPr>
          <w:color w:val="000000" w:themeColor="text1"/>
        </w:rPr>
      </w:pPr>
      <w:r>
        <w:rPr>
          <w:color w:val="000000" w:themeColor="text1"/>
        </w:rPr>
        <w:t xml:space="preserve">Young Australians are – and will continue to be – </w:t>
      </w:r>
      <w:r w:rsidR="00F91C77">
        <w:rPr>
          <w:color w:val="000000" w:themeColor="text1"/>
        </w:rPr>
        <w:t>disproportionately</w:t>
      </w:r>
      <w:r>
        <w:rPr>
          <w:color w:val="000000" w:themeColor="text1"/>
        </w:rPr>
        <w:t xml:space="preserve"> affected by the economic and social impacts of</w:t>
      </w:r>
      <w:r w:rsidR="000F1E87">
        <w:rPr>
          <w:color w:val="000000" w:themeColor="text1"/>
        </w:rPr>
        <w:t xml:space="preserve"> the</w:t>
      </w:r>
      <w:r>
        <w:rPr>
          <w:color w:val="000000" w:themeColor="text1"/>
        </w:rPr>
        <w:t xml:space="preserve"> COVID-19</w:t>
      </w:r>
      <w:r w:rsidR="000F1E87">
        <w:rPr>
          <w:color w:val="000000" w:themeColor="text1"/>
        </w:rPr>
        <w:t xml:space="preserve"> global </w:t>
      </w:r>
      <w:r w:rsidR="000E62AB">
        <w:rPr>
          <w:color w:val="000000" w:themeColor="text1"/>
        </w:rPr>
        <w:t>pandemic</w:t>
      </w:r>
      <w:r>
        <w:rPr>
          <w:color w:val="000000" w:themeColor="text1"/>
        </w:rPr>
        <w:t xml:space="preserve">. </w:t>
      </w:r>
      <w:r w:rsidR="00CA7615">
        <w:rPr>
          <w:color w:val="000000" w:themeColor="text1"/>
        </w:rPr>
        <w:t xml:space="preserve">The crisis exacerbated existing labour market inequities and </w:t>
      </w:r>
      <w:r w:rsidR="003F44AE">
        <w:rPr>
          <w:color w:val="000000" w:themeColor="text1"/>
        </w:rPr>
        <w:t xml:space="preserve">acted as a catalyst for </w:t>
      </w:r>
      <w:r w:rsidR="00F91C77">
        <w:rPr>
          <w:color w:val="000000" w:themeColor="text1"/>
        </w:rPr>
        <w:t>a</w:t>
      </w:r>
      <w:r w:rsidR="003F44AE">
        <w:rPr>
          <w:color w:val="000000" w:themeColor="text1"/>
        </w:rPr>
        <w:t xml:space="preserve"> severe reduction in entry-level opportunities and jobs in industries that are dominated by young people.</w:t>
      </w:r>
      <w:r w:rsidR="000F1E87">
        <w:rPr>
          <w:rStyle w:val="FootnoteReference"/>
          <w:color w:val="000000" w:themeColor="text1"/>
        </w:rPr>
        <w:footnoteReference w:id="26"/>
      </w:r>
      <w:r w:rsidR="003F44AE">
        <w:rPr>
          <w:color w:val="000000" w:themeColor="text1"/>
        </w:rPr>
        <w:t xml:space="preserve"> As result, the underemployment and unemployment rates of young Australians surged – more so than for any other cohort.</w:t>
      </w:r>
      <w:r w:rsidR="000F1E87">
        <w:rPr>
          <w:rStyle w:val="FootnoteReference"/>
          <w:color w:val="000000" w:themeColor="text1"/>
        </w:rPr>
        <w:footnoteReference w:id="27"/>
      </w:r>
    </w:p>
    <w:p w14:paraId="3B5CEC50" w14:textId="60D76981" w:rsidR="008D640F" w:rsidRDefault="002B258E" w:rsidP="00541436">
      <w:pPr>
        <w:rPr>
          <w:color w:val="000000" w:themeColor="text1"/>
        </w:rPr>
      </w:pPr>
      <w:r>
        <w:rPr>
          <w:color w:val="000000" w:themeColor="text1"/>
        </w:rPr>
        <w:t xml:space="preserve">This economic burden experienced by young people has had consequential impacts on their health and wellbeing. As reported by </w:t>
      </w:r>
      <w:r w:rsidR="00F91C77">
        <w:rPr>
          <w:color w:val="000000" w:themeColor="text1"/>
        </w:rPr>
        <w:t xml:space="preserve">the </w:t>
      </w:r>
      <w:r>
        <w:rPr>
          <w:color w:val="000000" w:themeColor="text1"/>
        </w:rPr>
        <w:t>Youth Affairs Council Victoria</w:t>
      </w:r>
      <w:r w:rsidR="000E62AB">
        <w:rPr>
          <w:rStyle w:val="FootnoteReference"/>
          <w:color w:val="000000" w:themeColor="text1"/>
        </w:rPr>
        <w:footnoteReference w:id="28"/>
      </w:r>
      <w:r>
        <w:rPr>
          <w:color w:val="000000" w:themeColor="text1"/>
        </w:rPr>
        <w:t>, presentations to emergency hospitals with self-harm related injuries rose by 33 per cent</w:t>
      </w:r>
      <w:r w:rsidR="006B5ACD">
        <w:rPr>
          <w:color w:val="000000" w:themeColor="text1"/>
        </w:rPr>
        <w:t xml:space="preserve">. </w:t>
      </w:r>
      <w:r w:rsidR="001A5CAE">
        <w:rPr>
          <w:color w:val="000000" w:themeColor="text1"/>
        </w:rPr>
        <w:t xml:space="preserve">Data collected by the </w:t>
      </w:r>
      <w:r w:rsidR="001A5CAE" w:rsidRPr="001A5CAE">
        <w:rPr>
          <w:color w:val="000000" w:themeColor="text1"/>
        </w:rPr>
        <w:t>Melbourne Institute at the University of Melbourne</w:t>
      </w:r>
      <w:r w:rsidR="001A5CAE">
        <w:rPr>
          <w:rStyle w:val="FootnoteReference"/>
          <w:color w:val="000000" w:themeColor="text1"/>
        </w:rPr>
        <w:footnoteReference w:id="29"/>
      </w:r>
      <w:r w:rsidR="001A5CAE">
        <w:rPr>
          <w:color w:val="000000" w:themeColor="text1"/>
        </w:rPr>
        <w:t xml:space="preserve"> demonstrated that nearly one quarter (23 per cent) of young people aged 18 to 24 years reported they were experiencing high mental distress – 14 percentage points higher than in 2017.</w:t>
      </w:r>
    </w:p>
    <w:p w14:paraId="1460246C" w14:textId="69D1A305" w:rsidR="001A5CAE" w:rsidRDefault="001A5CAE" w:rsidP="00541436">
      <w:pPr>
        <w:rPr>
          <w:color w:val="000000" w:themeColor="text1"/>
        </w:rPr>
      </w:pPr>
      <w:r>
        <w:rPr>
          <w:color w:val="000000" w:themeColor="text1"/>
        </w:rPr>
        <w:t>The COVID-19 crisis will also have enduring impacts on the financial and social security</w:t>
      </w:r>
      <w:r w:rsidR="00F91C77">
        <w:rPr>
          <w:color w:val="000000" w:themeColor="text1"/>
        </w:rPr>
        <w:t xml:space="preserve"> of</w:t>
      </w:r>
      <w:r>
        <w:rPr>
          <w:color w:val="000000" w:themeColor="text1"/>
        </w:rPr>
        <w:t xml:space="preserve"> the current generation of young people. </w:t>
      </w:r>
      <w:r w:rsidR="00DA40FE">
        <w:rPr>
          <w:color w:val="000000" w:themeColor="text1"/>
        </w:rPr>
        <w:t>Negative experiences in the labour market – particularly at such a pivotal life transition – will have long-term impact</w:t>
      </w:r>
      <w:r w:rsidR="00645002">
        <w:rPr>
          <w:color w:val="000000" w:themeColor="text1"/>
        </w:rPr>
        <w:t>s</w:t>
      </w:r>
      <w:r w:rsidR="002E5CF6">
        <w:rPr>
          <w:color w:val="000000" w:themeColor="text1"/>
        </w:rPr>
        <w:t xml:space="preserve"> on </w:t>
      </w:r>
      <w:r w:rsidR="00DA40FE">
        <w:rPr>
          <w:color w:val="000000" w:themeColor="text1"/>
        </w:rPr>
        <w:t>earning and job prospects throughout the lifetime. Young people will also experience a higher tax-burden throughout their careers to bear the costs of government-spending for recovery for all cohorts</w:t>
      </w:r>
      <w:r w:rsidR="002E5CF6">
        <w:rPr>
          <w:color w:val="000000" w:themeColor="text1"/>
        </w:rPr>
        <w:t>.</w:t>
      </w:r>
      <w:r w:rsidR="00DA40FE">
        <w:rPr>
          <w:rStyle w:val="FootnoteReference"/>
          <w:color w:val="000000" w:themeColor="text1"/>
        </w:rPr>
        <w:footnoteReference w:id="30"/>
      </w:r>
      <w:r w:rsidR="00DA40FE">
        <w:rPr>
          <w:color w:val="000000" w:themeColor="text1"/>
        </w:rPr>
        <w:t xml:space="preserve"> Housing stress and unaffordability </w:t>
      </w:r>
      <w:r w:rsidR="0095061F">
        <w:rPr>
          <w:color w:val="000000" w:themeColor="text1"/>
        </w:rPr>
        <w:t xml:space="preserve">for young people is </w:t>
      </w:r>
      <w:r w:rsidR="00DA40FE">
        <w:rPr>
          <w:color w:val="000000" w:themeColor="text1"/>
        </w:rPr>
        <w:t xml:space="preserve">also likely to </w:t>
      </w:r>
      <w:r w:rsidR="0095061F">
        <w:rPr>
          <w:color w:val="000000" w:themeColor="text1"/>
        </w:rPr>
        <w:t>grow</w:t>
      </w:r>
      <w:r w:rsidR="00DA40FE">
        <w:rPr>
          <w:color w:val="000000" w:themeColor="text1"/>
        </w:rPr>
        <w:t xml:space="preserve"> – worsening an </w:t>
      </w:r>
      <w:r w:rsidR="0095061F">
        <w:rPr>
          <w:color w:val="000000" w:themeColor="text1"/>
        </w:rPr>
        <w:t xml:space="preserve">already inequitable housing market.  </w:t>
      </w:r>
      <w:r w:rsidR="00DA40FE">
        <w:rPr>
          <w:color w:val="000000" w:themeColor="text1"/>
        </w:rPr>
        <w:t xml:space="preserve">    </w:t>
      </w:r>
    </w:p>
    <w:p w14:paraId="52506039" w14:textId="519696B3" w:rsidR="00F63666" w:rsidRDefault="0095061F" w:rsidP="0095061F">
      <w:pPr>
        <w:rPr>
          <w:color w:val="000000" w:themeColor="text1"/>
        </w:rPr>
      </w:pPr>
      <w:r>
        <w:rPr>
          <w:color w:val="000000" w:themeColor="text1"/>
        </w:rPr>
        <w:t xml:space="preserve">Within the youth cohort, some </w:t>
      </w:r>
      <w:proofErr w:type="gramStart"/>
      <w:r>
        <w:rPr>
          <w:color w:val="000000" w:themeColor="text1"/>
        </w:rPr>
        <w:t>communities</w:t>
      </w:r>
      <w:proofErr w:type="gramEnd"/>
      <w:r>
        <w:rPr>
          <w:color w:val="000000" w:themeColor="text1"/>
        </w:rPr>
        <w:t xml:space="preserve"> and groups, such as young people with disability, are increasingly marginalised and are more vulnerable to inadequate policy responses. A recent research report</w:t>
      </w:r>
      <w:r w:rsidR="002E5CF6">
        <w:rPr>
          <w:rStyle w:val="FootnoteReference"/>
          <w:color w:val="000000" w:themeColor="text1"/>
        </w:rPr>
        <w:footnoteReference w:id="31"/>
      </w:r>
      <w:r>
        <w:rPr>
          <w:color w:val="000000" w:themeColor="text1"/>
        </w:rPr>
        <w:t xml:space="preserve"> prepared for CYDA demonstrated how children and young people with dis</w:t>
      </w:r>
      <w:r w:rsidR="00A62C0D">
        <w:rPr>
          <w:color w:val="000000" w:themeColor="text1"/>
        </w:rPr>
        <w:t>ability are more at-risk during the global pandemic, not because of the</w:t>
      </w:r>
      <w:r w:rsidR="00BB2F85">
        <w:rPr>
          <w:color w:val="000000" w:themeColor="text1"/>
        </w:rPr>
        <w:t>ir</w:t>
      </w:r>
      <w:r w:rsidR="00A62C0D">
        <w:rPr>
          <w:color w:val="000000" w:themeColor="text1"/>
        </w:rPr>
        <w:t xml:space="preserve"> impairment, but because of discriminatory</w:t>
      </w:r>
      <w:r w:rsidR="00645002">
        <w:rPr>
          <w:color w:val="000000" w:themeColor="text1"/>
        </w:rPr>
        <w:t>, limited</w:t>
      </w:r>
      <w:r w:rsidR="00F667F2">
        <w:rPr>
          <w:color w:val="000000" w:themeColor="text1"/>
        </w:rPr>
        <w:t>,</w:t>
      </w:r>
      <w:r w:rsidR="00645002">
        <w:rPr>
          <w:color w:val="000000" w:themeColor="text1"/>
        </w:rPr>
        <w:t xml:space="preserve"> or inappropriate </w:t>
      </w:r>
      <w:r w:rsidR="00A62C0D">
        <w:rPr>
          <w:color w:val="000000" w:themeColor="text1"/>
        </w:rPr>
        <w:t xml:space="preserve">policy strategies. The research respondents reported a high rate of uncertainty and lack of necessary supports in areas such as education, </w:t>
      </w:r>
      <w:proofErr w:type="gramStart"/>
      <w:r w:rsidR="00A62C0D">
        <w:rPr>
          <w:color w:val="000000" w:themeColor="text1"/>
        </w:rPr>
        <w:t>employment</w:t>
      </w:r>
      <w:proofErr w:type="gramEnd"/>
      <w:r w:rsidR="00A62C0D">
        <w:rPr>
          <w:color w:val="000000" w:themeColor="text1"/>
        </w:rPr>
        <w:t xml:space="preserve"> and access to health services. </w:t>
      </w:r>
      <w:r w:rsidR="00283EA7">
        <w:rPr>
          <w:color w:val="000000" w:themeColor="text1"/>
        </w:rPr>
        <w:t>The</w:t>
      </w:r>
      <w:r w:rsidR="00A62C0D">
        <w:rPr>
          <w:color w:val="000000" w:themeColor="text1"/>
        </w:rPr>
        <w:t xml:space="preserve"> authors concluded that th</w:t>
      </w:r>
      <w:r w:rsidR="00283EA7">
        <w:rPr>
          <w:color w:val="000000" w:themeColor="text1"/>
        </w:rPr>
        <w:t>ese experiences of uncertainty were enhanced for people with disability</w:t>
      </w:r>
      <w:r w:rsidR="002E5CF6">
        <w:rPr>
          <w:color w:val="000000" w:themeColor="text1"/>
        </w:rPr>
        <w:t xml:space="preserve"> and their families</w:t>
      </w:r>
      <w:r w:rsidR="00283EA7">
        <w:rPr>
          <w:color w:val="000000" w:themeColor="text1"/>
        </w:rPr>
        <w:t xml:space="preserve"> and that targeted support and information was lacking for this group.</w:t>
      </w:r>
      <w:r w:rsidR="008D640F">
        <w:rPr>
          <w:color w:val="000000" w:themeColor="text1"/>
        </w:rPr>
        <w:t xml:space="preserve"> </w:t>
      </w:r>
    </w:p>
    <w:p w14:paraId="056FD875" w14:textId="7197AC36" w:rsidR="00923EA1" w:rsidRDefault="00364FCB" w:rsidP="0095061F">
      <w:pPr>
        <w:rPr>
          <w:color w:val="000000" w:themeColor="text1"/>
        </w:rPr>
      </w:pPr>
      <w:r>
        <w:rPr>
          <w:color w:val="000000" w:themeColor="text1"/>
        </w:rPr>
        <w:t>CYDA</w:t>
      </w:r>
      <w:r w:rsidR="00645002">
        <w:rPr>
          <w:color w:val="000000" w:themeColor="text1"/>
        </w:rPr>
        <w:t>’s</w:t>
      </w:r>
      <w:r>
        <w:rPr>
          <w:color w:val="000000" w:themeColor="text1"/>
        </w:rPr>
        <w:t xml:space="preserve"> 2020 Education</w:t>
      </w:r>
      <w:r w:rsidR="00923EA1">
        <w:rPr>
          <w:color w:val="000000" w:themeColor="text1"/>
        </w:rPr>
        <w:t xml:space="preserve"> Survey</w:t>
      </w:r>
      <w:r w:rsidR="00923EA1">
        <w:rPr>
          <w:rStyle w:val="FootnoteReference"/>
          <w:color w:val="000000" w:themeColor="text1"/>
        </w:rPr>
        <w:footnoteReference w:id="32"/>
      </w:r>
      <w:r>
        <w:rPr>
          <w:color w:val="000000" w:themeColor="text1"/>
        </w:rPr>
        <w:t xml:space="preserve"> also found that students with disability not were not adequately supported throughout the COVID-19 crisis and the shift to remote </w:t>
      </w:r>
      <w:r w:rsidR="00923EA1">
        <w:rPr>
          <w:color w:val="000000" w:themeColor="text1"/>
        </w:rPr>
        <w:t xml:space="preserve">learning. Nearly three in five (or 61 per cent) of respondents said students with disability </w:t>
      </w:r>
      <w:r w:rsidR="00645002">
        <w:rPr>
          <w:color w:val="000000" w:themeColor="text1"/>
        </w:rPr>
        <w:t>were</w:t>
      </w:r>
      <w:r w:rsidR="00923EA1">
        <w:rPr>
          <w:color w:val="000000" w:themeColor="text1"/>
        </w:rPr>
        <w:t xml:space="preserve"> not received adequate education support during the pandemic, with some students unable to engage in online learning entirely. The survey also found that </w:t>
      </w:r>
      <w:r w:rsidR="00923EA1">
        <w:t xml:space="preserve">nearly three quarters of respondents reported that students with disability felt </w:t>
      </w:r>
      <w:r w:rsidR="00923EA1">
        <w:lastRenderedPageBreak/>
        <w:t>socially isolated from their peers</w:t>
      </w:r>
      <w:r w:rsidR="00923EA1">
        <w:rPr>
          <w:color w:val="000000" w:themeColor="text1"/>
        </w:rPr>
        <w:t xml:space="preserve"> – with this isolation then having significant impacts on their mental health.</w:t>
      </w:r>
    </w:p>
    <w:p w14:paraId="64651F0A" w14:textId="3DC22B26" w:rsidR="00283EA7" w:rsidRDefault="00283EA7" w:rsidP="0095061F">
      <w:pPr>
        <w:rPr>
          <w:color w:val="000000" w:themeColor="text1"/>
        </w:rPr>
      </w:pPr>
      <w:r>
        <w:rPr>
          <w:color w:val="000000" w:themeColor="text1"/>
        </w:rPr>
        <w:t xml:space="preserve">In addition to immediate COVID-19 crisis responses, young people with disability also face increased barriers in accessing appropriate supports that would help mitigate the longer-term impacts of COVID-19. This includes appropriate educational, mental health, employment, </w:t>
      </w:r>
      <w:proofErr w:type="gramStart"/>
      <w:r>
        <w:rPr>
          <w:color w:val="000000" w:themeColor="text1"/>
        </w:rPr>
        <w:t>income</w:t>
      </w:r>
      <w:proofErr w:type="gramEnd"/>
      <w:r>
        <w:rPr>
          <w:color w:val="000000" w:themeColor="text1"/>
        </w:rPr>
        <w:t xml:space="preserve"> and housing supports.</w:t>
      </w:r>
    </w:p>
    <w:p w14:paraId="5CFE16B6" w14:textId="1FD1A8F1" w:rsidR="00283EA7" w:rsidRDefault="00283EA7" w:rsidP="0095061F">
      <w:pPr>
        <w:rPr>
          <w:color w:val="000000" w:themeColor="text1"/>
        </w:rPr>
      </w:pPr>
      <w:r>
        <w:rPr>
          <w:color w:val="000000" w:themeColor="text1"/>
        </w:rPr>
        <w:t xml:space="preserve">A COVID-19 recovery response for young people is urgently needed. Not only to respond to the financial and social crisis we are currently experiencing, but to ensure that young people do not endure the ongoing negative impacts across their life course. This recovery response must include a lens and plan of action for groups of young people who face increased marginalisation, such as young people with disability. The </w:t>
      </w:r>
      <w:r w:rsidR="00C334FE">
        <w:rPr>
          <w:color w:val="000000" w:themeColor="text1"/>
        </w:rPr>
        <w:t>strategy must be developed alongside young people to ensure it appropriately meets their needs.</w:t>
      </w:r>
    </w:p>
    <w:p w14:paraId="494AE1A5" w14:textId="48B5FA83" w:rsidR="000E5BCD" w:rsidRDefault="000E5BCD" w:rsidP="0095061F">
      <w:pPr>
        <w:rPr>
          <w:color w:val="000000" w:themeColor="text1"/>
        </w:rPr>
      </w:pPr>
      <w:r>
        <w:rPr>
          <w:color w:val="000000" w:themeColor="text1"/>
        </w:rPr>
        <w:t>Any other COVID-19 response or recovery plan</w:t>
      </w:r>
      <w:r w:rsidR="00645002">
        <w:rPr>
          <w:color w:val="000000" w:themeColor="text1"/>
        </w:rPr>
        <w:t>s</w:t>
      </w:r>
      <w:r>
        <w:rPr>
          <w:color w:val="000000" w:themeColor="text1"/>
        </w:rPr>
        <w:t xml:space="preserve"> governments develop should also include a youth-lens. As young people are most impacted in the long-term, creating a plan without their distinct needs and strengths factored in risks further disadvantaging the cohort. </w:t>
      </w:r>
    </w:p>
    <w:p w14:paraId="08585740" w14:textId="77777777" w:rsidR="001456C1" w:rsidRDefault="001456C1" w:rsidP="0095061F">
      <w:pPr>
        <w:rPr>
          <w:color w:val="000000" w:themeColor="text1"/>
        </w:rPr>
      </w:pPr>
    </w:p>
    <w:p w14:paraId="51AD785B" w14:textId="77E7DEE9" w:rsidR="002C0F9C" w:rsidRDefault="002C0F9C" w:rsidP="00C52D77">
      <w:pPr>
        <w:pStyle w:val="Heading2"/>
      </w:pPr>
      <w:bookmarkStart w:id="8" w:name="_Toc62833784"/>
      <w:r>
        <w:t xml:space="preserve">Recommendation </w:t>
      </w:r>
      <w:r w:rsidR="00B070C8">
        <w:t>5</w:t>
      </w:r>
      <w:r>
        <w:t xml:space="preserve">: Ensure young people with disability are not living in </w:t>
      </w:r>
      <w:proofErr w:type="gramStart"/>
      <w:r>
        <w:t>poverty</w:t>
      </w:r>
      <w:bookmarkEnd w:id="8"/>
      <w:proofErr w:type="gramEnd"/>
    </w:p>
    <w:p w14:paraId="1A4D609C" w14:textId="021F1811" w:rsidR="000B192E" w:rsidRDefault="000E1F14" w:rsidP="000E1F14">
      <w:r>
        <w:t>The social sector</w:t>
      </w:r>
      <w:r>
        <w:rPr>
          <w:rStyle w:val="FootnoteReference"/>
        </w:rPr>
        <w:footnoteReference w:id="33"/>
      </w:r>
      <w:r>
        <w:t xml:space="preserve"> has long advocated for an increase in income support payments, with current payments being so inadequate that those who rely on them are overrepresented in living below the poverty line</w:t>
      </w:r>
      <w:r>
        <w:rPr>
          <w:rStyle w:val="FootnoteReference"/>
        </w:rPr>
        <w:footnoteReference w:id="34"/>
      </w:r>
      <w:r>
        <w:t xml:space="preserve">. Young people with disability </w:t>
      </w:r>
      <w:r w:rsidR="000B192E">
        <w:t xml:space="preserve">are forced to live on these inadequate payments at a disproportionate rate. Nearly half of young people with disability aged 15 to 24 years (49 per cent) rely on income support payments as their main source of income compared to 14 per cent of </w:t>
      </w:r>
      <w:r w:rsidR="00B304B8">
        <w:t>those</w:t>
      </w:r>
      <w:r w:rsidR="000B192E">
        <w:t xml:space="preserve"> without disability.</w:t>
      </w:r>
      <w:r w:rsidR="000B192E">
        <w:rPr>
          <w:rStyle w:val="FootnoteReference"/>
        </w:rPr>
        <w:footnoteReference w:id="35"/>
      </w:r>
    </w:p>
    <w:p w14:paraId="33E8BB8F" w14:textId="019751A3" w:rsidR="00030B01" w:rsidRDefault="00585FA9" w:rsidP="000E1F14">
      <w:r>
        <w:t>While many young people with disability rely on income support, the</w:t>
      </w:r>
      <w:r w:rsidR="000B192E">
        <w:t xml:space="preserve"> type of payments </w:t>
      </w:r>
      <w:r>
        <w:t>they</w:t>
      </w:r>
      <w:r w:rsidR="000B192E">
        <w:t xml:space="preserve"> receive has shifted considerably</w:t>
      </w:r>
      <w:r>
        <w:t xml:space="preserve"> in the last decade</w:t>
      </w:r>
      <w:r w:rsidR="000B192E">
        <w:t xml:space="preserve">. </w:t>
      </w:r>
      <w:r>
        <w:t>From</w:t>
      </w:r>
      <w:r w:rsidR="000B192E">
        <w:t xml:space="preserve"> 2012, </w:t>
      </w:r>
      <w:r>
        <w:t>policy reforms have been introduced to restrict the growth of Disability Support Pension</w:t>
      </w:r>
      <w:r w:rsidR="00C8794F">
        <w:t xml:space="preserve"> (DSP)</w:t>
      </w:r>
      <w:r>
        <w:t xml:space="preserve"> payments</w:t>
      </w:r>
      <w:r w:rsidR="00E8239D">
        <w:t xml:space="preserve">, </w:t>
      </w:r>
      <w:r>
        <w:t>payments for working age people with medical conditions and disabilit</w:t>
      </w:r>
      <w:r w:rsidR="00C20F91">
        <w:t>y</w:t>
      </w:r>
      <w:r>
        <w:t xml:space="preserve"> that </w:t>
      </w:r>
      <w:r w:rsidR="00B304B8">
        <w:t>bring</w:t>
      </w:r>
      <w:r>
        <w:t xml:space="preserve"> restricted capacity to work.</w:t>
      </w:r>
      <w:r>
        <w:rPr>
          <w:rStyle w:val="FootnoteReference"/>
        </w:rPr>
        <w:footnoteReference w:id="36"/>
      </w:r>
      <w:r>
        <w:t xml:space="preserve"> These reforms include </w:t>
      </w:r>
      <w:r w:rsidR="00030B01">
        <w:t>most applicants needing to demonstrate they have actively participat</w:t>
      </w:r>
      <w:r w:rsidR="002E5CF6">
        <w:t>ed</w:t>
      </w:r>
      <w:r w:rsidR="00030B01">
        <w:t xml:space="preserve"> in job searching activities for 18 months prior to applying, as well as meeting stringent eligibility requirements against impairment tables.</w:t>
      </w:r>
    </w:p>
    <w:p w14:paraId="3BA8E63E" w14:textId="3F190471" w:rsidR="000B192E" w:rsidRDefault="00030B01" w:rsidP="000E1F14">
      <w:r>
        <w:t>The complexities of the application process ha</w:t>
      </w:r>
      <w:r w:rsidR="00B304B8">
        <w:t>ve</w:t>
      </w:r>
      <w:r>
        <w:t xml:space="preserve"> created additional administrative burden for indi</w:t>
      </w:r>
      <w:r w:rsidR="00904C61">
        <w:t>viduals and in turn</w:t>
      </w:r>
      <w:r w:rsidR="002E5CF6">
        <w:t>,</w:t>
      </w:r>
      <w:r w:rsidR="00904C61">
        <w:t xml:space="preserve"> created inequitable impacts </w:t>
      </w:r>
      <w:r w:rsidR="007B3330">
        <w:t>for those receiving</w:t>
      </w:r>
      <w:r w:rsidR="00904C61">
        <w:t xml:space="preserve"> the payments.</w:t>
      </w:r>
      <w:r w:rsidR="00124AD0">
        <w:t xml:space="preserve"> People who have less ‘human capital’, such as an education, money, psychological </w:t>
      </w:r>
      <w:proofErr w:type="gramStart"/>
      <w:r w:rsidR="00124AD0">
        <w:t>resources</w:t>
      </w:r>
      <w:proofErr w:type="gramEnd"/>
      <w:r w:rsidR="00124AD0">
        <w:t xml:space="preserve"> or social networks, are less likely to access resources that may help them overcome the administrative burden.</w:t>
      </w:r>
      <w:r w:rsidR="00124AD0">
        <w:rPr>
          <w:rStyle w:val="FootnoteReference"/>
        </w:rPr>
        <w:footnoteReference w:id="37"/>
      </w:r>
      <w:r w:rsidR="00124AD0">
        <w:t xml:space="preserve"> Research has also demonstrated that applicants who receive support to complete their DSP form are more likely to have their claim granted than those who do not have assistance.</w:t>
      </w:r>
      <w:r w:rsidR="00124AD0">
        <w:rPr>
          <w:rStyle w:val="FootnoteReference"/>
        </w:rPr>
        <w:footnoteReference w:id="38"/>
      </w:r>
      <w:r w:rsidR="00124AD0">
        <w:t xml:space="preserve"> </w:t>
      </w:r>
    </w:p>
    <w:p w14:paraId="352EC428" w14:textId="53A5DD08" w:rsidR="001B2F0C" w:rsidRDefault="00124AD0" w:rsidP="001B2F0C">
      <w:r>
        <w:lastRenderedPageBreak/>
        <w:t>The change in DSP eligibility</w:t>
      </w:r>
      <w:r w:rsidR="00470CBF">
        <w:t xml:space="preserve"> and work capacity requirements </w:t>
      </w:r>
      <w:r>
        <w:t xml:space="preserve">has subsequently driven many young people to instead access the </w:t>
      </w:r>
      <w:proofErr w:type="spellStart"/>
      <w:r>
        <w:t>JobSeeker</w:t>
      </w:r>
      <w:proofErr w:type="spellEnd"/>
      <w:r>
        <w:t xml:space="preserve"> or Youth Allowances Payments which </w:t>
      </w:r>
      <w:r w:rsidR="00470CBF">
        <w:t>provide significantly lower rate</w:t>
      </w:r>
      <w:r w:rsidR="001B2F0C">
        <w:t>s</w:t>
      </w:r>
      <w:r w:rsidR="00470CBF">
        <w:t xml:space="preserve"> of pay than the DSP.</w:t>
      </w:r>
      <w:r w:rsidR="00470CBF" w:rsidRPr="00470CBF">
        <w:rPr>
          <w:rStyle w:val="FootnoteReference"/>
        </w:rPr>
        <w:t xml:space="preserve"> </w:t>
      </w:r>
      <w:r w:rsidR="00470CBF">
        <w:rPr>
          <w:rStyle w:val="FootnoteReference"/>
        </w:rPr>
        <w:footnoteReference w:id="39"/>
      </w:r>
      <w:r w:rsidR="00470CBF">
        <w:rPr>
          <w:vertAlign w:val="superscript"/>
        </w:rPr>
        <w:t>,</w:t>
      </w:r>
      <w:r w:rsidR="00470CBF">
        <w:rPr>
          <w:rStyle w:val="FootnoteReference"/>
        </w:rPr>
        <w:footnoteReference w:id="40"/>
      </w:r>
      <w:r w:rsidR="00470CBF">
        <w:rPr>
          <w:vertAlign w:val="superscript"/>
        </w:rPr>
        <w:t>,</w:t>
      </w:r>
      <w:r w:rsidR="00AA341B">
        <w:rPr>
          <w:rStyle w:val="FootnoteReference"/>
        </w:rPr>
        <w:footnoteReference w:id="41"/>
      </w:r>
      <w:r w:rsidR="00470CBF">
        <w:rPr>
          <w:vertAlign w:val="superscript"/>
        </w:rPr>
        <w:t xml:space="preserve"> </w:t>
      </w:r>
      <w:r w:rsidR="00470CBF" w:rsidRPr="00470CBF">
        <w:t xml:space="preserve"> </w:t>
      </w:r>
      <w:r w:rsidR="001B2F0C">
        <w:t>Data obtained by CYDA from the Department of Social Services shows that:</w:t>
      </w:r>
    </w:p>
    <w:p w14:paraId="5E27F78A" w14:textId="5494BB43" w:rsidR="001B2F0C" w:rsidRDefault="001B2F0C" w:rsidP="004007B8">
      <w:pPr>
        <w:pStyle w:val="ListParagraph"/>
        <w:numPr>
          <w:ilvl w:val="0"/>
          <w:numId w:val="1"/>
        </w:numPr>
      </w:pPr>
      <w:r>
        <w:t>The number of Jobseeker (known as Newstart prior to 2020) recipients aged between 20 and 25 years with partial capacity to work has increased by 372</w:t>
      </w:r>
      <w:r w:rsidR="00594631">
        <w:t>.8</w:t>
      </w:r>
      <w:r>
        <w:t xml:space="preserve"> per cent in the decade from 2009, growing from 5,308 in 2009 to </w:t>
      </w:r>
      <w:r w:rsidRPr="001B2F0C">
        <w:t>25</w:t>
      </w:r>
      <w:r>
        <w:t>,</w:t>
      </w:r>
      <w:r w:rsidRPr="001B2F0C">
        <w:t>096</w:t>
      </w:r>
      <w:r>
        <w:t xml:space="preserve"> in </w:t>
      </w:r>
      <w:proofErr w:type="gramStart"/>
      <w:r>
        <w:t>20</w:t>
      </w:r>
      <w:r w:rsidR="00594631">
        <w:t>20</w:t>
      </w:r>
      <w:proofErr w:type="gramEnd"/>
    </w:p>
    <w:p w14:paraId="3E504E23" w14:textId="42AE9B5D" w:rsidR="001B2F0C" w:rsidRPr="00594631" w:rsidRDefault="001B2F0C" w:rsidP="004007B8">
      <w:pPr>
        <w:pStyle w:val="ListParagraph"/>
        <w:numPr>
          <w:ilvl w:val="0"/>
          <w:numId w:val="1"/>
        </w:numPr>
        <w:rPr>
          <w:color w:val="000000" w:themeColor="text1"/>
        </w:rPr>
      </w:pPr>
      <w:r w:rsidRPr="00594631">
        <w:rPr>
          <w:color w:val="000000" w:themeColor="text1"/>
        </w:rPr>
        <w:t xml:space="preserve">The number of Youth Allowance recipients under 19 years old with partial capacity to work has increased by </w:t>
      </w:r>
      <w:r w:rsidR="00B304B8">
        <w:rPr>
          <w:color w:val="000000" w:themeColor="text1"/>
        </w:rPr>
        <w:t>174.9</w:t>
      </w:r>
      <w:r w:rsidRPr="00594631">
        <w:rPr>
          <w:color w:val="000000" w:themeColor="text1"/>
        </w:rPr>
        <w:t xml:space="preserve"> per cent, from 2,299 in 2009 to </w:t>
      </w:r>
      <w:r w:rsidR="00594631" w:rsidRPr="00594631">
        <w:rPr>
          <w:color w:val="000000" w:themeColor="text1"/>
        </w:rPr>
        <w:t>6,319</w:t>
      </w:r>
      <w:r w:rsidRPr="00594631">
        <w:rPr>
          <w:color w:val="000000" w:themeColor="text1"/>
        </w:rPr>
        <w:t xml:space="preserve"> in </w:t>
      </w:r>
      <w:proofErr w:type="gramStart"/>
      <w:r w:rsidRPr="00594631">
        <w:rPr>
          <w:color w:val="000000" w:themeColor="text1"/>
        </w:rPr>
        <w:t>20</w:t>
      </w:r>
      <w:r w:rsidR="00594631" w:rsidRPr="00594631">
        <w:rPr>
          <w:color w:val="000000" w:themeColor="text1"/>
        </w:rPr>
        <w:t>20</w:t>
      </w:r>
      <w:proofErr w:type="gramEnd"/>
    </w:p>
    <w:p w14:paraId="29D268DC" w14:textId="7820959C" w:rsidR="001B2F0C" w:rsidRPr="00594631" w:rsidRDefault="001B2F0C" w:rsidP="004007B8">
      <w:pPr>
        <w:pStyle w:val="ListParagraph"/>
        <w:numPr>
          <w:ilvl w:val="0"/>
          <w:numId w:val="1"/>
        </w:numPr>
        <w:rPr>
          <w:color w:val="000000" w:themeColor="text1"/>
        </w:rPr>
      </w:pPr>
      <w:r w:rsidRPr="00594631">
        <w:rPr>
          <w:color w:val="000000" w:themeColor="text1"/>
        </w:rPr>
        <w:t xml:space="preserve">The number of Youth Allowance recipients aged between 20 and 25 years with partial capacity to work has increased by </w:t>
      </w:r>
      <w:r w:rsidR="00594631" w:rsidRPr="00594631">
        <w:rPr>
          <w:color w:val="000000" w:themeColor="text1"/>
        </w:rPr>
        <w:t>970.3</w:t>
      </w:r>
      <w:r w:rsidRPr="00594631">
        <w:rPr>
          <w:color w:val="000000" w:themeColor="text1"/>
        </w:rPr>
        <w:t xml:space="preserve"> per cent, from 936 in 2009 to </w:t>
      </w:r>
      <w:r w:rsidR="00594631" w:rsidRPr="00594631">
        <w:rPr>
          <w:color w:val="000000" w:themeColor="text1"/>
        </w:rPr>
        <w:t>10,018</w:t>
      </w:r>
      <w:r w:rsidRPr="00594631">
        <w:rPr>
          <w:color w:val="000000" w:themeColor="text1"/>
        </w:rPr>
        <w:t xml:space="preserve"> in </w:t>
      </w:r>
      <w:proofErr w:type="gramStart"/>
      <w:r w:rsidRPr="00594631">
        <w:rPr>
          <w:color w:val="000000" w:themeColor="text1"/>
        </w:rPr>
        <w:t>20</w:t>
      </w:r>
      <w:r w:rsidR="00594631" w:rsidRPr="00594631">
        <w:rPr>
          <w:color w:val="000000" w:themeColor="text1"/>
        </w:rPr>
        <w:t>20</w:t>
      </w:r>
      <w:proofErr w:type="gramEnd"/>
    </w:p>
    <w:p w14:paraId="080D9917" w14:textId="12BF7D2B" w:rsidR="001B2F0C" w:rsidRPr="00594631" w:rsidRDefault="001B2F0C" w:rsidP="004007B8">
      <w:pPr>
        <w:pStyle w:val="ListParagraph"/>
        <w:numPr>
          <w:ilvl w:val="0"/>
          <w:numId w:val="1"/>
        </w:numPr>
        <w:rPr>
          <w:color w:val="000000" w:themeColor="text1"/>
        </w:rPr>
      </w:pPr>
      <w:r w:rsidRPr="00594631">
        <w:rPr>
          <w:color w:val="000000" w:themeColor="text1"/>
        </w:rPr>
        <w:t xml:space="preserve">The number of DSP recipients under 19 years old has decreased by </w:t>
      </w:r>
      <w:r w:rsidR="00C81298">
        <w:rPr>
          <w:color w:val="000000" w:themeColor="text1"/>
        </w:rPr>
        <w:t>20.4</w:t>
      </w:r>
      <w:r w:rsidRPr="00594631">
        <w:rPr>
          <w:color w:val="000000" w:themeColor="text1"/>
        </w:rPr>
        <w:t xml:space="preserve"> per cent, from 18,414 in 2009 to </w:t>
      </w:r>
      <w:r w:rsidR="00594631" w:rsidRPr="00594631">
        <w:rPr>
          <w:color w:val="000000" w:themeColor="text1"/>
        </w:rPr>
        <w:t>14,662</w:t>
      </w:r>
      <w:r w:rsidRPr="00594631">
        <w:rPr>
          <w:color w:val="000000" w:themeColor="text1"/>
        </w:rPr>
        <w:t xml:space="preserve"> in </w:t>
      </w:r>
      <w:proofErr w:type="gramStart"/>
      <w:r w:rsidRPr="00594631">
        <w:rPr>
          <w:color w:val="000000" w:themeColor="text1"/>
        </w:rPr>
        <w:t>20</w:t>
      </w:r>
      <w:r w:rsidR="00594631" w:rsidRPr="00594631">
        <w:rPr>
          <w:color w:val="000000" w:themeColor="text1"/>
        </w:rPr>
        <w:t>20</w:t>
      </w:r>
      <w:proofErr w:type="gramEnd"/>
    </w:p>
    <w:p w14:paraId="0CB6C0AE" w14:textId="3F8B1E9E" w:rsidR="001B2F0C" w:rsidRDefault="001B2F0C" w:rsidP="004007B8">
      <w:pPr>
        <w:pStyle w:val="ListParagraph"/>
        <w:numPr>
          <w:ilvl w:val="0"/>
          <w:numId w:val="1"/>
        </w:numPr>
        <w:rPr>
          <w:color w:val="000000" w:themeColor="text1"/>
        </w:rPr>
      </w:pPr>
      <w:r w:rsidRPr="00594631">
        <w:rPr>
          <w:color w:val="000000" w:themeColor="text1"/>
        </w:rPr>
        <w:t>The number of DSP recipients aged between 20 and 25 years has</w:t>
      </w:r>
      <w:r w:rsidR="0088487B">
        <w:rPr>
          <w:color w:val="000000" w:themeColor="text1"/>
        </w:rPr>
        <w:t xml:space="preserve"> </w:t>
      </w:r>
      <w:r w:rsidRPr="00594631">
        <w:rPr>
          <w:color w:val="000000" w:themeColor="text1"/>
        </w:rPr>
        <w:t xml:space="preserve">increased by </w:t>
      </w:r>
      <w:r w:rsidR="00594631" w:rsidRPr="00594631">
        <w:rPr>
          <w:color w:val="000000" w:themeColor="text1"/>
        </w:rPr>
        <w:t>12.6</w:t>
      </w:r>
      <w:r w:rsidRPr="00594631">
        <w:rPr>
          <w:color w:val="000000" w:themeColor="text1"/>
        </w:rPr>
        <w:t xml:space="preserve"> per cent, from 36,128 in 2009 compared to 40,</w:t>
      </w:r>
      <w:r w:rsidR="00594631" w:rsidRPr="00594631">
        <w:rPr>
          <w:color w:val="000000" w:themeColor="text1"/>
        </w:rPr>
        <w:t>690</w:t>
      </w:r>
      <w:r w:rsidRPr="00594631">
        <w:rPr>
          <w:color w:val="000000" w:themeColor="text1"/>
        </w:rPr>
        <w:t xml:space="preserve"> in 20</w:t>
      </w:r>
      <w:r w:rsidR="00594631" w:rsidRPr="00594631">
        <w:rPr>
          <w:color w:val="000000" w:themeColor="text1"/>
        </w:rPr>
        <w:t>20</w:t>
      </w:r>
      <w:r w:rsidRPr="00594631">
        <w:rPr>
          <w:color w:val="000000" w:themeColor="text1"/>
        </w:rPr>
        <w:t>.</w:t>
      </w:r>
    </w:p>
    <w:p w14:paraId="160957DB" w14:textId="0D120BAA" w:rsidR="00F43A82" w:rsidRPr="00B336C3" w:rsidRDefault="00F43A82" w:rsidP="00B336C3">
      <w:pPr>
        <w:pStyle w:val="Heading2"/>
      </w:pPr>
      <w:bookmarkStart w:id="9" w:name="_Toc62833785"/>
      <w:r>
        <w:t>Figure 1: T</w:t>
      </w:r>
      <w:r w:rsidRPr="00D355CF">
        <w:t>rends from 2009 to 20</w:t>
      </w:r>
      <w:r>
        <w:t xml:space="preserve">20 of </w:t>
      </w:r>
      <w:r w:rsidRPr="000A41FF">
        <w:t>Newstart</w:t>
      </w:r>
      <w:r>
        <w:t>/Jobseeker</w:t>
      </w:r>
      <w:r w:rsidRPr="000A41FF">
        <w:t xml:space="preserve"> Allowance, Youth Allowance with partial capacity to work and Disability Support Pension recipients</w:t>
      </w:r>
      <w:r>
        <w:t xml:space="preserve"> aged 20 to 25 years</w:t>
      </w:r>
      <w:bookmarkEnd w:id="9"/>
      <w:r w:rsidR="00B336C3">
        <w:br/>
      </w:r>
    </w:p>
    <w:tbl>
      <w:tblPr>
        <w:tblStyle w:val="TableGrid"/>
        <w:tblW w:w="10206" w:type="dxa"/>
        <w:tblLook w:val="04A0" w:firstRow="1" w:lastRow="0" w:firstColumn="1" w:lastColumn="0" w:noHBand="0" w:noVBand="1"/>
      </w:tblPr>
      <w:tblGrid>
        <w:gridCol w:w="1702"/>
        <w:gridCol w:w="2832"/>
        <w:gridCol w:w="2836"/>
        <w:gridCol w:w="2836"/>
      </w:tblGrid>
      <w:tr w:rsidR="0047750F" w:rsidRPr="00B336C3" w14:paraId="419B9C58" w14:textId="77777777" w:rsidTr="00C054AE">
        <w:trPr>
          <w:trHeight w:val="288"/>
        </w:trPr>
        <w:tc>
          <w:tcPr>
            <w:tcW w:w="1700" w:type="dxa"/>
            <w:noWrap/>
          </w:tcPr>
          <w:p w14:paraId="5355AD7D" w14:textId="7EA3FE30" w:rsidR="0047750F" w:rsidRPr="00B336C3" w:rsidRDefault="0047750F" w:rsidP="00B336C3">
            <w:pPr>
              <w:spacing w:before="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Year</w:t>
            </w:r>
          </w:p>
        </w:tc>
        <w:tc>
          <w:tcPr>
            <w:tcW w:w="2831" w:type="dxa"/>
          </w:tcPr>
          <w:p w14:paraId="18ED65EF" w14:textId="6E50D7AC" w:rsidR="0047750F" w:rsidRPr="00FF3695" w:rsidRDefault="0047750F" w:rsidP="00B336C3">
            <w:pPr>
              <w:spacing w:before="0" w:line="240" w:lineRule="auto"/>
              <w:jc w:val="right"/>
              <w:rPr>
                <w:rFonts w:ascii="Calibri" w:eastAsia="Times New Roman" w:hAnsi="Calibri" w:cs="Calibri"/>
                <w:b/>
                <w:bCs/>
                <w:color w:val="000000"/>
                <w:lang w:eastAsia="en-AU"/>
              </w:rPr>
            </w:pPr>
            <w:r w:rsidRPr="00FF3695">
              <w:rPr>
                <w:rFonts w:ascii="Calibri" w:eastAsia="Times New Roman" w:hAnsi="Calibri" w:cs="Calibri"/>
                <w:b/>
                <w:bCs/>
                <w:color w:val="000000"/>
                <w:lang w:eastAsia="en-AU"/>
              </w:rPr>
              <w:t>Newstart/Jobseeker – Partial capacity to work</w:t>
            </w:r>
          </w:p>
        </w:tc>
        <w:tc>
          <w:tcPr>
            <w:tcW w:w="2835" w:type="dxa"/>
          </w:tcPr>
          <w:p w14:paraId="666C4D46" w14:textId="6C4109F6" w:rsidR="0047750F" w:rsidRPr="00FF3695" w:rsidRDefault="0047750F" w:rsidP="00B336C3">
            <w:pPr>
              <w:spacing w:before="0" w:line="240" w:lineRule="auto"/>
              <w:jc w:val="right"/>
              <w:rPr>
                <w:rFonts w:ascii="Calibri" w:eastAsia="Times New Roman" w:hAnsi="Calibri" w:cs="Calibri"/>
                <w:b/>
                <w:bCs/>
                <w:color w:val="000000"/>
                <w:lang w:eastAsia="en-AU"/>
              </w:rPr>
            </w:pPr>
            <w:r w:rsidRPr="00FF3695">
              <w:rPr>
                <w:rFonts w:ascii="Calibri" w:eastAsia="Times New Roman" w:hAnsi="Calibri" w:cs="Calibri"/>
                <w:b/>
                <w:bCs/>
                <w:color w:val="000000"/>
                <w:lang w:eastAsia="en-AU"/>
              </w:rPr>
              <w:t>Youth Allowance (Other) – Partial capacity to work</w:t>
            </w:r>
          </w:p>
        </w:tc>
        <w:tc>
          <w:tcPr>
            <w:tcW w:w="2835" w:type="dxa"/>
          </w:tcPr>
          <w:p w14:paraId="63DD7342" w14:textId="7AA5F6B5" w:rsidR="0047750F" w:rsidRPr="00FF3695" w:rsidRDefault="0047750F" w:rsidP="00B336C3">
            <w:pPr>
              <w:spacing w:before="0" w:line="240" w:lineRule="auto"/>
              <w:jc w:val="right"/>
              <w:rPr>
                <w:rFonts w:ascii="Calibri" w:eastAsia="Times New Roman" w:hAnsi="Calibri" w:cs="Calibri"/>
                <w:b/>
                <w:bCs/>
                <w:color w:val="000000"/>
                <w:lang w:eastAsia="en-AU"/>
              </w:rPr>
            </w:pPr>
            <w:r w:rsidRPr="00FF3695">
              <w:rPr>
                <w:rFonts w:ascii="Calibri" w:eastAsia="Times New Roman" w:hAnsi="Calibri" w:cs="Calibri"/>
                <w:b/>
                <w:bCs/>
                <w:color w:val="000000"/>
                <w:lang w:eastAsia="en-AU"/>
              </w:rPr>
              <w:t>Disability Support Pension</w:t>
            </w:r>
          </w:p>
        </w:tc>
      </w:tr>
      <w:tr w:rsidR="00B336C3" w:rsidRPr="00B336C3" w14:paraId="25184D36" w14:textId="77777777" w:rsidTr="00C054AE">
        <w:trPr>
          <w:trHeight w:val="288"/>
        </w:trPr>
        <w:tc>
          <w:tcPr>
            <w:tcW w:w="1700" w:type="dxa"/>
            <w:noWrap/>
            <w:hideMark/>
          </w:tcPr>
          <w:p w14:paraId="27B086F5"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2009</w:t>
            </w:r>
          </w:p>
        </w:tc>
        <w:tc>
          <w:tcPr>
            <w:tcW w:w="2831" w:type="dxa"/>
            <w:hideMark/>
          </w:tcPr>
          <w:p w14:paraId="3A361E1A"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5308</w:t>
            </w:r>
          </w:p>
        </w:tc>
        <w:tc>
          <w:tcPr>
            <w:tcW w:w="2835" w:type="dxa"/>
            <w:hideMark/>
          </w:tcPr>
          <w:p w14:paraId="492D8EA8"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936</w:t>
            </w:r>
          </w:p>
        </w:tc>
        <w:tc>
          <w:tcPr>
            <w:tcW w:w="2835" w:type="dxa"/>
            <w:hideMark/>
          </w:tcPr>
          <w:p w14:paraId="73C69A3F"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36128</w:t>
            </w:r>
          </w:p>
        </w:tc>
      </w:tr>
      <w:tr w:rsidR="00B336C3" w:rsidRPr="00B336C3" w14:paraId="40531BFC" w14:textId="77777777" w:rsidTr="00C054AE">
        <w:trPr>
          <w:trHeight w:val="288"/>
        </w:trPr>
        <w:tc>
          <w:tcPr>
            <w:tcW w:w="1700" w:type="dxa"/>
            <w:noWrap/>
            <w:hideMark/>
          </w:tcPr>
          <w:p w14:paraId="3056E0DE"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2010</w:t>
            </w:r>
          </w:p>
        </w:tc>
        <w:tc>
          <w:tcPr>
            <w:tcW w:w="2831" w:type="dxa"/>
            <w:hideMark/>
          </w:tcPr>
          <w:p w14:paraId="0FFD6CBC"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6667</w:t>
            </w:r>
          </w:p>
        </w:tc>
        <w:tc>
          <w:tcPr>
            <w:tcW w:w="2835" w:type="dxa"/>
            <w:hideMark/>
          </w:tcPr>
          <w:p w14:paraId="084111BC"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1318</w:t>
            </w:r>
          </w:p>
        </w:tc>
        <w:tc>
          <w:tcPr>
            <w:tcW w:w="2835" w:type="dxa"/>
            <w:hideMark/>
          </w:tcPr>
          <w:p w14:paraId="43521DEE"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38016</w:t>
            </w:r>
          </w:p>
        </w:tc>
      </w:tr>
      <w:tr w:rsidR="00B336C3" w:rsidRPr="00B336C3" w14:paraId="6DA521F4" w14:textId="77777777" w:rsidTr="00C054AE">
        <w:trPr>
          <w:trHeight w:val="288"/>
        </w:trPr>
        <w:tc>
          <w:tcPr>
            <w:tcW w:w="1700" w:type="dxa"/>
            <w:noWrap/>
            <w:hideMark/>
          </w:tcPr>
          <w:p w14:paraId="4F657B4C"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2011</w:t>
            </w:r>
          </w:p>
        </w:tc>
        <w:tc>
          <w:tcPr>
            <w:tcW w:w="2831" w:type="dxa"/>
            <w:hideMark/>
          </w:tcPr>
          <w:p w14:paraId="0337E9E8"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7709</w:t>
            </w:r>
          </w:p>
        </w:tc>
        <w:tc>
          <w:tcPr>
            <w:tcW w:w="2835" w:type="dxa"/>
            <w:hideMark/>
          </w:tcPr>
          <w:p w14:paraId="13150DD9"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1432</w:t>
            </w:r>
          </w:p>
        </w:tc>
        <w:tc>
          <w:tcPr>
            <w:tcW w:w="2835" w:type="dxa"/>
            <w:hideMark/>
          </w:tcPr>
          <w:p w14:paraId="29C109E3"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40133</w:t>
            </w:r>
          </w:p>
        </w:tc>
      </w:tr>
      <w:tr w:rsidR="00B336C3" w:rsidRPr="00B336C3" w14:paraId="494781A9" w14:textId="77777777" w:rsidTr="00C054AE">
        <w:trPr>
          <w:trHeight w:val="288"/>
        </w:trPr>
        <w:tc>
          <w:tcPr>
            <w:tcW w:w="1700" w:type="dxa"/>
            <w:noWrap/>
            <w:hideMark/>
          </w:tcPr>
          <w:p w14:paraId="73147B55"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2012</w:t>
            </w:r>
          </w:p>
        </w:tc>
        <w:tc>
          <w:tcPr>
            <w:tcW w:w="2831" w:type="dxa"/>
            <w:hideMark/>
          </w:tcPr>
          <w:p w14:paraId="73CC6915"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8905</w:t>
            </w:r>
          </w:p>
        </w:tc>
        <w:tc>
          <w:tcPr>
            <w:tcW w:w="2835" w:type="dxa"/>
            <w:hideMark/>
          </w:tcPr>
          <w:p w14:paraId="03E8388D"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1878</w:t>
            </w:r>
          </w:p>
        </w:tc>
        <w:tc>
          <w:tcPr>
            <w:tcW w:w="2835" w:type="dxa"/>
            <w:hideMark/>
          </w:tcPr>
          <w:p w14:paraId="7ECE3EAD"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41554</w:t>
            </w:r>
          </w:p>
        </w:tc>
      </w:tr>
      <w:tr w:rsidR="00B336C3" w:rsidRPr="00B336C3" w14:paraId="5FFBA988" w14:textId="77777777" w:rsidTr="00C054AE">
        <w:trPr>
          <w:trHeight w:val="288"/>
        </w:trPr>
        <w:tc>
          <w:tcPr>
            <w:tcW w:w="1700" w:type="dxa"/>
            <w:noWrap/>
            <w:hideMark/>
          </w:tcPr>
          <w:p w14:paraId="57461253"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2013</w:t>
            </w:r>
          </w:p>
        </w:tc>
        <w:tc>
          <w:tcPr>
            <w:tcW w:w="2831" w:type="dxa"/>
            <w:hideMark/>
          </w:tcPr>
          <w:p w14:paraId="3639E381"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9133</w:t>
            </w:r>
          </w:p>
        </w:tc>
        <w:tc>
          <w:tcPr>
            <w:tcW w:w="2835" w:type="dxa"/>
            <w:hideMark/>
          </w:tcPr>
          <w:p w14:paraId="65D98E2C"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4708</w:t>
            </w:r>
          </w:p>
        </w:tc>
        <w:tc>
          <w:tcPr>
            <w:tcW w:w="2835" w:type="dxa"/>
            <w:hideMark/>
          </w:tcPr>
          <w:p w14:paraId="663024AB"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42970</w:t>
            </w:r>
          </w:p>
        </w:tc>
      </w:tr>
      <w:tr w:rsidR="00B336C3" w:rsidRPr="00B336C3" w14:paraId="7BB33750" w14:textId="77777777" w:rsidTr="00C054AE">
        <w:trPr>
          <w:trHeight w:val="288"/>
        </w:trPr>
        <w:tc>
          <w:tcPr>
            <w:tcW w:w="1700" w:type="dxa"/>
            <w:noWrap/>
            <w:hideMark/>
          </w:tcPr>
          <w:p w14:paraId="54A3B872"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2014</w:t>
            </w:r>
          </w:p>
        </w:tc>
        <w:tc>
          <w:tcPr>
            <w:tcW w:w="2831" w:type="dxa"/>
            <w:hideMark/>
          </w:tcPr>
          <w:p w14:paraId="27E7D8CA"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11551</w:t>
            </w:r>
          </w:p>
        </w:tc>
        <w:tc>
          <w:tcPr>
            <w:tcW w:w="2835" w:type="dxa"/>
            <w:hideMark/>
          </w:tcPr>
          <w:p w14:paraId="04747C07"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5728</w:t>
            </w:r>
          </w:p>
        </w:tc>
        <w:tc>
          <w:tcPr>
            <w:tcW w:w="2835" w:type="dxa"/>
            <w:hideMark/>
          </w:tcPr>
          <w:p w14:paraId="03C6C654"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44451</w:t>
            </w:r>
          </w:p>
        </w:tc>
      </w:tr>
      <w:tr w:rsidR="00B336C3" w:rsidRPr="00B336C3" w14:paraId="03BD4934" w14:textId="77777777" w:rsidTr="00C054AE">
        <w:trPr>
          <w:trHeight w:val="288"/>
        </w:trPr>
        <w:tc>
          <w:tcPr>
            <w:tcW w:w="1700" w:type="dxa"/>
            <w:noWrap/>
            <w:hideMark/>
          </w:tcPr>
          <w:p w14:paraId="255DFE1C"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2015</w:t>
            </w:r>
          </w:p>
        </w:tc>
        <w:tc>
          <w:tcPr>
            <w:tcW w:w="2831" w:type="dxa"/>
            <w:hideMark/>
          </w:tcPr>
          <w:p w14:paraId="21EA505D"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13428</w:t>
            </w:r>
          </w:p>
        </w:tc>
        <w:tc>
          <w:tcPr>
            <w:tcW w:w="2835" w:type="dxa"/>
            <w:hideMark/>
          </w:tcPr>
          <w:p w14:paraId="3519D19C"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6547</w:t>
            </w:r>
          </w:p>
        </w:tc>
        <w:tc>
          <w:tcPr>
            <w:tcW w:w="2835" w:type="dxa"/>
            <w:hideMark/>
          </w:tcPr>
          <w:p w14:paraId="3A8B0EA3"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44634</w:t>
            </w:r>
          </w:p>
        </w:tc>
      </w:tr>
      <w:tr w:rsidR="00B336C3" w:rsidRPr="00B336C3" w14:paraId="3FAA20C2" w14:textId="77777777" w:rsidTr="00C054AE">
        <w:trPr>
          <w:trHeight w:val="288"/>
        </w:trPr>
        <w:tc>
          <w:tcPr>
            <w:tcW w:w="1700" w:type="dxa"/>
            <w:noWrap/>
            <w:hideMark/>
          </w:tcPr>
          <w:p w14:paraId="0FADF608"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2016</w:t>
            </w:r>
          </w:p>
        </w:tc>
        <w:tc>
          <w:tcPr>
            <w:tcW w:w="2831" w:type="dxa"/>
            <w:hideMark/>
          </w:tcPr>
          <w:p w14:paraId="1FC455D8"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15226</w:t>
            </w:r>
          </w:p>
        </w:tc>
        <w:tc>
          <w:tcPr>
            <w:tcW w:w="2835" w:type="dxa"/>
            <w:hideMark/>
          </w:tcPr>
          <w:p w14:paraId="4A1DF724"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6857</w:t>
            </w:r>
          </w:p>
        </w:tc>
        <w:tc>
          <w:tcPr>
            <w:tcW w:w="2835" w:type="dxa"/>
            <w:hideMark/>
          </w:tcPr>
          <w:p w14:paraId="7A9EF857"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42004</w:t>
            </w:r>
          </w:p>
        </w:tc>
      </w:tr>
      <w:tr w:rsidR="00B336C3" w:rsidRPr="00B336C3" w14:paraId="596C7452" w14:textId="77777777" w:rsidTr="00C054AE">
        <w:trPr>
          <w:trHeight w:val="288"/>
        </w:trPr>
        <w:tc>
          <w:tcPr>
            <w:tcW w:w="1700" w:type="dxa"/>
            <w:noWrap/>
            <w:hideMark/>
          </w:tcPr>
          <w:p w14:paraId="7CB795C1"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2017</w:t>
            </w:r>
          </w:p>
        </w:tc>
        <w:tc>
          <w:tcPr>
            <w:tcW w:w="2831" w:type="dxa"/>
            <w:hideMark/>
          </w:tcPr>
          <w:p w14:paraId="29F900CE"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16107</w:t>
            </w:r>
          </w:p>
        </w:tc>
        <w:tc>
          <w:tcPr>
            <w:tcW w:w="2835" w:type="dxa"/>
            <w:hideMark/>
          </w:tcPr>
          <w:p w14:paraId="50A0A3B2"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6649</w:t>
            </w:r>
          </w:p>
        </w:tc>
        <w:tc>
          <w:tcPr>
            <w:tcW w:w="2835" w:type="dxa"/>
            <w:hideMark/>
          </w:tcPr>
          <w:p w14:paraId="3DB4BABB"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41216</w:t>
            </w:r>
          </w:p>
        </w:tc>
      </w:tr>
      <w:tr w:rsidR="00B336C3" w:rsidRPr="00B336C3" w14:paraId="0277AB23" w14:textId="77777777" w:rsidTr="00C054AE">
        <w:trPr>
          <w:trHeight w:val="288"/>
        </w:trPr>
        <w:tc>
          <w:tcPr>
            <w:tcW w:w="1700" w:type="dxa"/>
            <w:noWrap/>
            <w:hideMark/>
          </w:tcPr>
          <w:p w14:paraId="30B74635"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2018</w:t>
            </w:r>
          </w:p>
        </w:tc>
        <w:tc>
          <w:tcPr>
            <w:tcW w:w="2831" w:type="dxa"/>
            <w:hideMark/>
          </w:tcPr>
          <w:p w14:paraId="020D1F9F"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17685</w:t>
            </w:r>
          </w:p>
        </w:tc>
        <w:tc>
          <w:tcPr>
            <w:tcW w:w="2835" w:type="dxa"/>
            <w:hideMark/>
          </w:tcPr>
          <w:p w14:paraId="4C82CB5C"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6745</w:t>
            </w:r>
          </w:p>
        </w:tc>
        <w:tc>
          <w:tcPr>
            <w:tcW w:w="2835" w:type="dxa"/>
            <w:hideMark/>
          </w:tcPr>
          <w:p w14:paraId="50C075E5"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40638</w:t>
            </w:r>
          </w:p>
        </w:tc>
      </w:tr>
      <w:tr w:rsidR="00B336C3" w:rsidRPr="00B336C3" w14:paraId="5794D1D6" w14:textId="77777777" w:rsidTr="00C054AE">
        <w:trPr>
          <w:trHeight w:val="288"/>
        </w:trPr>
        <w:tc>
          <w:tcPr>
            <w:tcW w:w="1700" w:type="dxa"/>
            <w:noWrap/>
            <w:hideMark/>
          </w:tcPr>
          <w:p w14:paraId="43ED0221"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2019</w:t>
            </w:r>
          </w:p>
        </w:tc>
        <w:tc>
          <w:tcPr>
            <w:tcW w:w="2831" w:type="dxa"/>
            <w:hideMark/>
          </w:tcPr>
          <w:p w14:paraId="76779077"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19017</w:t>
            </w:r>
          </w:p>
        </w:tc>
        <w:tc>
          <w:tcPr>
            <w:tcW w:w="2835" w:type="dxa"/>
            <w:hideMark/>
          </w:tcPr>
          <w:p w14:paraId="63EE2C53"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7681</w:t>
            </w:r>
          </w:p>
        </w:tc>
        <w:tc>
          <w:tcPr>
            <w:tcW w:w="2835" w:type="dxa"/>
            <w:hideMark/>
          </w:tcPr>
          <w:p w14:paraId="4327592C"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40092</w:t>
            </w:r>
          </w:p>
        </w:tc>
      </w:tr>
      <w:tr w:rsidR="00B336C3" w:rsidRPr="00B336C3" w14:paraId="00AFDDF8" w14:textId="77777777" w:rsidTr="00C054AE">
        <w:trPr>
          <w:trHeight w:val="300"/>
        </w:trPr>
        <w:tc>
          <w:tcPr>
            <w:tcW w:w="1700" w:type="dxa"/>
            <w:noWrap/>
            <w:hideMark/>
          </w:tcPr>
          <w:p w14:paraId="0342EB51" w14:textId="77777777" w:rsidR="00B336C3" w:rsidRPr="00B336C3" w:rsidRDefault="00B336C3" w:rsidP="00B336C3">
            <w:pPr>
              <w:spacing w:before="0" w:line="240" w:lineRule="auto"/>
              <w:jc w:val="center"/>
              <w:rPr>
                <w:rFonts w:ascii="Calibri" w:eastAsia="Times New Roman" w:hAnsi="Calibri" w:cs="Calibri"/>
                <w:b/>
                <w:bCs/>
                <w:color w:val="000000"/>
                <w:lang w:eastAsia="en-AU"/>
              </w:rPr>
            </w:pPr>
            <w:r w:rsidRPr="00B336C3">
              <w:rPr>
                <w:rFonts w:ascii="Calibri" w:eastAsia="Times New Roman" w:hAnsi="Calibri" w:cs="Calibri"/>
                <w:b/>
                <w:bCs/>
                <w:color w:val="000000"/>
                <w:lang w:eastAsia="en-AU"/>
              </w:rPr>
              <w:t>2020</w:t>
            </w:r>
          </w:p>
        </w:tc>
        <w:tc>
          <w:tcPr>
            <w:tcW w:w="2831" w:type="dxa"/>
            <w:noWrap/>
            <w:hideMark/>
          </w:tcPr>
          <w:p w14:paraId="394A3D78"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25096</w:t>
            </w:r>
          </w:p>
        </w:tc>
        <w:tc>
          <w:tcPr>
            <w:tcW w:w="2835" w:type="dxa"/>
            <w:hideMark/>
          </w:tcPr>
          <w:p w14:paraId="70250387"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10018</w:t>
            </w:r>
          </w:p>
        </w:tc>
        <w:tc>
          <w:tcPr>
            <w:tcW w:w="2835" w:type="dxa"/>
            <w:hideMark/>
          </w:tcPr>
          <w:p w14:paraId="57054834" w14:textId="77777777" w:rsidR="00B336C3" w:rsidRPr="00B336C3" w:rsidRDefault="00B336C3" w:rsidP="00B336C3">
            <w:pPr>
              <w:spacing w:before="0" w:line="240" w:lineRule="auto"/>
              <w:jc w:val="right"/>
              <w:rPr>
                <w:rFonts w:ascii="Calibri" w:eastAsia="Times New Roman" w:hAnsi="Calibri" w:cs="Calibri"/>
                <w:color w:val="000000"/>
                <w:lang w:eastAsia="en-AU"/>
              </w:rPr>
            </w:pPr>
            <w:r w:rsidRPr="00B336C3">
              <w:rPr>
                <w:rFonts w:ascii="Calibri" w:eastAsia="Times New Roman" w:hAnsi="Calibri" w:cs="Calibri"/>
                <w:color w:val="000000"/>
                <w:lang w:eastAsia="en-AU"/>
              </w:rPr>
              <w:t>40690</w:t>
            </w:r>
          </w:p>
        </w:tc>
      </w:tr>
    </w:tbl>
    <w:p w14:paraId="7F7C3323" w14:textId="77777777" w:rsidR="00F43A82" w:rsidRPr="00C3613B" w:rsidRDefault="00F43A82" w:rsidP="00F43A82">
      <w:pPr>
        <w:rPr>
          <w:sz w:val="20"/>
          <w:szCs w:val="20"/>
        </w:rPr>
      </w:pPr>
      <w:r w:rsidRPr="00C3613B">
        <w:rPr>
          <w:sz w:val="20"/>
          <w:szCs w:val="20"/>
        </w:rPr>
        <w:t>Source: Department of Social Service data provided to CYDA</w:t>
      </w:r>
    </w:p>
    <w:p w14:paraId="08ACB9D9" w14:textId="77777777" w:rsidR="00B7726C" w:rsidRDefault="00F43A82" w:rsidP="00B336C3">
      <w:pPr>
        <w:pStyle w:val="Heading2"/>
      </w:pPr>
      <w:bookmarkStart w:id="10" w:name="_Toc62833786"/>
      <w:r>
        <w:t xml:space="preserve">Figure 2: </w:t>
      </w:r>
      <w:r w:rsidRPr="00D355CF">
        <w:t>Trends from 2009 to 20</w:t>
      </w:r>
      <w:r>
        <w:t xml:space="preserve">20 of </w:t>
      </w:r>
      <w:r w:rsidRPr="000A41FF">
        <w:t xml:space="preserve">Youth Allowance with partial capacity to work and Disability Support Pension recipients </w:t>
      </w:r>
      <w:r>
        <w:t>aged 19 years and under</w:t>
      </w:r>
      <w:bookmarkEnd w:id="10"/>
    </w:p>
    <w:p w14:paraId="7DCAD321" w14:textId="65627F97" w:rsidR="00F43A82" w:rsidRDefault="00F43A82" w:rsidP="00736EAF">
      <w:pPr>
        <w:pStyle w:val="BodytextRPC"/>
      </w:pPr>
    </w:p>
    <w:tbl>
      <w:tblPr>
        <w:tblStyle w:val="TableGrid"/>
        <w:tblW w:w="0" w:type="auto"/>
        <w:tblLayout w:type="fixed"/>
        <w:tblLook w:val="0020" w:firstRow="1" w:lastRow="0" w:firstColumn="0" w:lastColumn="0" w:noHBand="0" w:noVBand="0"/>
      </w:tblPr>
      <w:tblGrid>
        <w:gridCol w:w="1766"/>
        <w:gridCol w:w="4186"/>
        <w:gridCol w:w="3785"/>
      </w:tblGrid>
      <w:tr w:rsidR="00B336C3" w14:paraId="015A5465" w14:textId="77777777" w:rsidTr="0047750F">
        <w:trPr>
          <w:trHeight w:val="290"/>
        </w:trPr>
        <w:tc>
          <w:tcPr>
            <w:tcW w:w="1766" w:type="dxa"/>
          </w:tcPr>
          <w:p w14:paraId="1DD76146" w14:textId="12E5AB60"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lastRenderedPageBreak/>
              <w:t>Year</w:t>
            </w:r>
          </w:p>
        </w:tc>
        <w:tc>
          <w:tcPr>
            <w:tcW w:w="4186" w:type="dxa"/>
          </w:tcPr>
          <w:p w14:paraId="6ABB6F07" w14:textId="42B4767B" w:rsidR="00B336C3" w:rsidRPr="0047750F" w:rsidRDefault="00B336C3">
            <w:pPr>
              <w:autoSpaceDE w:val="0"/>
              <w:autoSpaceDN w:val="0"/>
              <w:adjustRightInd w:val="0"/>
              <w:spacing w:before="0" w:line="240" w:lineRule="auto"/>
              <w:jc w:val="right"/>
              <w:rPr>
                <w:rFonts w:ascii="Calibri" w:hAnsi="Calibri" w:cs="Calibri"/>
                <w:b/>
                <w:bCs/>
                <w:color w:val="000000"/>
              </w:rPr>
            </w:pPr>
            <w:r w:rsidRPr="0047750F">
              <w:rPr>
                <w:rFonts w:ascii="Calibri" w:hAnsi="Calibri" w:cs="Calibri"/>
                <w:b/>
                <w:bCs/>
                <w:color w:val="000000"/>
              </w:rPr>
              <w:t>Youth Allowance (Other) – Partial capacity to work</w:t>
            </w:r>
          </w:p>
        </w:tc>
        <w:tc>
          <w:tcPr>
            <w:tcW w:w="3785" w:type="dxa"/>
          </w:tcPr>
          <w:p w14:paraId="339F4D04" w14:textId="12251995" w:rsidR="00B336C3" w:rsidRPr="0047750F" w:rsidRDefault="00B336C3">
            <w:pPr>
              <w:autoSpaceDE w:val="0"/>
              <w:autoSpaceDN w:val="0"/>
              <w:adjustRightInd w:val="0"/>
              <w:spacing w:before="0" w:line="240" w:lineRule="auto"/>
              <w:jc w:val="right"/>
              <w:rPr>
                <w:rFonts w:ascii="Calibri" w:hAnsi="Calibri" w:cs="Calibri"/>
                <w:b/>
                <w:bCs/>
                <w:color w:val="000000"/>
              </w:rPr>
            </w:pPr>
            <w:r w:rsidRPr="0047750F">
              <w:rPr>
                <w:rFonts w:ascii="Calibri" w:hAnsi="Calibri" w:cs="Calibri"/>
                <w:b/>
                <w:bCs/>
                <w:color w:val="000000"/>
              </w:rPr>
              <w:t>Disability Support Pension</w:t>
            </w:r>
          </w:p>
        </w:tc>
      </w:tr>
      <w:tr w:rsidR="00B336C3" w14:paraId="258433F0" w14:textId="77777777" w:rsidTr="0047750F">
        <w:trPr>
          <w:trHeight w:val="290"/>
        </w:trPr>
        <w:tc>
          <w:tcPr>
            <w:tcW w:w="1766" w:type="dxa"/>
          </w:tcPr>
          <w:p w14:paraId="2B614B24"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2009</w:t>
            </w:r>
          </w:p>
        </w:tc>
        <w:tc>
          <w:tcPr>
            <w:tcW w:w="4186" w:type="dxa"/>
          </w:tcPr>
          <w:p w14:paraId="4E8C663D"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2299</w:t>
            </w:r>
          </w:p>
        </w:tc>
        <w:tc>
          <w:tcPr>
            <w:tcW w:w="3785" w:type="dxa"/>
          </w:tcPr>
          <w:p w14:paraId="7B3B1AE8"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18414</w:t>
            </w:r>
          </w:p>
        </w:tc>
      </w:tr>
      <w:tr w:rsidR="00B336C3" w14:paraId="42A06397" w14:textId="77777777" w:rsidTr="0047750F">
        <w:trPr>
          <w:trHeight w:val="290"/>
        </w:trPr>
        <w:tc>
          <w:tcPr>
            <w:tcW w:w="1766" w:type="dxa"/>
          </w:tcPr>
          <w:p w14:paraId="5BC94930"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2010</w:t>
            </w:r>
          </w:p>
        </w:tc>
        <w:tc>
          <w:tcPr>
            <w:tcW w:w="4186" w:type="dxa"/>
          </w:tcPr>
          <w:p w14:paraId="5409AFD2"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2754</w:t>
            </w:r>
          </w:p>
        </w:tc>
        <w:tc>
          <w:tcPr>
            <w:tcW w:w="3785" w:type="dxa"/>
          </w:tcPr>
          <w:p w14:paraId="12AAEF06"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19814</w:t>
            </w:r>
          </w:p>
        </w:tc>
      </w:tr>
      <w:tr w:rsidR="00B336C3" w14:paraId="17FED035" w14:textId="77777777" w:rsidTr="0047750F">
        <w:trPr>
          <w:trHeight w:val="290"/>
        </w:trPr>
        <w:tc>
          <w:tcPr>
            <w:tcW w:w="1766" w:type="dxa"/>
          </w:tcPr>
          <w:p w14:paraId="1E196A5B"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2011</w:t>
            </w:r>
          </w:p>
        </w:tc>
        <w:tc>
          <w:tcPr>
            <w:tcW w:w="4186" w:type="dxa"/>
          </w:tcPr>
          <w:p w14:paraId="5011D802"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3235</w:t>
            </w:r>
          </w:p>
        </w:tc>
        <w:tc>
          <w:tcPr>
            <w:tcW w:w="3785" w:type="dxa"/>
          </w:tcPr>
          <w:p w14:paraId="5798B258"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20704</w:t>
            </w:r>
          </w:p>
        </w:tc>
      </w:tr>
      <w:tr w:rsidR="00B336C3" w14:paraId="4B1C3C8B" w14:textId="77777777" w:rsidTr="0047750F">
        <w:trPr>
          <w:trHeight w:val="290"/>
        </w:trPr>
        <w:tc>
          <w:tcPr>
            <w:tcW w:w="1766" w:type="dxa"/>
          </w:tcPr>
          <w:p w14:paraId="25864CDC"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2012</w:t>
            </w:r>
          </w:p>
        </w:tc>
        <w:tc>
          <w:tcPr>
            <w:tcW w:w="4186" w:type="dxa"/>
          </w:tcPr>
          <w:p w14:paraId="2C3F51F7"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3589</w:t>
            </w:r>
          </w:p>
        </w:tc>
        <w:tc>
          <w:tcPr>
            <w:tcW w:w="3785" w:type="dxa"/>
          </w:tcPr>
          <w:p w14:paraId="1438337F"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20317</w:t>
            </w:r>
          </w:p>
        </w:tc>
      </w:tr>
      <w:tr w:rsidR="00B336C3" w14:paraId="126FB6FD" w14:textId="77777777" w:rsidTr="0047750F">
        <w:trPr>
          <w:trHeight w:val="290"/>
        </w:trPr>
        <w:tc>
          <w:tcPr>
            <w:tcW w:w="1766" w:type="dxa"/>
          </w:tcPr>
          <w:p w14:paraId="154B7D2F"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2013</w:t>
            </w:r>
          </w:p>
        </w:tc>
        <w:tc>
          <w:tcPr>
            <w:tcW w:w="4186" w:type="dxa"/>
          </w:tcPr>
          <w:p w14:paraId="0C0E4201"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4246</w:t>
            </w:r>
          </w:p>
        </w:tc>
        <w:tc>
          <w:tcPr>
            <w:tcW w:w="3785" w:type="dxa"/>
          </w:tcPr>
          <w:p w14:paraId="1A06D03F"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19001</w:t>
            </w:r>
          </w:p>
        </w:tc>
      </w:tr>
      <w:tr w:rsidR="00B336C3" w14:paraId="79356B89" w14:textId="77777777" w:rsidTr="0047750F">
        <w:trPr>
          <w:trHeight w:val="290"/>
        </w:trPr>
        <w:tc>
          <w:tcPr>
            <w:tcW w:w="1766" w:type="dxa"/>
          </w:tcPr>
          <w:p w14:paraId="62CBC0EE"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2014</w:t>
            </w:r>
          </w:p>
        </w:tc>
        <w:tc>
          <w:tcPr>
            <w:tcW w:w="4186" w:type="dxa"/>
          </w:tcPr>
          <w:p w14:paraId="3DB54D11"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4752</w:t>
            </w:r>
          </w:p>
        </w:tc>
        <w:tc>
          <w:tcPr>
            <w:tcW w:w="3785" w:type="dxa"/>
          </w:tcPr>
          <w:p w14:paraId="6F5A6083"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18838</w:t>
            </w:r>
          </w:p>
        </w:tc>
      </w:tr>
      <w:tr w:rsidR="00B336C3" w14:paraId="07612023" w14:textId="77777777" w:rsidTr="0047750F">
        <w:trPr>
          <w:trHeight w:val="290"/>
        </w:trPr>
        <w:tc>
          <w:tcPr>
            <w:tcW w:w="1766" w:type="dxa"/>
          </w:tcPr>
          <w:p w14:paraId="116B60FB"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2015</w:t>
            </w:r>
          </w:p>
        </w:tc>
        <w:tc>
          <w:tcPr>
            <w:tcW w:w="4186" w:type="dxa"/>
          </w:tcPr>
          <w:p w14:paraId="5F743A8C"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4829</w:t>
            </w:r>
          </w:p>
        </w:tc>
        <w:tc>
          <w:tcPr>
            <w:tcW w:w="3785" w:type="dxa"/>
          </w:tcPr>
          <w:p w14:paraId="08F70400"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16978</w:t>
            </w:r>
          </w:p>
        </w:tc>
      </w:tr>
      <w:tr w:rsidR="00B336C3" w14:paraId="50352D49" w14:textId="77777777" w:rsidTr="0047750F">
        <w:trPr>
          <w:trHeight w:val="290"/>
        </w:trPr>
        <w:tc>
          <w:tcPr>
            <w:tcW w:w="1766" w:type="dxa"/>
          </w:tcPr>
          <w:p w14:paraId="341A91AB"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2016</w:t>
            </w:r>
          </w:p>
        </w:tc>
        <w:tc>
          <w:tcPr>
            <w:tcW w:w="4186" w:type="dxa"/>
          </w:tcPr>
          <w:p w14:paraId="7A531460"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4649</w:t>
            </w:r>
          </w:p>
        </w:tc>
        <w:tc>
          <w:tcPr>
            <w:tcW w:w="3785" w:type="dxa"/>
          </w:tcPr>
          <w:p w14:paraId="60419D1C"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15201</w:t>
            </w:r>
          </w:p>
        </w:tc>
      </w:tr>
      <w:tr w:rsidR="00B336C3" w14:paraId="448F3EB4" w14:textId="77777777" w:rsidTr="0047750F">
        <w:trPr>
          <w:trHeight w:val="290"/>
        </w:trPr>
        <w:tc>
          <w:tcPr>
            <w:tcW w:w="1766" w:type="dxa"/>
          </w:tcPr>
          <w:p w14:paraId="23173BDD"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2017</w:t>
            </w:r>
          </w:p>
        </w:tc>
        <w:tc>
          <w:tcPr>
            <w:tcW w:w="4186" w:type="dxa"/>
          </w:tcPr>
          <w:p w14:paraId="4D6047CE"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4014</w:t>
            </w:r>
          </w:p>
        </w:tc>
        <w:tc>
          <w:tcPr>
            <w:tcW w:w="3785" w:type="dxa"/>
          </w:tcPr>
          <w:p w14:paraId="01AF7E5C"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14050</w:t>
            </w:r>
          </w:p>
        </w:tc>
      </w:tr>
      <w:tr w:rsidR="00B336C3" w14:paraId="6836563D" w14:textId="77777777" w:rsidTr="0047750F">
        <w:trPr>
          <w:trHeight w:val="290"/>
        </w:trPr>
        <w:tc>
          <w:tcPr>
            <w:tcW w:w="1766" w:type="dxa"/>
          </w:tcPr>
          <w:p w14:paraId="46654A79"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2018</w:t>
            </w:r>
          </w:p>
        </w:tc>
        <w:tc>
          <w:tcPr>
            <w:tcW w:w="4186" w:type="dxa"/>
          </w:tcPr>
          <w:p w14:paraId="36E6CE96"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4136</w:t>
            </w:r>
          </w:p>
        </w:tc>
        <w:tc>
          <w:tcPr>
            <w:tcW w:w="3785" w:type="dxa"/>
          </w:tcPr>
          <w:p w14:paraId="4F902709"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13601</w:t>
            </w:r>
          </w:p>
        </w:tc>
      </w:tr>
      <w:tr w:rsidR="00B336C3" w14:paraId="4E1C11D0" w14:textId="77777777" w:rsidTr="0047750F">
        <w:trPr>
          <w:trHeight w:val="290"/>
        </w:trPr>
        <w:tc>
          <w:tcPr>
            <w:tcW w:w="1766" w:type="dxa"/>
          </w:tcPr>
          <w:p w14:paraId="0797576D"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2019</w:t>
            </w:r>
          </w:p>
        </w:tc>
        <w:tc>
          <w:tcPr>
            <w:tcW w:w="4186" w:type="dxa"/>
          </w:tcPr>
          <w:p w14:paraId="5401AE56"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5100</w:t>
            </w:r>
          </w:p>
        </w:tc>
        <w:tc>
          <w:tcPr>
            <w:tcW w:w="3785" w:type="dxa"/>
          </w:tcPr>
          <w:p w14:paraId="5F8A0CDB"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13843</w:t>
            </w:r>
          </w:p>
        </w:tc>
      </w:tr>
      <w:tr w:rsidR="00B336C3" w14:paraId="75455342" w14:textId="77777777" w:rsidTr="0047750F">
        <w:trPr>
          <w:trHeight w:val="302"/>
        </w:trPr>
        <w:tc>
          <w:tcPr>
            <w:tcW w:w="1766" w:type="dxa"/>
          </w:tcPr>
          <w:p w14:paraId="25E433C1" w14:textId="77777777" w:rsidR="00B336C3" w:rsidRDefault="00B336C3">
            <w:pPr>
              <w:autoSpaceDE w:val="0"/>
              <w:autoSpaceDN w:val="0"/>
              <w:adjustRightInd w:val="0"/>
              <w:spacing w:before="0" w:line="240" w:lineRule="auto"/>
              <w:jc w:val="center"/>
              <w:rPr>
                <w:rFonts w:ascii="Calibri" w:hAnsi="Calibri" w:cs="Calibri"/>
                <w:b/>
                <w:bCs/>
                <w:color w:val="000000"/>
              </w:rPr>
            </w:pPr>
            <w:r>
              <w:rPr>
                <w:rFonts w:ascii="Calibri" w:hAnsi="Calibri" w:cs="Calibri"/>
                <w:b/>
                <w:bCs/>
                <w:color w:val="000000"/>
              </w:rPr>
              <w:t>2020</w:t>
            </w:r>
          </w:p>
        </w:tc>
        <w:tc>
          <w:tcPr>
            <w:tcW w:w="4186" w:type="dxa"/>
          </w:tcPr>
          <w:p w14:paraId="3EA228C3"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6319</w:t>
            </w:r>
          </w:p>
        </w:tc>
        <w:tc>
          <w:tcPr>
            <w:tcW w:w="3785" w:type="dxa"/>
          </w:tcPr>
          <w:p w14:paraId="6E029CC6" w14:textId="77777777" w:rsidR="00B336C3" w:rsidRDefault="00B336C3">
            <w:pPr>
              <w:autoSpaceDE w:val="0"/>
              <w:autoSpaceDN w:val="0"/>
              <w:adjustRightInd w:val="0"/>
              <w:spacing w:before="0" w:line="240" w:lineRule="auto"/>
              <w:jc w:val="right"/>
              <w:rPr>
                <w:rFonts w:ascii="Calibri" w:hAnsi="Calibri" w:cs="Calibri"/>
                <w:color w:val="000000"/>
              </w:rPr>
            </w:pPr>
            <w:r>
              <w:rPr>
                <w:rFonts w:ascii="Calibri" w:hAnsi="Calibri" w:cs="Calibri"/>
                <w:color w:val="000000"/>
              </w:rPr>
              <w:t>14662</w:t>
            </w:r>
          </w:p>
        </w:tc>
      </w:tr>
    </w:tbl>
    <w:p w14:paraId="6912A75A" w14:textId="160BD32E" w:rsidR="00F43A82" w:rsidRPr="00C3613B" w:rsidRDefault="00F43A82" w:rsidP="00F43A82">
      <w:pPr>
        <w:rPr>
          <w:sz w:val="20"/>
          <w:szCs w:val="20"/>
        </w:rPr>
      </w:pPr>
      <w:r w:rsidRPr="00C3613B">
        <w:rPr>
          <w:sz w:val="20"/>
          <w:szCs w:val="20"/>
        </w:rPr>
        <w:t>Source: Department of Social Service data provided to CYDA</w:t>
      </w:r>
      <w:r w:rsidR="0047750F">
        <w:rPr>
          <w:sz w:val="20"/>
          <w:szCs w:val="20"/>
        </w:rPr>
        <w:br/>
      </w:r>
    </w:p>
    <w:p w14:paraId="7A0E5E07" w14:textId="665DEB99" w:rsidR="000E1F14" w:rsidRDefault="00594631" w:rsidP="000E1F14">
      <w:r>
        <w:t xml:space="preserve">For the young people who have successfully gained access to the DSP, the strict eligibility requirements </w:t>
      </w:r>
      <w:r w:rsidR="00B304B8">
        <w:t>have</w:t>
      </w:r>
      <w:r>
        <w:t xml:space="preserve"> </w:t>
      </w:r>
      <w:r w:rsidR="0088487B">
        <w:t>also created increased barriers to gaining employment, with rates of DSP recipients receiving earnings dropping by 1.7 percentage points between 2009 and 2018 (from 9.3 per cent to 7.6 per cent).</w:t>
      </w:r>
      <w:r w:rsidR="0088487B">
        <w:rPr>
          <w:rStyle w:val="FootnoteReference"/>
        </w:rPr>
        <w:footnoteReference w:id="42"/>
      </w:r>
      <w:r w:rsidR="0088487B">
        <w:t xml:space="preserve"> CYDA has heard from our membership that young people are reluctant to obtain paid employment as the risk of losing their access</w:t>
      </w:r>
      <w:r w:rsidR="0088435C">
        <w:t xml:space="preserve"> to the</w:t>
      </w:r>
      <w:r w:rsidR="0088487B">
        <w:t xml:space="preserve"> DSP, which is ultimately their safety net. This is a particular concern of young people with episodic or fluctuating </w:t>
      </w:r>
      <w:r w:rsidR="00F35F2A">
        <w:t>disability</w:t>
      </w:r>
      <w:r w:rsidR="0088487B">
        <w:t xml:space="preserve">.   </w:t>
      </w:r>
    </w:p>
    <w:p w14:paraId="22543D09" w14:textId="77777777" w:rsidR="00B304B8" w:rsidRDefault="0088487B" w:rsidP="00C8794F">
      <w:r>
        <w:t>CYDA urges the Australian Government to review and amend the social security system to ensure that young people with disability are not living in poverty and are adequately supported to find and maintain</w:t>
      </w:r>
      <w:r w:rsidR="00B304B8">
        <w:t xml:space="preserve"> meaningful</w:t>
      </w:r>
      <w:r>
        <w:t xml:space="preserve"> employment. This includes</w:t>
      </w:r>
      <w:r w:rsidR="00C8794F">
        <w:t>:</w:t>
      </w:r>
      <w:r>
        <w:t xml:space="preserve"> </w:t>
      </w:r>
    </w:p>
    <w:p w14:paraId="10436969" w14:textId="1003DA98" w:rsidR="00B304B8" w:rsidRDefault="0088487B" w:rsidP="00D26A7D">
      <w:pPr>
        <w:pStyle w:val="ListParagraph"/>
        <w:numPr>
          <w:ilvl w:val="0"/>
          <w:numId w:val="6"/>
        </w:numPr>
      </w:pPr>
      <w:r>
        <w:t>increasing the rate of payments to a dignified standard of living</w:t>
      </w:r>
      <w:r w:rsidR="00C8794F">
        <w:t xml:space="preserve"> that factor </w:t>
      </w:r>
      <w:r>
        <w:t>in the extra living costs that are associated with living with disabilit</w:t>
      </w:r>
      <w:r w:rsidR="00C8794F">
        <w:t>y</w:t>
      </w:r>
      <w:r w:rsidR="00B304B8">
        <w:t>,</w:t>
      </w:r>
    </w:p>
    <w:p w14:paraId="11F3F91A" w14:textId="5CCAA535" w:rsidR="00B304B8" w:rsidRDefault="00C8794F" w:rsidP="00D26A7D">
      <w:pPr>
        <w:pStyle w:val="ListParagraph"/>
        <w:numPr>
          <w:ilvl w:val="0"/>
          <w:numId w:val="6"/>
        </w:numPr>
      </w:pPr>
      <w:r>
        <w:t>review</w:t>
      </w:r>
      <w:r w:rsidR="0088435C">
        <w:t>ing</w:t>
      </w:r>
      <w:r>
        <w:t xml:space="preserve"> and amend</w:t>
      </w:r>
      <w:r w:rsidR="0088435C">
        <w:t>ing</w:t>
      </w:r>
      <w:r>
        <w:t xml:space="preserve"> the eligibility requirements for the DSP to ensure different groups and disability</w:t>
      </w:r>
      <w:r w:rsidR="007B3330">
        <w:t xml:space="preserve"> </w:t>
      </w:r>
      <w:r>
        <w:t>types are not disadvantaged</w:t>
      </w:r>
      <w:r w:rsidR="00B304B8">
        <w:t>,</w:t>
      </w:r>
    </w:p>
    <w:p w14:paraId="510648C0" w14:textId="77777777" w:rsidR="00B304B8" w:rsidRDefault="00C8794F" w:rsidP="00D26A7D">
      <w:pPr>
        <w:pStyle w:val="ListParagraph"/>
        <w:numPr>
          <w:ilvl w:val="0"/>
          <w:numId w:val="6"/>
        </w:numPr>
      </w:pPr>
      <w:r>
        <w:t>amend</w:t>
      </w:r>
      <w:r w:rsidR="0088435C">
        <w:t>ing</w:t>
      </w:r>
      <w:r>
        <w:t xml:space="preserve"> the DSP requirements to support recipients to engage in paid employment</w:t>
      </w:r>
      <w:r w:rsidR="00B304B8">
        <w:t>,</w:t>
      </w:r>
      <w:r>
        <w:t xml:space="preserve"> and</w:t>
      </w:r>
    </w:p>
    <w:p w14:paraId="22EC7128" w14:textId="0D69B94A" w:rsidR="00541436" w:rsidRDefault="00C8794F" w:rsidP="00D26A7D">
      <w:pPr>
        <w:pStyle w:val="ListParagraph"/>
        <w:numPr>
          <w:ilvl w:val="0"/>
          <w:numId w:val="6"/>
        </w:numPr>
      </w:pPr>
      <w:r>
        <w:t>ensur</w:t>
      </w:r>
      <w:r w:rsidR="0088435C">
        <w:t>ing</w:t>
      </w:r>
      <w:r>
        <w:t xml:space="preserve"> that there is</w:t>
      </w:r>
      <w:r w:rsidRPr="00C8794F">
        <w:t xml:space="preserve"> timely and appropriate information and support available for young people to assist them to secure income support payments</w:t>
      </w:r>
      <w:r>
        <w:t>.</w:t>
      </w:r>
    </w:p>
    <w:p w14:paraId="2BF5F146" w14:textId="77777777" w:rsidR="001456C1" w:rsidRPr="00C8794F" w:rsidRDefault="001456C1" w:rsidP="001456C1">
      <w:pPr>
        <w:ind w:left="360"/>
      </w:pPr>
    </w:p>
    <w:p w14:paraId="68F0AB49" w14:textId="10BC5B8F" w:rsidR="004B1FC2" w:rsidRDefault="00FD3537" w:rsidP="00461996">
      <w:pPr>
        <w:pStyle w:val="Heading2"/>
      </w:pPr>
      <w:bookmarkStart w:id="11" w:name="_Toc62833787"/>
      <w:r>
        <w:t xml:space="preserve">Recommendation </w:t>
      </w:r>
      <w:r w:rsidR="00B070C8">
        <w:t>6</w:t>
      </w:r>
      <w:r>
        <w:t xml:space="preserve">: </w:t>
      </w:r>
      <w:r w:rsidR="00461996">
        <w:t xml:space="preserve">Ensure the National Disability Insurance Scheme is fit-for-purpose for children and young </w:t>
      </w:r>
      <w:proofErr w:type="gramStart"/>
      <w:r w:rsidR="00461996">
        <w:t>people</w:t>
      </w:r>
      <w:bookmarkEnd w:id="11"/>
      <w:proofErr w:type="gramEnd"/>
      <w:r w:rsidR="00461996">
        <w:t xml:space="preserve"> </w:t>
      </w:r>
    </w:p>
    <w:p w14:paraId="4AC8D621" w14:textId="1F31BA07" w:rsidR="00445C88" w:rsidRPr="00C3613B" w:rsidRDefault="00BB6800" w:rsidP="00461996">
      <w:r w:rsidRPr="00BB6800">
        <w:t xml:space="preserve">Children and young people experience a </w:t>
      </w:r>
      <w:r>
        <w:t>myriad</w:t>
      </w:r>
      <w:r w:rsidRPr="00BB6800">
        <w:t xml:space="preserve"> of biological, </w:t>
      </w:r>
      <w:proofErr w:type="gramStart"/>
      <w:r w:rsidRPr="00BB6800">
        <w:t>psychological</w:t>
      </w:r>
      <w:proofErr w:type="gramEnd"/>
      <w:r w:rsidRPr="00BB6800">
        <w:t xml:space="preserve"> and social changes in </w:t>
      </w:r>
      <w:r w:rsidRPr="00C3613B">
        <w:t xml:space="preserve">the </w:t>
      </w:r>
      <w:r w:rsidR="00E90AE6" w:rsidRPr="00C3613B">
        <w:t xml:space="preserve">first </w:t>
      </w:r>
      <w:r w:rsidRPr="00C3613B">
        <w:t xml:space="preserve">25 of years of their lives. </w:t>
      </w:r>
      <w:r w:rsidR="00445C88" w:rsidRPr="00C3613B">
        <w:t xml:space="preserve">Along with these individual changes, children and young people also rapidly transition through different life stages and encounter new systems. How they experience these life transitions – and whether there are safeguards in place – then have flow-on impacts on </w:t>
      </w:r>
      <w:r w:rsidR="00AA341B" w:rsidRPr="00C3613B">
        <w:t xml:space="preserve">the </w:t>
      </w:r>
      <w:r w:rsidR="00445C88" w:rsidRPr="00C3613B">
        <w:t>trajectory of their lives and the opportunities they can access.</w:t>
      </w:r>
    </w:p>
    <w:p w14:paraId="66D837B8" w14:textId="597992BB" w:rsidR="00AA341B" w:rsidRPr="00C3613B" w:rsidRDefault="00445C88" w:rsidP="00461996">
      <w:r w:rsidRPr="00C3613B">
        <w:t xml:space="preserve">Factoring how important and influential these early years are, services and systems must have the capacity to understand and support the distinct needs of children and young people. </w:t>
      </w:r>
      <w:r w:rsidR="00FD3699" w:rsidRPr="00C3613B">
        <w:t xml:space="preserve">Despite 57 </w:t>
      </w:r>
      <w:r w:rsidR="00E8239D" w:rsidRPr="00C3613B">
        <w:t xml:space="preserve">per </w:t>
      </w:r>
      <w:r w:rsidR="00E8239D" w:rsidRPr="00C3613B">
        <w:lastRenderedPageBreak/>
        <w:t>cent</w:t>
      </w:r>
      <w:r w:rsidR="00FD3699" w:rsidRPr="00C3613B">
        <w:t xml:space="preserve"> of all participants being aged 25 years or younger</w:t>
      </w:r>
      <w:r w:rsidR="00FD3699" w:rsidRPr="00C3613B">
        <w:rPr>
          <w:rStyle w:val="FootnoteReference"/>
        </w:rPr>
        <w:footnoteReference w:id="43"/>
      </w:r>
      <w:r w:rsidR="00FD3699" w:rsidRPr="00C3613B">
        <w:t>, t</w:t>
      </w:r>
      <w:r w:rsidRPr="00C3613B">
        <w:t>he National Disability Insurance S</w:t>
      </w:r>
      <w:r w:rsidR="00AA341B" w:rsidRPr="00C3613B">
        <w:t>cheme</w:t>
      </w:r>
      <w:r w:rsidR="00AA622F" w:rsidRPr="00C3613B">
        <w:t xml:space="preserve"> (NDIS)</w:t>
      </w:r>
      <w:r w:rsidRPr="00C3613B">
        <w:t xml:space="preserve"> </w:t>
      </w:r>
      <w:r w:rsidR="00E90AE6" w:rsidRPr="00C3613B">
        <w:t xml:space="preserve">does not </w:t>
      </w:r>
      <w:r w:rsidR="00341CBD" w:rsidRPr="00C3613B">
        <w:t xml:space="preserve">currently </w:t>
      </w:r>
      <w:r w:rsidR="00E90AE6" w:rsidRPr="00C3613B">
        <w:t xml:space="preserve">have a framework about </w:t>
      </w:r>
      <w:r w:rsidR="00341CBD" w:rsidRPr="00C3613B">
        <w:t xml:space="preserve">what </w:t>
      </w:r>
      <w:r w:rsidR="00AA341B" w:rsidRPr="00C3613B">
        <w:t>it</w:t>
      </w:r>
      <w:r w:rsidR="00E90AE6" w:rsidRPr="00C3613B">
        <w:t xml:space="preserve"> </w:t>
      </w:r>
      <w:r w:rsidR="00341CBD" w:rsidRPr="00C3613B">
        <w:t>is trying to achieve</w:t>
      </w:r>
      <w:r w:rsidR="00AA341B" w:rsidRPr="00C3613B">
        <w:t xml:space="preserve"> for young people,</w:t>
      </w:r>
      <w:r w:rsidR="00341CBD" w:rsidRPr="00C3613B">
        <w:t xml:space="preserve"> or a framework to </w:t>
      </w:r>
      <w:r w:rsidR="00E90AE6" w:rsidRPr="00C3613B">
        <w:t xml:space="preserve">ensure optimal outcomes </w:t>
      </w:r>
      <w:r w:rsidR="00341CBD" w:rsidRPr="00C3613B">
        <w:t xml:space="preserve">across </w:t>
      </w:r>
      <w:r w:rsidR="00E90AE6" w:rsidRPr="00C3613B">
        <w:t>this</w:t>
      </w:r>
      <w:r w:rsidR="00341CBD" w:rsidRPr="00C3613B">
        <w:t xml:space="preserve"> crucial developmental period</w:t>
      </w:r>
      <w:r w:rsidR="00AA622F" w:rsidRPr="00C3613B">
        <w:t>.</w:t>
      </w:r>
      <w:r w:rsidRPr="00C3613B">
        <w:t xml:space="preserve"> </w:t>
      </w:r>
      <w:r w:rsidR="00B040AE" w:rsidRPr="00C3613B">
        <w:t xml:space="preserve">Currently, the NDIS offers the same support system – with the same workforce – to all participants aged seven </w:t>
      </w:r>
      <w:r w:rsidR="00FD3699" w:rsidRPr="00C3613B">
        <w:t xml:space="preserve">years </w:t>
      </w:r>
      <w:r w:rsidR="00B040AE" w:rsidRPr="00C3613B">
        <w:t xml:space="preserve">and older. </w:t>
      </w:r>
    </w:p>
    <w:p w14:paraId="589E8140" w14:textId="483CD41F" w:rsidR="00FD3699" w:rsidRPr="00C3613B" w:rsidRDefault="00FD3699" w:rsidP="00461996">
      <w:r w:rsidRPr="00C3613B">
        <w:t>This approach is not supported by neurodevelopmental theory and does not acknowledge the importance of middle childhood and the life transitions that occur for children and teens. While the Early Childhood Early Intervention</w:t>
      </w:r>
      <w:r w:rsidR="00AA622F" w:rsidRPr="00C3613B">
        <w:t xml:space="preserve"> (ECEI)</w:t>
      </w:r>
      <w:r w:rsidRPr="00C3613B">
        <w:t xml:space="preserve"> model does offer a separate service system </w:t>
      </w:r>
      <w:r w:rsidR="00B84AB4" w:rsidRPr="00C3613B">
        <w:t>for participants aged six</w:t>
      </w:r>
      <w:r w:rsidR="00AA622F" w:rsidRPr="00C3613B">
        <w:t xml:space="preserve"> years</w:t>
      </w:r>
      <w:r w:rsidR="00B84AB4" w:rsidRPr="00C3613B">
        <w:t xml:space="preserve"> or younger, the outsourcing of the service has resulted in children across Australia receiving inconsistent levels </w:t>
      </w:r>
      <w:r w:rsidR="00AA341B" w:rsidRPr="00C3613B">
        <w:t>and</w:t>
      </w:r>
      <w:r w:rsidR="00B84AB4" w:rsidRPr="00C3613B">
        <w:t xml:space="preserve"> quality</w:t>
      </w:r>
      <w:r w:rsidR="00AA341B" w:rsidRPr="00C3613B">
        <w:t xml:space="preserve"> of</w:t>
      </w:r>
      <w:r w:rsidR="00B84AB4" w:rsidRPr="00C3613B">
        <w:t xml:space="preserve"> support.</w:t>
      </w:r>
      <w:r w:rsidR="00487750" w:rsidRPr="00C3613B">
        <w:t xml:space="preserve"> The current NDIS process, including the ECEI stream, often does not consider the </w:t>
      </w:r>
      <w:r w:rsidR="007B3330" w:rsidRPr="00C3613B">
        <w:t>role of families/caregivers</w:t>
      </w:r>
      <w:r w:rsidR="00487750" w:rsidRPr="00C3613B">
        <w:t xml:space="preserve"> in supporting the development of children and young people, and their inclusion in community and mainstream services</w:t>
      </w:r>
      <w:r w:rsidR="00875C36" w:rsidRPr="00C3613B">
        <w:t>.</w:t>
      </w:r>
    </w:p>
    <w:p w14:paraId="749314B9" w14:textId="6E9BC375" w:rsidR="00487750" w:rsidRPr="00C3613B" w:rsidRDefault="00487750" w:rsidP="00461996">
      <w:r w:rsidRPr="00C3613B">
        <w:t>At a governance level, research has identified that there is a lack of clarity around the boundaries of the NDIS and how it interfaces with different services and systems</w:t>
      </w:r>
      <w:r w:rsidR="00875C36" w:rsidRPr="00C3613B">
        <w:t>, including education, health, justice, and child protection</w:t>
      </w:r>
      <w:r w:rsidRPr="00C3613B">
        <w:t>.</w:t>
      </w:r>
      <w:r w:rsidR="00875C36" w:rsidRPr="00C3613B">
        <w:rPr>
          <w:rStyle w:val="FootnoteReference"/>
        </w:rPr>
        <w:footnoteReference w:id="44"/>
      </w:r>
      <w:r w:rsidRPr="00C3613B">
        <w:t xml:space="preserve"> This results in systems ‘passing the </w:t>
      </w:r>
      <w:r w:rsidR="00875C36" w:rsidRPr="00C3613B">
        <w:t>buck’ on who is most responsible for providing supports and care. This not only create</w:t>
      </w:r>
      <w:r w:rsidR="00AA341B" w:rsidRPr="00C3613B">
        <w:t>s</w:t>
      </w:r>
      <w:r w:rsidR="00875C36" w:rsidRPr="00C3613B">
        <w:t xml:space="preserve"> increased stress and</w:t>
      </w:r>
      <w:r w:rsidR="00637939" w:rsidRPr="00C3613B">
        <w:t xml:space="preserve"> added</w:t>
      </w:r>
      <w:r w:rsidR="00875C36" w:rsidRPr="00C3613B">
        <w:t xml:space="preserve"> time and administrative burden for children, young people, their </w:t>
      </w:r>
      <w:proofErr w:type="gramStart"/>
      <w:r w:rsidR="00875C36" w:rsidRPr="00C3613B">
        <w:t>families</w:t>
      </w:r>
      <w:proofErr w:type="gramEnd"/>
      <w:r w:rsidR="00875C36" w:rsidRPr="00C3613B">
        <w:t xml:space="preserve"> and caregivers, but it also risks individuals falling through the gaps between systems.</w:t>
      </w:r>
    </w:p>
    <w:p w14:paraId="09C2832E" w14:textId="7B980DB6" w:rsidR="00487750" w:rsidRPr="00C3613B" w:rsidRDefault="00875C36" w:rsidP="00461996">
      <w:r w:rsidRPr="00C3613B">
        <w:t xml:space="preserve">The NDIS is also intended to provide many young people with employment supports. </w:t>
      </w:r>
      <w:r w:rsidR="00F23471" w:rsidRPr="00C3613B">
        <w:t xml:space="preserve">As </w:t>
      </w:r>
      <w:proofErr w:type="gramStart"/>
      <w:r w:rsidR="00F23471" w:rsidRPr="00C3613B">
        <w:t>at</w:t>
      </w:r>
      <w:proofErr w:type="gramEnd"/>
      <w:r w:rsidR="00F23471" w:rsidRPr="00C3613B">
        <w:t xml:space="preserve"> June 2018, nearly half (44 per cent) of </w:t>
      </w:r>
      <w:r w:rsidR="00AA622F" w:rsidRPr="00C3613B">
        <w:t>young</w:t>
      </w:r>
      <w:r w:rsidR="00AA622F" w:rsidRPr="00C3613B">
        <w:rPr>
          <w:rStyle w:val="FootnoteReference"/>
        </w:rPr>
        <w:footnoteReference w:id="45"/>
      </w:r>
      <w:r w:rsidR="00AA622F" w:rsidRPr="00C3613B">
        <w:t xml:space="preserve"> </w:t>
      </w:r>
      <w:r w:rsidR="00F23471" w:rsidRPr="00C3613B">
        <w:t>NDIS participants had employment as one of their goals in their plan.</w:t>
      </w:r>
      <w:r w:rsidR="00F23471" w:rsidRPr="00C3613B">
        <w:rPr>
          <w:rStyle w:val="FootnoteReference"/>
        </w:rPr>
        <w:footnoteReference w:id="46"/>
      </w:r>
      <w:r w:rsidR="00F23471" w:rsidRPr="00C3613B">
        <w:t xml:space="preserve"> However</w:t>
      </w:r>
      <w:r w:rsidR="00341CBD" w:rsidRPr="00C3613B">
        <w:t xml:space="preserve"> the link</w:t>
      </w:r>
      <w:r w:rsidR="00F23471" w:rsidRPr="00C3613B">
        <w:t xml:space="preserve"> </w:t>
      </w:r>
      <w:r w:rsidR="00341CBD" w:rsidRPr="00C3613B">
        <w:t xml:space="preserve">between the </w:t>
      </w:r>
      <w:r w:rsidR="00F23471" w:rsidRPr="00C3613B">
        <w:t xml:space="preserve">employment supports young people are accessing through the </w:t>
      </w:r>
      <w:r w:rsidR="00B304B8" w:rsidRPr="00C3613B">
        <w:t>NDIS and</w:t>
      </w:r>
      <w:r w:rsidR="00341CBD" w:rsidRPr="00C3613B">
        <w:t xml:space="preserve"> employment outcomes is tenuous</w:t>
      </w:r>
      <w:r w:rsidR="00F23471" w:rsidRPr="00C3613B">
        <w:t>, with NDIA figures</w:t>
      </w:r>
      <w:r w:rsidR="00F23471" w:rsidRPr="00C3613B">
        <w:rPr>
          <w:rStyle w:val="FootnoteReference"/>
          <w:rFonts w:cs="Arial"/>
        </w:rPr>
        <w:footnoteReference w:id="47"/>
      </w:r>
      <w:r w:rsidR="00F23471" w:rsidRPr="00C3613B">
        <w:t xml:space="preserve"> showing that the rate of young NDIS participants in paid work only increased by three percentage points (from 15 percent to 18 per cent) approximately a year after entry into the Scheme.</w:t>
      </w:r>
    </w:p>
    <w:p w14:paraId="6F364189" w14:textId="62A1491B" w:rsidR="00F23471" w:rsidRPr="00C3613B" w:rsidRDefault="00F23471" w:rsidP="00461996">
      <w:r w:rsidRPr="00C3613B">
        <w:t>One of the more common employment supports received by young NDIS participants is School Leaver Employment Supports (SLES</w:t>
      </w:r>
      <w:r w:rsidR="00937A34" w:rsidRPr="00C3613B">
        <w:t>)</w:t>
      </w:r>
      <w:r w:rsidRPr="00C3613B">
        <w:t xml:space="preserve">. SLES is a support designed to help young people with disability </w:t>
      </w:r>
      <w:r w:rsidRPr="00C3613B">
        <w:rPr>
          <w:color w:val="222222"/>
          <w:shd w:val="clear" w:color="auto" w:fill="FFFFFF"/>
        </w:rPr>
        <w:t>prepare, look for and gain employment as they transition from school to employment.</w:t>
      </w:r>
      <w:r w:rsidRPr="00C3613B">
        <w:t xml:space="preserve"> However, there is no clear evaluation data to determine if the support is effective </w:t>
      </w:r>
      <w:r w:rsidR="00341CBD" w:rsidRPr="00C3613B">
        <w:t>and achieving real employment outcomes</w:t>
      </w:r>
      <w:r w:rsidRPr="00C3613B">
        <w:t xml:space="preserve">. </w:t>
      </w:r>
    </w:p>
    <w:p w14:paraId="781F60A9" w14:textId="29FC1B3D" w:rsidR="00F23471" w:rsidRDefault="00F23471" w:rsidP="00461996">
      <w:r w:rsidRPr="00C3613B">
        <w:t xml:space="preserve">Acknowledging the </w:t>
      </w:r>
      <w:r w:rsidR="003F65CA" w:rsidRPr="00C3613B">
        <w:t>lack of appropriateness of the current NDIS model and its failing to factor</w:t>
      </w:r>
      <w:r w:rsidR="006D59FD" w:rsidRPr="00C3613B">
        <w:t xml:space="preserve"> in</w:t>
      </w:r>
      <w:r w:rsidR="003F65CA" w:rsidRPr="00C3613B">
        <w:t xml:space="preserve"> or cater to the distinct needs of children and young people, CYDA urges the Australian Government to </w:t>
      </w:r>
      <w:r w:rsidR="00637939" w:rsidRPr="00C3613B">
        <w:t>develop an</w:t>
      </w:r>
      <w:r w:rsidR="003F65CA" w:rsidRPr="00C3613B">
        <w:t xml:space="preserve"> NDIS practice framework for working with participants aged 0-25 to ensure service improvement and consistency across the country. This framework should be accompanied by workforce training and clear accountabilities to ensure continuity of </w:t>
      </w:r>
      <w:r w:rsidR="00341CBD" w:rsidRPr="00C3613B">
        <w:t xml:space="preserve">support </w:t>
      </w:r>
      <w:r w:rsidR="003F65CA" w:rsidRPr="00C3613B">
        <w:t>across systems</w:t>
      </w:r>
      <w:r w:rsidR="00341CBD" w:rsidRPr="00C3613B">
        <w:t xml:space="preserve"> such as education, </w:t>
      </w:r>
      <w:proofErr w:type="gramStart"/>
      <w:r w:rsidR="00341CBD" w:rsidRPr="00C3613B">
        <w:t>health</w:t>
      </w:r>
      <w:proofErr w:type="gramEnd"/>
      <w:r w:rsidR="00341CBD" w:rsidRPr="00C3613B">
        <w:t xml:space="preserve"> and child protection</w:t>
      </w:r>
      <w:r w:rsidR="003F65CA" w:rsidRPr="00C3613B">
        <w:t>. The framework should be</w:t>
      </w:r>
      <w:r w:rsidR="00753357" w:rsidRPr="00C3613B">
        <w:t xml:space="preserve"> informed by evidence-based practice and</w:t>
      </w:r>
      <w:r w:rsidR="003F65CA" w:rsidRPr="00C3613B">
        <w:t xml:space="preserve"> developed with Disability </w:t>
      </w:r>
      <w:r w:rsidR="00937A34" w:rsidRPr="00C3613B">
        <w:t>Representative</w:t>
      </w:r>
      <w:r w:rsidR="003F65CA" w:rsidRPr="00C3613B">
        <w:t xml:space="preserve"> Organisations to ensure its </w:t>
      </w:r>
      <w:r w:rsidR="00753357" w:rsidRPr="00C3613B">
        <w:t>suitability.</w:t>
      </w:r>
      <w:r w:rsidR="003F65CA" w:rsidRPr="00C3613B">
        <w:t xml:space="preserve"> </w:t>
      </w:r>
    </w:p>
    <w:p w14:paraId="47ADC4FB" w14:textId="77777777" w:rsidR="001456C1" w:rsidRPr="00C3613B" w:rsidRDefault="001456C1" w:rsidP="00461996"/>
    <w:p w14:paraId="743FB077" w14:textId="1460CD33" w:rsidR="00FC300E" w:rsidRDefault="000B7F85" w:rsidP="00C52D77">
      <w:pPr>
        <w:pStyle w:val="Heading2"/>
      </w:pPr>
      <w:bookmarkStart w:id="12" w:name="_Toc62833788"/>
      <w:r w:rsidRPr="000B7F85">
        <w:lastRenderedPageBreak/>
        <w:t>Recommendation</w:t>
      </w:r>
      <w:r w:rsidR="00FF168B">
        <w:t xml:space="preserve"> </w:t>
      </w:r>
      <w:r w:rsidR="00B070C8">
        <w:t>7</w:t>
      </w:r>
      <w:r w:rsidRPr="000B7F85">
        <w:t xml:space="preserve">: </w:t>
      </w:r>
      <w:r w:rsidR="002C0F9C">
        <w:t xml:space="preserve">Fund outcomes monitoring for children and young people with </w:t>
      </w:r>
      <w:proofErr w:type="gramStart"/>
      <w:r w:rsidR="002C0F9C">
        <w:t>disability</w:t>
      </w:r>
      <w:bookmarkEnd w:id="12"/>
      <w:proofErr w:type="gramEnd"/>
      <w:r w:rsidR="002C0F9C">
        <w:t xml:space="preserve"> </w:t>
      </w:r>
    </w:p>
    <w:p w14:paraId="35E2515A" w14:textId="449E66BB" w:rsidR="00FC56D3" w:rsidRDefault="00AE6206" w:rsidP="00FC56D3">
      <w:r>
        <w:t>The current development of the National Disability Data Asset</w:t>
      </w:r>
      <w:r w:rsidR="000E4099">
        <w:t xml:space="preserve"> (NDDA)</w:t>
      </w:r>
      <w:r>
        <w:t xml:space="preserve"> is</w:t>
      </w:r>
      <w:r w:rsidR="00CF45ED">
        <w:t xml:space="preserve"> a</w:t>
      </w:r>
      <w:r>
        <w:t xml:space="preserve"> welcomed </w:t>
      </w:r>
      <w:r w:rsidR="00D04BBE">
        <w:t xml:space="preserve">initiative. Data </w:t>
      </w:r>
      <w:r w:rsidR="006A412B">
        <w:t xml:space="preserve">collection </w:t>
      </w:r>
      <w:r w:rsidR="00D04BBE">
        <w:t>on Australian</w:t>
      </w:r>
      <w:r w:rsidR="006A412B">
        <w:t>s</w:t>
      </w:r>
      <w:r w:rsidR="00D04BBE">
        <w:t xml:space="preserve"> with disability – particularly</w:t>
      </w:r>
      <w:r w:rsidR="005235BD">
        <w:t xml:space="preserve"> </w:t>
      </w:r>
      <w:r w:rsidR="00D04BBE">
        <w:t>children and young people – has historically been lacking.</w:t>
      </w:r>
      <w:r w:rsidR="00FE3B8A">
        <w:t xml:space="preserve"> </w:t>
      </w:r>
      <w:r w:rsidR="00D04BBE">
        <w:t xml:space="preserve"> As such, </w:t>
      </w:r>
      <w:r w:rsidR="000E4099">
        <w:t xml:space="preserve">it is difficult to ascertain the extent </w:t>
      </w:r>
      <w:r w:rsidR="007B3330">
        <w:t>to</w:t>
      </w:r>
      <w:r w:rsidR="000E4099">
        <w:t xml:space="preserve"> which people with disability are disadvantaged or thriving in different systems and areas of community life. </w:t>
      </w:r>
      <w:r w:rsidR="00FC56D3">
        <w:t>An example of this i</w:t>
      </w:r>
      <w:r w:rsidR="00637939">
        <w:t>s</w:t>
      </w:r>
      <w:r w:rsidR="00FC56D3">
        <w:t xml:space="preserve"> data collected on children and young people in the youth justice system. While </w:t>
      </w:r>
      <w:r w:rsidR="00637939">
        <w:t>the</w:t>
      </w:r>
      <w:r w:rsidR="00FC56D3">
        <w:t xml:space="preserve"> limited data that is available indicates a significant majority of detainees have one or more disability</w:t>
      </w:r>
      <w:r w:rsidR="007B3330">
        <w:t>,</w:t>
      </w:r>
      <w:r w:rsidR="00FC56D3">
        <w:t xml:space="preserve"> there is not clear </w:t>
      </w:r>
      <w:r w:rsidR="00637939">
        <w:t>or consistent information</w:t>
      </w:r>
      <w:r w:rsidR="00FC56D3">
        <w:t xml:space="preserve"> on the number of children and young people with disability within youth justice systems, the support they receive, and </w:t>
      </w:r>
      <w:r w:rsidR="00637939">
        <w:t>the outcomes they experience.</w:t>
      </w:r>
    </w:p>
    <w:p w14:paraId="6F8D3927" w14:textId="1EE3B484" w:rsidR="00AE6206" w:rsidRDefault="00FC56D3" w:rsidP="00E22F05">
      <w:pPr>
        <w:spacing w:before="0" w:line="259" w:lineRule="auto"/>
      </w:pPr>
      <w:r>
        <w:t>While the ND</w:t>
      </w:r>
      <w:r w:rsidR="00637939">
        <w:t>D</w:t>
      </w:r>
      <w:r>
        <w:t xml:space="preserve">A is a good start in ensuring that children and young people are adequately supported and do not ‘fall in the cracks in and between systems’, the current investment </w:t>
      </w:r>
      <w:r w:rsidR="000E4099">
        <w:t>is only for an 18-month pilot – a relatively short timeframe, particularly consider</w:t>
      </w:r>
      <w:r w:rsidR="00341CBD">
        <w:t>ing</w:t>
      </w:r>
      <w:r w:rsidR="000E4099">
        <w:t xml:space="preserve"> how many life transitions (which hold potential risks or opportunities) </w:t>
      </w:r>
      <w:r w:rsidR="00E22F05">
        <w:t>children and young people experience in the first 25 years of their life.</w:t>
      </w:r>
      <w:r>
        <w:t xml:space="preserve"> </w:t>
      </w:r>
      <w:r w:rsidR="00E22F05">
        <w:t>With the pilot being so short, the NDDA cannot capture longitudinal data or medium to longer term outcomes. This risks government, advocates and services not fully understanding</w:t>
      </w:r>
      <w:r w:rsidR="000B7F85">
        <w:t xml:space="preserve"> or misinterpretin</w:t>
      </w:r>
      <w:r w:rsidR="005235BD">
        <w:t>g</w:t>
      </w:r>
      <w:r w:rsidR="00E22F05">
        <w:t xml:space="preserve"> </w:t>
      </w:r>
      <w:r w:rsidR="005235BD">
        <w:t>what</w:t>
      </w:r>
      <w:r w:rsidR="000B7F85">
        <w:t xml:space="preserve"> is working, what is</w:t>
      </w:r>
      <w:r w:rsidR="005235BD">
        <w:t xml:space="preserve"> not</w:t>
      </w:r>
      <w:r w:rsidR="000B7F85">
        <w:t>, and where future interventions or change is needed</w:t>
      </w:r>
      <w:r w:rsidR="005235BD">
        <w:t>. Ultimately, the effectiveness of the NDAA will be undermined if</w:t>
      </w:r>
      <w:r w:rsidR="00637939">
        <w:t xml:space="preserve"> it is</w:t>
      </w:r>
      <w:r w:rsidR="005235BD">
        <w:t xml:space="preserve"> not fully funded. </w:t>
      </w:r>
    </w:p>
    <w:p w14:paraId="741E5FBD" w14:textId="41746887" w:rsidR="00CA2037" w:rsidRDefault="00637939" w:rsidP="00CA2037">
      <w:r>
        <w:t>CYDA recommends</w:t>
      </w:r>
      <w:r w:rsidR="00CA2037">
        <w:t xml:space="preserve"> the NDDA is fully funded, and that its development and implementation genuinely engage advocates and experts around specific cohorts to ensure the right data is collected to monitor outcomes over time.</w:t>
      </w:r>
    </w:p>
    <w:p w14:paraId="273BFD72" w14:textId="77777777" w:rsidR="00EB4F23" w:rsidRDefault="00EB4F23" w:rsidP="00A30A24">
      <w:pPr>
        <w:spacing w:before="0" w:line="259" w:lineRule="auto"/>
        <w:rPr>
          <w:b/>
          <w:bCs/>
        </w:rPr>
      </w:pPr>
    </w:p>
    <w:p w14:paraId="68328358" w14:textId="2C5A26C4" w:rsidR="00FF168B" w:rsidRDefault="00FF168B" w:rsidP="002C0F9C">
      <w:pPr>
        <w:pStyle w:val="Heading2"/>
      </w:pPr>
      <w:bookmarkStart w:id="13" w:name="_Toc62833789"/>
      <w:r w:rsidRPr="00AC2619">
        <w:t xml:space="preserve">Recommendation </w:t>
      </w:r>
      <w:r w:rsidR="00B070C8">
        <w:t>8</w:t>
      </w:r>
      <w:r w:rsidRPr="00AC2619">
        <w:t xml:space="preserve">: </w:t>
      </w:r>
      <w:r w:rsidR="00C52D77">
        <w:t>Ensure the</w:t>
      </w:r>
      <w:r w:rsidRPr="00AC2619">
        <w:t xml:space="preserve"> </w:t>
      </w:r>
      <w:r w:rsidR="00AC2619">
        <w:t xml:space="preserve">Royal Commission into the </w:t>
      </w:r>
      <w:r w:rsidR="009250A2">
        <w:t>Violence, Abuse, Neglect and Exploitation of People with Disability</w:t>
      </w:r>
      <w:r w:rsidR="0014133C">
        <w:t xml:space="preserve"> </w:t>
      </w:r>
      <w:r w:rsidR="002C0F9C">
        <w:t xml:space="preserve">can meet its terms of </w:t>
      </w:r>
      <w:proofErr w:type="gramStart"/>
      <w:r w:rsidR="002C0F9C">
        <w:t>reference</w:t>
      </w:r>
      <w:bookmarkEnd w:id="13"/>
      <w:proofErr w:type="gramEnd"/>
    </w:p>
    <w:p w14:paraId="4D04F0C2" w14:textId="7466F411" w:rsidR="0054408D" w:rsidRDefault="009250A2" w:rsidP="001456C1">
      <w:pPr>
        <w:spacing w:line="259" w:lineRule="auto"/>
      </w:pPr>
      <w:r>
        <w:t>People with disability have historically</w:t>
      </w:r>
      <w:r w:rsidR="00637939">
        <w:t xml:space="preserve"> been</w:t>
      </w:r>
      <w:r>
        <w:t xml:space="preserve"> – and continue to be – subject to </w:t>
      </w:r>
      <w:r w:rsidR="005F46BC">
        <w:t xml:space="preserve">widespread and </w:t>
      </w:r>
      <w:r>
        <w:t xml:space="preserve">high rates of violence, </w:t>
      </w:r>
      <w:proofErr w:type="gramStart"/>
      <w:r>
        <w:t>abuse</w:t>
      </w:r>
      <w:proofErr w:type="gramEnd"/>
      <w:r>
        <w:t xml:space="preserve"> and neglect. </w:t>
      </w:r>
      <w:r w:rsidRPr="009250A2">
        <w:t>The</w:t>
      </w:r>
      <w:r>
        <w:t xml:space="preserve"> ongoing </w:t>
      </w:r>
      <w:r w:rsidRPr="009250A2">
        <w:t>Royal Commission into the Violence, Abuse, Neglect and Exploitation of People with Disability</w:t>
      </w:r>
      <w:r w:rsidR="00C26CC2">
        <w:t xml:space="preserve"> (Disability Royal Commission)</w:t>
      </w:r>
      <w:r>
        <w:t xml:space="preserve"> </w:t>
      </w:r>
      <w:r w:rsidR="00637939">
        <w:t>is</w:t>
      </w:r>
      <w:r>
        <w:t xml:space="preserve"> a significant </w:t>
      </w:r>
      <w:r w:rsidR="0054408D">
        <w:t xml:space="preserve">piece of work that has helped provide a more comprehensive understanding of this mistreatment, including the settings where </w:t>
      </w:r>
      <w:r w:rsidR="00637939">
        <w:t>it</w:t>
      </w:r>
      <w:r w:rsidR="0054408D">
        <w:t xml:space="preserve"> occur</w:t>
      </w:r>
      <w:r w:rsidR="00637939">
        <w:t>s</w:t>
      </w:r>
      <w:r w:rsidR="0054408D">
        <w:t>, why it occurs, and the impact it has on individuals and the wider community. Importantly, the</w:t>
      </w:r>
      <w:r w:rsidR="00C26CC2">
        <w:t xml:space="preserve"> Disability </w:t>
      </w:r>
      <w:r w:rsidR="0054408D">
        <w:t>Royal Commission has identified system failures and</w:t>
      </w:r>
      <w:r w:rsidR="00363093">
        <w:t xml:space="preserve"> a</w:t>
      </w:r>
      <w:r w:rsidR="0054408D">
        <w:t xml:space="preserve"> lack of safeguards which, if improved, could prevent future incidents of violence and mistreatment.</w:t>
      </w:r>
    </w:p>
    <w:p w14:paraId="6E4EE799" w14:textId="6F184A76" w:rsidR="0091348C" w:rsidRDefault="005F46BC" w:rsidP="00A30A24">
      <w:pPr>
        <w:spacing w:before="0" w:line="259" w:lineRule="auto"/>
      </w:pPr>
      <w:r>
        <w:t xml:space="preserve">The work of the </w:t>
      </w:r>
      <w:r w:rsidR="00C26CC2">
        <w:t xml:space="preserve">Disability </w:t>
      </w:r>
      <w:r>
        <w:t>Royal Commission is a</w:t>
      </w:r>
      <w:r w:rsidR="00341CBD">
        <w:t>n enormous</w:t>
      </w:r>
      <w:r>
        <w:t xml:space="preserve"> undertaking. Unlike other </w:t>
      </w:r>
      <w:r w:rsidR="0091348C">
        <w:t xml:space="preserve">Royal Commissions </w:t>
      </w:r>
      <w:r>
        <w:t xml:space="preserve">and inquiries which </w:t>
      </w:r>
      <w:r w:rsidR="00755B8F">
        <w:t xml:space="preserve">tend to have a targeted focus on </w:t>
      </w:r>
      <w:proofErr w:type="gramStart"/>
      <w:r w:rsidR="00755B8F">
        <w:t>particular settings</w:t>
      </w:r>
      <w:proofErr w:type="gramEnd"/>
      <w:r w:rsidR="00755B8F">
        <w:t xml:space="preserve"> or systems, the scope of the Disability Royal Commission is vast and complex. </w:t>
      </w:r>
      <w:r w:rsidR="00C26CC2">
        <w:t xml:space="preserve">It was initially expected that a final report, including </w:t>
      </w:r>
      <w:r w:rsidR="00755B8F">
        <w:t xml:space="preserve">recommendations, </w:t>
      </w:r>
      <w:r w:rsidR="00C26CC2">
        <w:t xml:space="preserve">would be released </w:t>
      </w:r>
      <w:r w:rsidR="00755B8F">
        <w:t xml:space="preserve">by 22 April 2022. However, due to the broad </w:t>
      </w:r>
      <w:r w:rsidR="00C26CC2">
        <w:t xml:space="preserve">terms of reference and the areas of concern that have arisen through the hearings </w:t>
      </w:r>
      <w:r w:rsidR="00CF45ED">
        <w:t>as well as</w:t>
      </w:r>
      <w:r w:rsidR="00C26CC2">
        <w:t xml:space="preserve"> interruptions caused by COVID-19, the Commissioners have called for the </w:t>
      </w:r>
      <w:r w:rsidR="00363093">
        <w:t>C</w:t>
      </w:r>
      <w:r w:rsidR="00C26CC2">
        <w:t>ommission to be extended until September 2023.</w:t>
      </w:r>
    </w:p>
    <w:p w14:paraId="14BB5E61" w14:textId="6B4AC751" w:rsidR="00B42201" w:rsidRDefault="0014133C" w:rsidP="00A30A24">
      <w:pPr>
        <w:spacing w:before="0" w:line="259" w:lineRule="auto"/>
      </w:pPr>
      <w:r w:rsidRPr="0014133C">
        <w:t xml:space="preserve">CYDA echoes this call </w:t>
      </w:r>
      <w:r w:rsidR="002D1F92">
        <w:t xml:space="preserve">and recommends </w:t>
      </w:r>
      <w:r w:rsidR="00CF45ED">
        <w:t xml:space="preserve">the </w:t>
      </w:r>
      <w:r w:rsidR="002D1F92">
        <w:t>allocation of funds for</w:t>
      </w:r>
      <w:r w:rsidR="00CF45ED">
        <w:t xml:space="preserve"> the</w:t>
      </w:r>
      <w:r w:rsidR="002D1F92">
        <w:t xml:space="preserve"> extension of Disability Royal Commission should be reflected in the upcoming Budget. This </w:t>
      </w:r>
      <w:r w:rsidR="001E5330">
        <w:t>includes</w:t>
      </w:r>
      <w:r w:rsidR="002D1F92">
        <w:t xml:space="preserve"> funding support services for individuals as well funding advocacy and representative organisations to help ensure th</w:t>
      </w:r>
      <w:r w:rsidR="001E5330">
        <w:t>at</w:t>
      </w:r>
      <w:r w:rsidR="002D1F92">
        <w:t xml:space="preserve"> </w:t>
      </w:r>
      <w:r w:rsidR="001E5330">
        <w:t>different groups</w:t>
      </w:r>
      <w:r w:rsidR="002D1F92">
        <w:t xml:space="preserve"> within the disability community are </w:t>
      </w:r>
      <w:r w:rsidR="001E5330">
        <w:t>included on an equal basis</w:t>
      </w:r>
      <w:r w:rsidR="00A669E2">
        <w:t xml:space="preserve"> for the life of the Royal Commission.</w:t>
      </w:r>
    </w:p>
    <w:p w14:paraId="2ECD5D65" w14:textId="77777777" w:rsidR="001456C1" w:rsidRPr="0014133C" w:rsidRDefault="001456C1" w:rsidP="00A30A24">
      <w:pPr>
        <w:spacing w:before="0" w:line="259" w:lineRule="auto"/>
        <w:rPr>
          <w:rStyle w:val="FootnoteReference"/>
        </w:rPr>
      </w:pPr>
    </w:p>
    <w:p w14:paraId="73334263" w14:textId="04799713" w:rsidR="0065371E" w:rsidRDefault="001E5330" w:rsidP="002C0F9C">
      <w:pPr>
        <w:pStyle w:val="Heading2"/>
      </w:pPr>
      <w:bookmarkStart w:id="14" w:name="_Toc62833790"/>
      <w:r w:rsidRPr="001E5330">
        <w:lastRenderedPageBreak/>
        <w:t xml:space="preserve">Recommendation </w:t>
      </w:r>
      <w:r w:rsidR="00B070C8">
        <w:t>9</w:t>
      </w:r>
      <w:r w:rsidRPr="001E5330">
        <w:t>:</w:t>
      </w:r>
      <w:r>
        <w:t xml:space="preserve"> </w:t>
      </w:r>
      <w:r w:rsidR="00300625">
        <w:t xml:space="preserve">Adequately resource </w:t>
      </w:r>
      <w:r w:rsidR="00A95078">
        <w:t xml:space="preserve">the new National Disability Strategy’s </w:t>
      </w:r>
      <w:r w:rsidR="00300625">
        <w:t xml:space="preserve">actions and </w:t>
      </w:r>
      <w:proofErr w:type="gramStart"/>
      <w:r w:rsidR="00300625">
        <w:t>strategies</w:t>
      </w:r>
      <w:bookmarkEnd w:id="14"/>
      <w:proofErr w:type="gramEnd"/>
      <w:r w:rsidR="00300625">
        <w:t xml:space="preserve"> </w:t>
      </w:r>
    </w:p>
    <w:p w14:paraId="612E0CDB" w14:textId="3C2C4B19" w:rsidR="00CB5695" w:rsidRDefault="0046219D" w:rsidP="001456C1">
      <w:pPr>
        <w:spacing w:line="259" w:lineRule="auto"/>
      </w:pPr>
      <w:r>
        <w:t xml:space="preserve">While the initial </w:t>
      </w:r>
      <w:r w:rsidRPr="0046219D">
        <w:rPr>
          <w:i/>
          <w:iCs/>
        </w:rPr>
        <w:t>National Disability Strategy 2010-2020</w:t>
      </w:r>
      <w:r>
        <w:rPr>
          <w:i/>
          <w:iCs/>
        </w:rPr>
        <w:t xml:space="preserve"> </w:t>
      </w:r>
      <w:r w:rsidR="00CA11A4">
        <w:t xml:space="preserve">vision and scope was ambitious and welcomed by the disability community, </w:t>
      </w:r>
      <w:r w:rsidR="00363093">
        <w:t>10 years on it is widely acknowledged</w:t>
      </w:r>
      <w:r w:rsidR="00CA11A4">
        <w:t xml:space="preserve"> the Strategy fell flat in delivering </w:t>
      </w:r>
      <w:r w:rsidR="006B0081">
        <w:t>many of its</w:t>
      </w:r>
      <w:r w:rsidR="00CA11A4">
        <w:t xml:space="preserve"> </w:t>
      </w:r>
      <w:r w:rsidR="006B0081">
        <w:t>intended</w:t>
      </w:r>
      <w:r w:rsidR="000642BD">
        <w:t xml:space="preserve"> outcomes</w:t>
      </w:r>
      <w:r w:rsidR="00CA11A4">
        <w:t xml:space="preserve">. </w:t>
      </w:r>
      <w:r w:rsidR="00CB5695">
        <w:t>A review into</w:t>
      </w:r>
      <w:r w:rsidR="000642BD">
        <w:t xml:space="preserve"> the</w:t>
      </w:r>
      <w:r w:rsidR="00CB5695">
        <w:t xml:space="preserve"> </w:t>
      </w:r>
      <w:r w:rsidR="00CB5695" w:rsidRPr="00CB5695">
        <w:t>implementation of the Strategy</w:t>
      </w:r>
      <w:r w:rsidR="00CB5695">
        <w:t xml:space="preserve"> commissioned by the </w:t>
      </w:r>
      <w:r w:rsidR="00363093">
        <w:t>DSS</w:t>
      </w:r>
      <w:r w:rsidR="00363093">
        <w:rPr>
          <w:rStyle w:val="FootnoteReference"/>
        </w:rPr>
        <w:footnoteReference w:id="48"/>
      </w:r>
      <w:r w:rsidR="00CB5695">
        <w:t xml:space="preserve"> and </w:t>
      </w:r>
      <w:r w:rsidR="000642BD">
        <w:t>a Senate Inquiry into the d</w:t>
      </w:r>
      <w:r w:rsidR="000642BD" w:rsidRPr="000642BD">
        <w:t>elivery of outcomes</w:t>
      </w:r>
      <w:r w:rsidR="00AB48E5">
        <w:rPr>
          <w:rStyle w:val="FootnoteReference"/>
        </w:rPr>
        <w:footnoteReference w:id="49"/>
      </w:r>
      <w:r w:rsidR="000642BD" w:rsidRPr="000642BD">
        <w:t xml:space="preserve"> under the Strategy</w:t>
      </w:r>
      <w:r w:rsidR="000642BD">
        <w:t xml:space="preserve"> both identified that the</w:t>
      </w:r>
      <w:r w:rsidR="003E5923">
        <w:t>re was a</w:t>
      </w:r>
      <w:r w:rsidR="000642BD">
        <w:t xml:space="preserve"> </w:t>
      </w:r>
      <w:r w:rsidR="009153DD">
        <w:t>lack of a coordinat</w:t>
      </w:r>
      <w:r w:rsidR="006B0081">
        <w:t>ed</w:t>
      </w:r>
      <w:r w:rsidR="009153DD">
        <w:t xml:space="preserve"> approach </w:t>
      </w:r>
      <w:r w:rsidR="00DE37AA">
        <w:t>across policy areas and jurisdictions to implement the Strategy and produce tangible outcomes.</w:t>
      </w:r>
      <w:r w:rsidR="009153DD">
        <w:t xml:space="preserve">  </w:t>
      </w:r>
    </w:p>
    <w:p w14:paraId="37A61E03" w14:textId="4BB42403" w:rsidR="000642BD" w:rsidRDefault="000642BD">
      <w:pPr>
        <w:spacing w:before="0" w:line="259" w:lineRule="auto"/>
      </w:pPr>
      <w:r>
        <w:t>A new Strategy is currently being created and is expected to be finalised in 2021</w:t>
      </w:r>
      <w:r w:rsidR="00341CBD">
        <w:t xml:space="preserve">. </w:t>
      </w:r>
      <w:r w:rsidR="00B676C5">
        <w:t>The</w:t>
      </w:r>
      <w:r w:rsidR="00341CBD">
        <w:t xml:space="preserve"> new </w:t>
      </w:r>
      <w:r w:rsidR="00B676C5">
        <w:t>National Disability Strategy (NDS)</w:t>
      </w:r>
      <w:r w:rsidR="00341CBD">
        <w:t xml:space="preserve"> requires a specific focus on children and young people with disability</w:t>
      </w:r>
      <w:r w:rsidR="00B676C5">
        <w:t>,</w:t>
      </w:r>
      <w:r w:rsidR="00341CBD">
        <w:t xml:space="preserve"> which will have lifelong benefits</w:t>
      </w:r>
      <w:r w:rsidR="00363093">
        <w:t>.</w:t>
      </w:r>
      <w:r w:rsidR="00B676C5">
        <w:t xml:space="preserve"> </w:t>
      </w:r>
      <w:r w:rsidR="00D50072">
        <w:t xml:space="preserve">CYDA </w:t>
      </w:r>
      <w:r w:rsidR="006A412B">
        <w:t>urges the government to allocate</w:t>
      </w:r>
      <w:r w:rsidR="00D50072">
        <w:t xml:space="preserve"> </w:t>
      </w:r>
      <w:r w:rsidR="006A412B">
        <w:t>sufficient</w:t>
      </w:r>
      <w:r w:rsidR="00D50072">
        <w:t xml:space="preserve"> funding </w:t>
      </w:r>
      <w:r w:rsidR="00492849">
        <w:t xml:space="preserve">to implement the governance and delivery of </w:t>
      </w:r>
      <w:r w:rsidR="00B676C5">
        <w:t xml:space="preserve">the National Disability Strategy, and to ensure children and young people with disability and their representative organisations are </w:t>
      </w:r>
      <w:r w:rsidR="006A412B">
        <w:t>meaningfully include</w:t>
      </w:r>
      <w:r w:rsidR="00B676C5">
        <w:t>d</w:t>
      </w:r>
      <w:r w:rsidR="006A412B">
        <w:t xml:space="preserve"> </w:t>
      </w:r>
      <w:r w:rsidR="00B676C5">
        <w:t>in guiding</w:t>
      </w:r>
      <w:r w:rsidR="006A412B">
        <w:t xml:space="preserve"> and monitor</w:t>
      </w:r>
      <w:r w:rsidR="00B676C5">
        <w:t>ing</w:t>
      </w:r>
      <w:r w:rsidR="006A412B">
        <w:t xml:space="preserve"> the progress of the Strategy’s actions and strategies.</w:t>
      </w:r>
      <w:r w:rsidR="00AB48E5">
        <w:t xml:space="preserve"> </w:t>
      </w:r>
    </w:p>
    <w:p w14:paraId="17BB57BE" w14:textId="77777777" w:rsidR="002C0F9C" w:rsidRPr="002C0F9C" w:rsidRDefault="002C0F9C" w:rsidP="005C241F"/>
    <w:p w14:paraId="0921C1CF" w14:textId="669A43AD" w:rsidR="002C0F9C" w:rsidRDefault="002C0F9C" w:rsidP="002C0F9C">
      <w:pPr>
        <w:pStyle w:val="Heading2"/>
      </w:pPr>
      <w:bookmarkStart w:id="15" w:name="_Toc62833791"/>
      <w:r>
        <w:t xml:space="preserve">Recommendation </w:t>
      </w:r>
      <w:r w:rsidR="00B070C8">
        <w:t>10</w:t>
      </w:r>
      <w:r>
        <w:t xml:space="preserve">: </w:t>
      </w:r>
      <w:r w:rsidR="00A669E2">
        <w:t>Boost funding for</w:t>
      </w:r>
      <w:r>
        <w:t xml:space="preserve"> </w:t>
      </w:r>
      <w:r w:rsidR="00A669E2">
        <w:t>s</w:t>
      </w:r>
      <w:r>
        <w:t xml:space="preserve">ystemic </w:t>
      </w:r>
      <w:r w:rsidR="0091348C">
        <w:t xml:space="preserve">and individual </w:t>
      </w:r>
      <w:r>
        <w:t>advocacy for children and young people with disability for better outcomes</w:t>
      </w:r>
      <w:bookmarkEnd w:id="15"/>
      <w:r>
        <w:t xml:space="preserve"> </w:t>
      </w:r>
    </w:p>
    <w:p w14:paraId="37570F16" w14:textId="615C4470" w:rsidR="0091348C" w:rsidRDefault="0091348C" w:rsidP="001456C1">
      <w:pPr>
        <w:spacing w:line="259" w:lineRule="auto"/>
      </w:pPr>
      <w:r>
        <w:t>Systemic advocacy conducted by human-rights based Disability Representative Organisations</w:t>
      </w:r>
      <w:r w:rsidR="00A669E2">
        <w:t>,</w:t>
      </w:r>
      <w:r>
        <w:t xml:space="preserve"> like CYDA</w:t>
      </w:r>
      <w:r w:rsidR="00A669E2">
        <w:t>,</w:t>
      </w:r>
      <w:r>
        <w:t xml:space="preserve"> </w:t>
      </w:r>
      <w:r w:rsidR="00A669E2">
        <w:t>work</w:t>
      </w:r>
      <w:r>
        <w:t xml:space="preserve"> </w:t>
      </w:r>
      <w:r w:rsidR="00363093">
        <w:t>towards</w:t>
      </w:r>
      <w:r>
        <w:t xml:space="preserve"> reform and change of social systems and structures that discriminate against, or contribute to, the abuse and neglect of people with disabilit</w:t>
      </w:r>
      <w:r w:rsidR="007B3330">
        <w:t>y.</w:t>
      </w:r>
    </w:p>
    <w:p w14:paraId="763119EA" w14:textId="0C78CCCA" w:rsidR="00A669E2" w:rsidRDefault="0091348C" w:rsidP="0091348C">
      <w:pPr>
        <w:spacing w:before="0" w:line="259" w:lineRule="auto"/>
      </w:pPr>
      <w:r>
        <w:t>The systemic issues affecting the rights of children and young people with disability are extremely broad, spanning a large range of government portfolios and topic areas including child protection, health, education, employment, the NDIS, quality and safeguarding</w:t>
      </w:r>
      <w:r w:rsidR="00A669E2">
        <w:t>, to name a few</w:t>
      </w:r>
      <w:r>
        <w:t>. This means that children and young people’s voices need to be heard through participatory processes across a wide range of policy areas, facilitated by their national representative organisation.</w:t>
      </w:r>
    </w:p>
    <w:p w14:paraId="6B98826C" w14:textId="25783BAE" w:rsidR="006B0081" w:rsidRDefault="00A669E2">
      <w:pPr>
        <w:spacing w:before="0" w:line="259" w:lineRule="auto"/>
      </w:pPr>
      <w:r>
        <w:t>Disability Representative Organisations assist the Australian Government by providing systemic advocacy to ensure inclusive and evidence based public policy. For example, the way CYDA conducts systematic advocacy for children and young people with disability includes; conducting research and conducting consultations and focus groups with our members; r</w:t>
      </w:r>
      <w:r w:rsidRPr="00A669E2">
        <w:t xml:space="preserve">esponding to government inquiries and reviews to ensure the needs of children and young people with disability </w:t>
      </w:r>
      <w:r>
        <w:t>are met; b</w:t>
      </w:r>
      <w:r w:rsidRPr="00A669E2">
        <w:t>eing a member of government advisory groups to provide advice</w:t>
      </w:r>
      <w:r w:rsidR="00363093">
        <w:t>;</w:t>
      </w:r>
      <w:r>
        <w:t xml:space="preserve"> and f</w:t>
      </w:r>
      <w:r w:rsidRPr="00A669E2">
        <w:t>acilitating collaboration with and across a range of sectors on the rights of children and young people with disability.</w:t>
      </w:r>
      <w:r>
        <w:t xml:space="preserve"> </w:t>
      </w:r>
    </w:p>
    <w:p w14:paraId="3FEDACC6" w14:textId="453272A5" w:rsidR="0091348C" w:rsidRPr="0091348C" w:rsidRDefault="0091348C" w:rsidP="0091348C">
      <w:r w:rsidRPr="0091348C">
        <w:t>“Individual advocacy is when a professional advocate supports a person with a particular problem. An individual advocate either supports a person one-to-one or supports them to advocate for themselves. The advocate will support someone with an issue they</w:t>
      </w:r>
      <w:r w:rsidR="005C241F">
        <w:t xml:space="preserve"> have</w:t>
      </w:r>
      <w:r w:rsidRPr="0091348C">
        <w:t xml:space="preserve"> not been able to solve on their own. An individual advocate must be independent, only be on the side of the person with disability, and only represent their interests</w:t>
      </w:r>
      <w:r w:rsidR="00143DF8">
        <w:t>.</w:t>
      </w:r>
      <w:r w:rsidRPr="0091348C">
        <w:t>”</w:t>
      </w:r>
      <w:r w:rsidRPr="0091348C">
        <w:rPr>
          <w:rStyle w:val="FootnoteReference"/>
        </w:rPr>
        <w:footnoteReference w:id="50"/>
      </w:r>
    </w:p>
    <w:p w14:paraId="1C09F21C" w14:textId="23AD7F88" w:rsidR="0091348C" w:rsidRDefault="0091348C" w:rsidP="0091348C">
      <w:r>
        <w:lastRenderedPageBreak/>
        <w:t xml:space="preserve">The main source of funding for </w:t>
      </w:r>
      <w:r w:rsidR="00B676C5">
        <w:t xml:space="preserve">individual </w:t>
      </w:r>
      <w:r>
        <w:t xml:space="preserve">disability advocacy is through the National Disability Advocacy Program (NDAP) funded by the Australian Department of Social Services, and in some states and territories individual advocacy services receive additional funding from these governments. </w:t>
      </w:r>
    </w:p>
    <w:p w14:paraId="4499EF44" w14:textId="3C4E5DFB" w:rsidR="0091348C" w:rsidRDefault="0091348C" w:rsidP="0091348C">
      <w:r>
        <w:t>While there is a shortage of</w:t>
      </w:r>
      <w:r w:rsidR="00363093">
        <w:t xml:space="preserve"> all</w:t>
      </w:r>
      <w:r>
        <w:t xml:space="preserve"> individual advocacy services across Australia, with long wait lists and many organisations closing their books for periods of time, there is a critical gap for children and young people with disability as there are very few specific advocacy services for this cohort, and limited capacity to meet their needs within mainstream disability advocacy services.</w:t>
      </w:r>
    </w:p>
    <w:p w14:paraId="607CEE66" w14:textId="1A4A278B" w:rsidR="0091348C" w:rsidRDefault="0091348C" w:rsidP="0091348C">
      <w:r>
        <w:t>CYDA receives hundreds of calls every year from families needing individual advocacy assistance. In our experience, where there are specific state-based organisations for children and young people with disability</w:t>
      </w:r>
      <w:r>
        <w:rPr>
          <w:rStyle w:val="FootnoteReference"/>
        </w:rPr>
        <w:footnoteReference w:id="51"/>
      </w:r>
      <w:r>
        <w:t>, it is easier for young people with disability and their families</w:t>
      </w:r>
      <w:r w:rsidR="007B3330">
        <w:t>/caregivers</w:t>
      </w:r>
      <w:r>
        <w:t xml:space="preserve"> to have their issues resolved. In many states and territories there are no specialised services, and we hear </w:t>
      </w:r>
      <w:r w:rsidR="00363093">
        <w:t>numerous</w:t>
      </w:r>
      <w:r>
        <w:t xml:space="preserve"> reports of the difficulty young people and families have in accessing the support they need. </w:t>
      </w:r>
    </w:p>
    <w:p w14:paraId="38968CA4" w14:textId="10A9FDB8" w:rsidR="0091348C" w:rsidRDefault="0091348C" w:rsidP="0091348C">
      <w:r>
        <w:t>For the rights of children and young people with disability</w:t>
      </w:r>
      <w:r w:rsidR="00354865">
        <w:t xml:space="preserve"> in Australia</w:t>
      </w:r>
      <w:r>
        <w:t xml:space="preserve"> to be upheld in line with the CRPD</w:t>
      </w:r>
      <w:r w:rsidR="00363093">
        <w:t>,</w:t>
      </w:r>
      <w:r>
        <w:t xml:space="preserve"> we believe there should be a boost in funding for both systemic and individual advocacy. Research shows this will bring a return on investment to governments (by diverting issues away from other government services and systems) of $3.50 for every $1 invested.</w:t>
      </w:r>
      <w:r>
        <w:rPr>
          <w:rStyle w:val="FootnoteReference"/>
        </w:rPr>
        <w:footnoteReference w:id="52"/>
      </w:r>
      <w:r>
        <w:t xml:space="preserve"> While this cost-benefit analysis examined individual advocacy for people with disability across the life course, it is reasonable to assume the return would be greater when investing in advocacy services for children and young people with disability given the evidence around early intervention and the importance of development opportunities in the 0-25 year period for later life outcomes.</w:t>
      </w:r>
    </w:p>
    <w:p w14:paraId="4878B96F" w14:textId="63492F74" w:rsidR="00545046" w:rsidRDefault="00545046">
      <w:pPr>
        <w:spacing w:before="0" w:line="259" w:lineRule="auto"/>
        <w:rPr>
          <w:rFonts w:ascii="Helvetica" w:eastAsiaTheme="majorEastAsia" w:hAnsi="Helvetica" w:cstheme="majorBidi"/>
          <w:color w:val="538135" w:themeColor="accent6" w:themeShade="BF"/>
          <w:sz w:val="32"/>
          <w:szCs w:val="32"/>
        </w:rPr>
      </w:pPr>
    </w:p>
    <w:sectPr w:rsidR="00545046" w:rsidSect="00DE1871">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BB9EE" w14:textId="77777777" w:rsidR="00D26A7D" w:rsidRDefault="00D26A7D" w:rsidP="005F356E">
      <w:pPr>
        <w:spacing w:before="0" w:after="0" w:line="240" w:lineRule="auto"/>
      </w:pPr>
      <w:r>
        <w:separator/>
      </w:r>
    </w:p>
  </w:endnote>
  <w:endnote w:type="continuationSeparator" w:id="0">
    <w:p w14:paraId="24926C52" w14:textId="77777777" w:rsidR="00D26A7D" w:rsidRDefault="00D26A7D" w:rsidP="005F356E">
      <w:pPr>
        <w:spacing w:before="0" w:after="0" w:line="240" w:lineRule="auto"/>
      </w:pPr>
      <w:r>
        <w:continuationSeparator/>
      </w:r>
    </w:p>
  </w:endnote>
  <w:endnote w:type="continuationNotice" w:id="1">
    <w:p w14:paraId="1308F6B7" w14:textId="77777777" w:rsidR="00D26A7D" w:rsidRDefault="00D26A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137F" w14:textId="1B9D5B52" w:rsidR="00D26A7D" w:rsidRDefault="00D26A7D" w:rsidP="0080354B">
    <w:pPr>
      <w:pStyle w:val="Footer"/>
      <w:spacing w:before="120"/>
      <w:jc w:val="center"/>
    </w:pPr>
    <w:r w:rsidRPr="006D5539">
      <w:rPr>
        <w:noProof/>
        <w:lang w:eastAsia="en-AU"/>
      </w:rPr>
      <w:drawing>
        <wp:inline distT="0" distB="0" distL="0" distR="0" wp14:anchorId="0986C12A" wp14:editId="72481159">
          <wp:extent cx="2186940" cy="689610"/>
          <wp:effectExtent l="0" t="0" r="3810" b="0"/>
          <wp:docPr id="5" name="Picture 5" descr="Children and Young 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ildren and Young People with Disability Australi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inline>
      </w:drawing>
    </w:r>
  </w:p>
  <w:p w14:paraId="7671A814" w14:textId="77777777" w:rsidR="00D26A7D" w:rsidRDefault="00D26A7D"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1B34" w14:textId="77777777" w:rsidR="00D26A7D" w:rsidRDefault="00D26A7D" w:rsidP="0080354B">
    <w:pPr>
      <w:pStyle w:val="Footer"/>
      <w:pBdr>
        <w:top w:val="single" w:sz="24" w:space="1" w:color="538135" w:themeColor="accent6" w:themeShade="BF"/>
      </w:pBdr>
      <w:spacing w:before="120"/>
      <w:jc w:val="center"/>
    </w:pPr>
  </w:p>
  <w:p w14:paraId="05DF6CEA" w14:textId="280CF407" w:rsidR="00D26A7D" w:rsidRDefault="00D26A7D" w:rsidP="009C26DB">
    <w:pPr>
      <w:pStyle w:val="Footer"/>
      <w:jc w:val="right"/>
    </w:pPr>
    <w:r>
      <w:t>CYDA Pre-Budget Submission 2021-22</w:t>
    </w:r>
    <w:r>
      <w:tab/>
    </w:r>
    <w:sdt>
      <w:sdtPr>
        <w:id w:val="-92503179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157C" w14:textId="77777777" w:rsidR="00D26A7D" w:rsidRDefault="00D26A7D" w:rsidP="005F356E">
      <w:pPr>
        <w:spacing w:before="0" w:after="0" w:line="240" w:lineRule="auto"/>
      </w:pPr>
      <w:r>
        <w:separator/>
      </w:r>
    </w:p>
  </w:footnote>
  <w:footnote w:type="continuationSeparator" w:id="0">
    <w:p w14:paraId="480B8131" w14:textId="77777777" w:rsidR="00D26A7D" w:rsidRDefault="00D26A7D" w:rsidP="005F356E">
      <w:pPr>
        <w:spacing w:before="0" w:after="0" w:line="240" w:lineRule="auto"/>
      </w:pPr>
      <w:r>
        <w:continuationSeparator/>
      </w:r>
    </w:p>
  </w:footnote>
  <w:footnote w:type="continuationNotice" w:id="1">
    <w:p w14:paraId="41F7995E" w14:textId="77777777" w:rsidR="00D26A7D" w:rsidRDefault="00D26A7D">
      <w:pPr>
        <w:spacing w:before="0" w:after="0" w:line="240" w:lineRule="auto"/>
      </w:pPr>
    </w:p>
  </w:footnote>
  <w:footnote w:id="2">
    <w:p w14:paraId="77A95AFE" w14:textId="77777777" w:rsidR="00D26A7D" w:rsidRPr="00E87ECA" w:rsidRDefault="00D26A7D" w:rsidP="00D33697">
      <w:pPr>
        <w:pStyle w:val="FootnoteText"/>
        <w:rPr>
          <w:sz w:val="18"/>
          <w:szCs w:val="18"/>
          <w:lang w:val="en-US"/>
        </w:rPr>
      </w:pPr>
      <w:r w:rsidRPr="00E87ECA">
        <w:rPr>
          <w:rStyle w:val="FootnoteReference"/>
          <w:sz w:val="18"/>
          <w:szCs w:val="18"/>
        </w:rPr>
        <w:footnoteRef/>
      </w:r>
      <w:r w:rsidRPr="00E87ECA">
        <w:rPr>
          <w:sz w:val="18"/>
          <w:szCs w:val="18"/>
        </w:rPr>
        <w:t xml:space="preserve"> Gerison Lansdown, ‘Children with Disabilities: Chapter 6’ In Human Rights and Disability Advocacy, Maya Sabatello and Marianne Schulze (eds), (University of Pennsylvania Press, 2013).</w:t>
      </w:r>
    </w:p>
  </w:footnote>
  <w:footnote w:id="3">
    <w:p w14:paraId="0597A113" w14:textId="1756E7E4" w:rsidR="00D26A7D" w:rsidRPr="006D59FD" w:rsidRDefault="00D26A7D">
      <w:pPr>
        <w:pStyle w:val="FootnoteText"/>
        <w:rPr>
          <w:rFonts w:cs="Arial"/>
          <w:sz w:val="18"/>
          <w:szCs w:val="18"/>
        </w:rPr>
      </w:pPr>
      <w:r w:rsidRPr="006D59FD">
        <w:rPr>
          <w:rStyle w:val="FootnoteReference"/>
          <w:rFonts w:cs="Arial"/>
          <w:sz w:val="18"/>
          <w:szCs w:val="18"/>
        </w:rPr>
        <w:footnoteRef/>
      </w:r>
      <w:r w:rsidRPr="006D59FD">
        <w:rPr>
          <w:rFonts w:cs="Arial"/>
          <w:sz w:val="18"/>
          <w:szCs w:val="18"/>
        </w:rPr>
        <w:t xml:space="preserve"> 7.6% of children aged 0–14 years and 9.3% of young people aged 15–24 years have disability; 14.8% of people with disability are aged 0–24 years. AIHW. (2020). </w:t>
      </w:r>
      <w:r w:rsidRPr="006D59FD">
        <w:rPr>
          <w:rFonts w:cs="Arial"/>
          <w:i/>
          <w:iCs/>
          <w:sz w:val="18"/>
          <w:szCs w:val="18"/>
        </w:rPr>
        <w:t xml:space="preserve">People with disability in Australia. Available at </w:t>
      </w:r>
      <w:hyperlink r:id="rId1" w:history="1">
        <w:r w:rsidRPr="006D59FD">
          <w:rPr>
            <w:rStyle w:val="Hyperlink"/>
            <w:rFonts w:cs="Arial"/>
            <w:sz w:val="18"/>
            <w:szCs w:val="18"/>
          </w:rPr>
          <w:t>People with disability in Australia, Prevalence of disability - Australian Institute of Health and Welfare (aihw.gov.au)</w:t>
        </w:r>
      </w:hyperlink>
    </w:p>
  </w:footnote>
  <w:footnote w:id="4">
    <w:p w14:paraId="5F155699" w14:textId="7FBDCED1" w:rsidR="00D26A7D" w:rsidRPr="006D59FD" w:rsidRDefault="00D26A7D" w:rsidP="00D40735">
      <w:pPr>
        <w:pStyle w:val="FootnoteText"/>
        <w:rPr>
          <w:rFonts w:cs="Arial"/>
          <w:sz w:val="18"/>
          <w:szCs w:val="18"/>
        </w:rPr>
      </w:pPr>
      <w:r w:rsidRPr="006D59FD">
        <w:rPr>
          <w:rStyle w:val="FootnoteReference"/>
          <w:rFonts w:cs="Arial"/>
          <w:sz w:val="18"/>
          <w:szCs w:val="18"/>
        </w:rPr>
        <w:footnoteRef/>
      </w:r>
      <w:r w:rsidRPr="006D59FD">
        <w:rPr>
          <w:rFonts w:cs="Arial"/>
          <w:sz w:val="18"/>
          <w:szCs w:val="18"/>
        </w:rPr>
        <w:t xml:space="preserve"> Social Deck. (2019</w:t>
      </w:r>
      <w:r w:rsidRPr="006D59FD">
        <w:rPr>
          <w:rFonts w:cs="Arial"/>
          <w:i/>
          <w:iCs/>
          <w:sz w:val="18"/>
          <w:szCs w:val="18"/>
        </w:rPr>
        <w:t>). Right to opportunity: Consultation report to help shape the next national disability strategy</w:t>
      </w:r>
      <w:r w:rsidRPr="006D59FD">
        <w:rPr>
          <w:rFonts w:cs="Arial"/>
          <w:sz w:val="18"/>
          <w:szCs w:val="18"/>
        </w:rPr>
        <w:t xml:space="preserve">. Available at </w:t>
      </w:r>
      <w:hyperlink r:id="rId2" w:history="1">
        <w:r w:rsidRPr="006D59FD">
          <w:rPr>
            <w:rStyle w:val="Hyperlink"/>
            <w:rFonts w:cs="Arial"/>
            <w:sz w:val="18"/>
            <w:szCs w:val="18"/>
          </w:rPr>
          <w:t>https://www.dss.gov.au/sites/default/files/documents/12_2019/ndsbeyond2020-fullreport-161219_0.pdf</w:t>
        </w:r>
      </w:hyperlink>
      <w:r w:rsidRPr="006D59FD">
        <w:rPr>
          <w:rFonts w:cs="Arial"/>
          <w:sz w:val="18"/>
          <w:szCs w:val="18"/>
        </w:rPr>
        <w:t>, p. 64</w:t>
      </w:r>
    </w:p>
  </w:footnote>
  <w:footnote w:id="5">
    <w:p w14:paraId="4DFAE25D" w14:textId="37C8DB22" w:rsidR="00D26A7D" w:rsidRPr="006D59FD" w:rsidRDefault="00D26A7D" w:rsidP="00BA3610">
      <w:pPr>
        <w:pStyle w:val="FootnoteText"/>
        <w:rPr>
          <w:rFonts w:cs="Arial"/>
          <w:sz w:val="18"/>
          <w:szCs w:val="18"/>
          <w:lang w:val="en-US"/>
        </w:rPr>
      </w:pPr>
      <w:r w:rsidRPr="006D59FD">
        <w:rPr>
          <w:rStyle w:val="FootnoteReference"/>
          <w:rFonts w:cs="Arial"/>
          <w:sz w:val="18"/>
          <w:szCs w:val="18"/>
        </w:rPr>
        <w:footnoteRef/>
      </w:r>
      <w:r w:rsidRPr="006D59FD">
        <w:rPr>
          <w:rFonts w:cs="Arial"/>
          <w:sz w:val="18"/>
          <w:szCs w:val="18"/>
        </w:rPr>
        <w:t xml:space="preserve"> </w:t>
      </w:r>
      <w:r w:rsidRPr="006D59FD">
        <w:rPr>
          <w:rFonts w:cs="Arial"/>
          <w:i/>
          <w:iCs/>
          <w:sz w:val="18"/>
          <w:szCs w:val="18"/>
          <w:lang w:val="en-US"/>
        </w:rPr>
        <w:t xml:space="preserve">“Co-design is a process used to create products, services and programs. It brings people in as 'design partners', giving a voice to those who are often excluded from the design process. Decision-making, design, information </w:t>
      </w:r>
      <w:proofErr w:type="gramStart"/>
      <w:r w:rsidRPr="006D59FD">
        <w:rPr>
          <w:rFonts w:cs="Arial"/>
          <w:i/>
          <w:iCs/>
          <w:sz w:val="18"/>
          <w:szCs w:val="18"/>
          <w:lang w:val="en-US"/>
        </w:rPr>
        <w:t>sharing</w:t>
      </w:r>
      <w:proofErr w:type="gramEnd"/>
      <w:r w:rsidRPr="006D59FD">
        <w:rPr>
          <w:rFonts w:cs="Arial"/>
          <w:i/>
          <w:iCs/>
          <w:sz w:val="18"/>
          <w:szCs w:val="18"/>
          <w:lang w:val="en-US"/>
        </w:rPr>
        <w:t xml:space="preserve"> and project planning are among the equal roles between trained designers and design partners.”</w:t>
      </w:r>
      <w:r w:rsidRPr="006D59FD">
        <w:rPr>
          <w:rFonts w:cs="Arial"/>
          <w:sz w:val="18"/>
          <w:szCs w:val="18"/>
          <w:lang w:val="en-US"/>
        </w:rPr>
        <w:t xml:space="preserve"> See, Future Social Service Institute (2018). RMIT University, </w:t>
      </w:r>
      <w:proofErr w:type="gramStart"/>
      <w:r w:rsidRPr="006D59FD">
        <w:rPr>
          <w:rFonts w:cs="Arial"/>
          <w:sz w:val="18"/>
          <w:szCs w:val="18"/>
          <w:lang w:val="en-US"/>
        </w:rPr>
        <w:t>What</w:t>
      </w:r>
      <w:proofErr w:type="gramEnd"/>
      <w:r w:rsidRPr="006D59FD">
        <w:rPr>
          <w:rFonts w:cs="Arial"/>
          <w:sz w:val="18"/>
          <w:szCs w:val="18"/>
          <w:lang w:val="en-US"/>
        </w:rPr>
        <w:t xml:space="preserve"> is Co-design? https://www.futuresocial.org/wp-content/uploads/2018/08/FSSI-CoDesign-one-pager.pdf</w:t>
      </w:r>
    </w:p>
  </w:footnote>
  <w:footnote w:id="6">
    <w:p w14:paraId="06C6ED4B" w14:textId="4238BF65" w:rsidR="00D26A7D" w:rsidRPr="00EB7D6E" w:rsidRDefault="00D26A7D" w:rsidP="008C34C6">
      <w:pPr>
        <w:pStyle w:val="FootnoteText"/>
        <w:rPr>
          <w:rFonts w:cs="Arial"/>
          <w:sz w:val="18"/>
          <w:szCs w:val="18"/>
          <w:lang w:val="en-US"/>
        </w:rPr>
      </w:pPr>
      <w:r w:rsidRPr="006D59FD">
        <w:rPr>
          <w:rStyle w:val="FootnoteReference"/>
          <w:rFonts w:cs="Arial"/>
          <w:sz w:val="18"/>
          <w:szCs w:val="18"/>
        </w:rPr>
        <w:footnoteRef/>
      </w:r>
      <w:r w:rsidRPr="006D59FD">
        <w:rPr>
          <w:rFonts w:cs="Arial"/>
          <w:sz w:val="18"/>
          <w:szCs w:val="18"/>
        </w:rPr>
        <w:t xml:space="preserve"> </w:t>
      </w:r>
      <w:r>
        <w:rPr>
          <w:rFonts w:cs="Arial"/>
          <w:sz w:val="18"/>
          <w:szCs w:val="18"/>
          <w:lang w:val="en-US"/>
        </w:rPr>
        <w:t>ibid.</w:t>
      </w:r>
    </w:p>
  </w:footnote>
  <w:footnote w:id="7">
    <w:p w14:paraId="484536DC" w14:textId="69F535A9" w:rsidR="00D26A7D" w:rsidRPr="006D59FD" w:rsidRDefault="00D26A7D">
      <w:pPr>
        <w:pStyle w:val="FootnoteText"/>
        <w:rPr>
          <w:rFonts w:cs="Arial"/>
          <w:sz w:val="18"/>
          <w:szCs w:val="18"/>
        </w:rPr>
      </w:pPr>
      <w:r w:rsidRPr="006D59FD">
        <w:rPr>
          <w:rStyle w:val="FootnoteReference"/>
          <w:rFonts w:cs="Arial"/>
          <w:sz w:val="18"/>
          <w:szCs w:val="18"/>
        </w:rPr>
        <w:footnoteRef/>
      </w:r>
      <w:r w:rsidRPr="006D59FD">
        <w:rPr>
          <w:rFonts w:cs="Arial"/>
          <w:sz w:val="18"/>
          <w:szCs w:val="18"/>
        </w:rPr>
        <w:t xml:space="preserve"> Department of Education. (2019). </w:t>
      </w:r>
      <w:r w:rsidRPr="006D59FD">
        <w:rPr>
          <w:rFonts w:cs="Arial"/>
          <w:i/>
          <w:iCs/>
          <w:sz w:val="18"/>
          <w:szCs w:val="18"/>
        </w:rPr>
        <w:t>Benefits of Educational Attainment: Employment and income support</w:t>
      </w:r>
      <w:r w:rsidRPr="006D59FD">
        <w:rPr>
          <w:rFonts w:cs="Arial"/>
          <w:sz w:val="18"/>
          <w:szCs w:val="18"/>
        </w:rPr>
        <w:t xml:space="preserve">. Available at </w:t>
      </w:r>
      <w:hyperlink r:id="rId3" w:history="1">
        <w:r w:rsidRPr="006D59FD">
          <w:rPr>
            <w:rStyle w:val="Hyperlink"/>
            <w:rFonts w:cs="Arial"/>
            <w:sz w:val="18"/>
            <w:szCs w:val="18"/>
          </w:rPr>
          <w:t>https://www.dese.gov.au/data-and-research-schooling/resources/employment-and-income-support</w:t>
        </w:r>
      </w:hyperlink>
    </w:p>
  </w:footnote>
  <w:footnote w:id="8">
    <w:p w14:paraId="526D8300" w14:textId="695AADAC" w:rsidR="00D26A7D" w:rsidRPr="006D59FD" w:rsidRDefault="00D26A7D" w:rsidP="00F91C77">
      <w:pPr>
        <w:pStyle w:val="FootnoteText"/>
        <w:rPr>
          <w:rFonts w:cs="Arial"/>
          <w:sz w:val="18"/>
          <w:szCs w:val="18"/>
        </w:rPr>
      </w:pPr>
      <w:r w:rsidRPr="006D59FD">
        <w:rPr>
          <w:rStyle w:val="FootnoteReference"/>
          <w:rFonts w:cs="Arial"/>
          <w:sz w:val="18"/>
          <w:szCs w:val="18"/>
        </w:rPr>
        <w:footnoteRef/>
      </w:r>
      <w:r w:rsidRPr="006D59FD">
        <w:rPr>
          <w:rFonts w:cs="Arial"/>
          <w:sz w:val="18"/>
          <w:szCs w:val="18"/>
        </w:rPr>
        <w:t xml:space="preserve"> Deloitte Access Economics. (2016). </w:t>
      </w:r>
      <w:r w:rsidRPr="006D59FD">
        <w:rPr>
          <w:rFonts w:cs="Arial"/>
          <w:i/>
          <w:iCs/>
          <w:sz w:val="18"/>
          <w:szCs w:val="18"/>
        </w:rPr>
        <w:t>The economic impact of improving schooling quality</w:t>
      </w:r>
      <w:r w:rsidRPr="006D59FD">
        <w:rPr>
          <w:rFonts w:cs="Arial"/>
          <w:sz w:val="18"/>
          <w:szCs w:val="18"/>
        </w:rPr>
        <w:t xml:space="preserve">. Department of Education and Training: Canberra. </w:t>
      </w:r>
    </w:p>
    <w:p w14:paraId="10FCEF1A" w14:textId="77777777" w:rsidR="00D26A7D" w:rsidRPr="006D59FD" w:rsidRDefault="00D26A7D">
      <w:pPr>
        <w:pStyle w:val="FootnoteText"/>
        <w:rPr>
          <w:rFonts w:cs="Arial"/>
          <w:sz w:val="18"/>
          <w:szCs w:val="18"/>
        </w:rPr>
      </w:pPr>
    </w:p>
  </w:footnote>
  <w:footnote w:id="9">
    <w:p w14:paraId="09C2CE22" w14:textId="799C6077" w:rsidR="00D26A7D" w:rsidRPr="00C3613B" w:rsidRDefault="00D26A7D">
      <w:pPr>
        <w:pStyle w:val="FootnoteText"/>
        <w:rPr>
          <w:rFonts w:cs="Arial"/>
          <w:sz w:val="18"/>
          <w:szCs w:val="18"/>
        </w:rPr>
      </w:pPr>
      <w:r w:rsidRPr="006D59FD">
        <w:rPr>
          <w:rStyle w:val="FootnoteReference"/>
          <w:rFonts w:cs="Arial"/>
          <w:sz w:val="18"/>
          <w:szCs w:val="18"/>
        </w:rPr>
        <w:footnoteRef/>
      </w:r>
      <w:r w:rsidRPr="006D59FD">
        <w:rPr>
          <w:rFonts w:cs="Arial"/>
          <w:sz w:val="18"/>
          <w:szCs w:val="18"/>
        </w:rPr>
        <w:t xml:space="preserve"> ibid. </w:t>
      </w:r>
    </w:p>
  </w:footnote>
  <w:footnote w:id="10">
    <w:p w14:paraId="38A3F8DE" w14:textId="002C82AB" w:rsidR="00D26A7D" w:rsidRPr="00C3613B" w:rsidRDefault="00D26A7D" w:rsidP="00A30A24">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Cologon, K. (2010). </w:t>
      </w:r>
      <w:r w:rsidRPr="00C3613B">
        <w:rPr>
          <w:rFonts w:cs="Arial"/>
          <w:i/>
          <w:iCs/>
          <w:sz w:val="18"/>
          <w:szCs w:val="18"/>
        </w:rPr>
        <w:t>Towards inclusive education: A necessary process of transformation</w:t>
      </w:r>
      <w:r w:rsidRPr="00C3613B">
        <w:rPr>
          <w:rFonts w:cs="Arial"/>
          <w:sz w:val="18"/>
          <w:szCs w:val="18"/>
        </w:rPr>
        <w:t xml:space="preserve">. Available at </w:t>
      </w:r>
      <w:hyperlink r:id="rId4" w:history="1">
        <w:r w:rsidRPr="00C3613B">
          <w:rPr>
            <w:rStyle w:val="Hyperlink"/>
            <w:rFonts w:cs="Arial"/>
            <w:sz w:val="18"/>
            <w:szCs w:val="18"/>
          </w:rPr>
          <w:t>towards_inclusive_education_a_necessary_transformation.pdf (cyda.org.au)</w:t>
        </w:r>
      </w:hyperlink>
    </w:p>
  </w:footnote>
  <w:footnote w:id="11">
    <w:p w14:paraId="733CF2C0" w14:textId="0FC5D422"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CYDA’s 2019 national survey found that approximately half of respondents disagreed or strongly disagreed that students with disability received adequate support in their </w:t>
      </w:r>
      <w:proofErr w:type="gramStart"/>
      <w:r w:rsidRPr="00C3613B">
        <w:rPr>
          <w:rFonts w:cs="Arial"/>
          <w:sz w:val="18"/>
          <w:szCs w:val="18"/>
        </w:rPr>
        <w:t>education;</w:t>
      </w:r>
      <w:proofErr w:type="gramEnd"/>
      <w:r w:rsidRPr="00C3613B">
        <w:rPr>
          <w:rFonts w:cs="Arial"/>
          <w:sz w:val="18"/>
          <w:szCs w:val="18"/>
        </w:rPr>
        <w:t xml:space="preserve"> Children and Young People with Disability. (2019). </w:t>
      </w:r>
      <w:r w:rsidRPr="00C3613B">
        <w:rPr>
          <w:rFonts w:cs="Arial"/>
          <w:i/>
          <w:iCs/>
          <w:sz w:val="18"/>
          <w:szCs w:val="18"/>
        </w:rPr>
        <w:t xml:space="preserve">Time for change: The state of play for inclusion of students with disability: Results from the 2019 CYDA National Education Survey. </w:t>
      </w:r>
      <w:r w:rsidRPr="00C3613B">
        <w:rPr>
          <w:rFonts w:cs="Arial"/>
          <w:sz w:val="18"/>
          <w:szCs w:val="18"/>
        </w:rPr>
        <w:t xml:space="preserve">Available at </w:t>
      </w:r>
      <w:hyperlink r:id="rId5" w:history="1">
        <w:r w:rsidRPr="00C3613B">
          <w:rPr>
            <w:rStyle w:val="Hyperlink"/>
            <w:rFonts w:cs="Arial"/>
            <w:sz w:val="18"/>
            <w:szCs w:val="18"/>
          </w:rPr>
          <w:t>https://www.cyda.org.au/images/pdf/time_for_change_2019_education_survey_results.pdf</w:t>
        </w:r>
      </w:hyperlink>
      <w:r w:rsidRPr="00C3613B">
        <w:rPr>
          <w:rFonts w:cs="Arial"/>
          <w:sz w:val="18"/>
          <w:szCs w:val="18"/>
        </w:rPr>
        <w:t xml:space="preserve">  </w:t>
      </w:r>
    </w:p>
  </w:footnote>
  <w:footnote w:id="12">
    <w:p w14:paraId="4767648F" w14:textId="77777777" w:rsidR="00D26A7D" w:rsidRPr="00C3613B" w:rsidRDefault="00D26A7D" w:rsidP="00F10B41">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16.1 per cent compared with 6.9 per cent of participants without </w:t>
      </w:r>
      <w:proofErr w:type="gramStart"/>
      <w:r w:rsidRPr="00C3613B">
        <w:rPr>
          <w:rFonts w:cs="Arial"/>
          <w:sz w:val="18"/>
          <w:szCs w:val="18"/>
        </w:rPr>
        <w:t>disability;</w:t>
      </w:r>
      <w:proofErr w:type="gramEnd"/>
      <w:r w:rsidRPr="00C3613B">
        <w:rPr>
          <w:rFonts w:cs="Arial"/>
          <w:sz w:val="18"/>
          <w:szCs w:val="18"/>
        </w:rPr>
        <w:t xml:space="preserve"> Mission Australia. (2019). </w:t>
      </w:r>
      <w:r w:rsidRPr="00C3613B">
        <w:rPr>
          <w:rFonts w:cs="Arial"/>
          <w:i/>
          <w:iCs/>
          <w:sz w:val="18"/>
          <w:szCs w:val="18"/>
        </w:rPr>
        <w:t xml:space="preserve">Young, </w:t>
      </w:r>
      <w:proofErr w:type="gramStart"/>
      <w:r w:rsidRPr="00C3613B">
        <w:rPr>
          <w:rFonts w:cs="Arial"/>
          <w:i/>
          <w:iCs/>
          <w:sz w:val="18"/>
          <w:szCs w:val="18"/>
        </w:rPr>
        <w:t>willing</w:t>
      </w:r>
      <w:proofErr w:type="gramEnd"/>
      <w:r w:rsidRPr="00C3613B">
        <w:rPr>
          <w:rFonts w:cs="Arial"/>
          <w:i/>
          <w:iCs/>
          <w:sz w:val="18"/>
          <w:szCs w:val="18"/>
        </w:rPr>
        <w:t xml:space="preserve"> and able</w:t>
      </w:r>
      <w:r w:rsidRPr="00C3613B">
        <w:rPr>
          <w:rFonts w:cs="Arial"/>
          <w:sz w:val="18"/>
          <w:szCs w:val="18"/>
        </w:rPr>
        <w:t xml:space="preserve">: </w:t>
      </w:r>
      <w:r w:rsidRPr="00C3613B">
        <w:rPr>
          <w:rFonts w:cs="Arial"/>
          <w:i/>
          <w:iCs/>
          <w:sz w:val="18"/>
          <w:szCs w:val="18"/>
        </w:rPr>
        <w:t>Youth Survey Disability Report 2019</w:t>
      </w:r>
      <w:r w:rsidRPr="00C3613B">
        <w:rPr>
          <w:rFonts w:cs="Arial"/>
          <w:sz w:val="18"/>
          <w:szCs w:val="18"/>
        </w:rPr>
        <w:t>. Available at https://www.missionaustralia.com.au/publications/youth-survey/1610-young-willing-and-able-youth-survey-disability-report-2019/file</w:t>
      </w:r>
    </w:p>
  </w:footnote>
  <w:footnote w:id="13">
    <w:p w14:paraId="4FC98A6C" w14:textId="6056F6D3"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10.9 per cent of young people aged 15 to 24 have left school before the age of 16 compared to 3.6 per cent of young people without disability; AIHW. (2020). </w:t>
      </w:r>
      <w:r w:rsidRPr="00C3613B">
        <w:rPr>
          <w:rFonts w:cs="Arial"/>
          <w:i/>
          <w:iCs/>
          <w:sz w:val="18"/>
          <w:szCs w:val="18"/>
        </w:rPr>
        <w:t xml:space="preserve">People with disability in Australia. </w:t>
      </w:r>
      <w:r w:rsidRPr="00C3613B">
        <w:rPr>
          <w:rFonts w:cs="Arial"/>
          <w:sz w:val="18"/>
          <w:szCs w:val="18"/>
        </w:rPr>
        <w:t xml:space="preserve">Available at </w:t>
      </w:r>
      <w:hyperlink r:id="rId6" w:history="1">
        <w:r w:rsidRPr="00C3613B">
          <w:rPr>
            <w:rStyle w:val="Hyperlink"/>
            <w:rFonts w:cs="Arial"/>
            <w:sz w:val="18"/>
            <w:szCs w:val="18"/>
          </w:rPr>
          <w:t>https://www.aihw.gov.au/reports/disability/people-with-disability-in-australia/contents/education-and-skills/educational-attainment</w:t>
        </w:r>
      </w:hyperlink>
      <w:r w:rsidRPr="00C3613B">
        <w:rPr>
          <w:rFonts w:cs="Arial"/>
          <w:sz w:val="18"/>
          <w:szCs w:val="18"/>
        </w:rPr>
        <w:t xml:space="preserve"> </w:t>
      </w:r>
    </w:p>
  </w:footnote>
  <w:footnote w:id="14">
    <w:p w14:paraId="7F1E5572" w14:textId="26B6A329"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AIHW. (2020). </w:t>
      </w:r>
      <w:r w:rsidRPr="00C3613B">
        <w:rPr>
          <w:rFonts w:cs="Arial"/>
          <w:i/>
          <w:iCs/>
          <w:sz w:val="18"/>
          <w:szCs w:val="18"/>
        </w:rPr>
        <w:t xml:space="preserve">People with disability in Australia. </w:t>
      </w:r>
      <w:r w:rsidRPr="00C3613B">
        <w:rPr>
          <w:rFonts w:cs="Arial"/>
          <w:sz w:val="18"/>
          <w:szCs w:val="18"/>
        </w:rPr>
        <w:t xml:space="preserve">Available at </w:t>
      </w:r>
      <w:hyperlink r:id="rId7" w:history="1">
        <w:r w:rsidRPr="00C3613B">
          <w:rPr>
            <w:rStyle w:val="Hyperlink"/>
            <w:rFonts w:cs="Arial"/>
            <w:sz w:val="18"/>
            <w:szCs w:val="18"/>
          </w:rPr>
          <w:t>https://www.aihw.gov.au/reports/disability/people-with-disability-in-australia/contents/education-and-skills/educational-attainment</w:t>
        </w:r>
      </w:hyperlink>
      <w:r w:rsidRPr="00C3613B">
        <w:rPr>
          <w:rFonts w:cs="Arial"/>
          <w:sz w:val="18"/>
          <w:szCs w:val="18"/>
        </w:rPr>
        <w:t xml:space="preserve"> </w:t>
      </w:r>
    </w:p>
  </w:footnote>
  <w:footnote w:id="15">
    <w:p w14:paraId="57216782" w14:textId="77777777" w:rsidR="00D26A7D" w:rsidRPr="00C3613B" w:rsidRDefault="00D26A7D" w:rsidP="000E0BF7">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Cologon, K. (2019). </w:t>
      </w:r>
      <w:r w:rsidRPr="00C3613B">
        <w:rPr>
          <w:rFonts w:cs="Arial"/>
          <w:i/>
          <w:iCs/>
          <w:sz w:val="18"/>
          <w:szCs w:val="18"/>
        </w:rPr>
        <w:t>Towards inclusive education: A necessary process of transformation</w:t>
      </w:r>
      <w:r w:rsidRPr="00C3613B">
        <w:rPr>
          <w:rFonts w:cs="Arial"/>
          <w:sz w:val="18"/>
          <w:szCs w:val="18"/>
        </w:rPr>
        <w:t>, for CYDA, p.5.</w:t>
      </w:r>
    </w:p>
  </w:footnote>
  <w:footnote w:id="16">
    <w:p w14:paraId="378CC52A" w14:textId="1ABA7E9B" w:rsidR="00D26A7D" w:rsidRPr="00C3613B" w:rsidRDefault="00D26A7D" w:rsidP="000E0BF7">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ibid.</w:t>
      </w:r>
    </w:p>
  </w:footnote>
  <w:footnote w:id="17">
    <w:p w14:paraId="0EEB6F5C" w14:textId="77777777" w:rsidR="00D26A7D" w:rsidRPr="00C3613B" w:rsidRDefault="00D26A7D" w:rsidP="000E0BF7">
      <w:pPr>
        <w:pStyle w:val="FootnoteText"/>
        <w:rPr>
          <w:rFonts w:cs="Arial"/>
          <w:sz w:val="18"/>
          <w:szCs w:val="18"/>
          <w:lang w:val="en-US"/>
        </w:rPr>
      </w:pPr>
      <w:r w:rsidRPr="00C3613B">
        <w:rPr>
          <w:rStyle w:val="FootnoteReference"/>
          <w:rFonts w:cs="Arial"/>
          <w:sz w:val="18"/>
          <w:szCs w:val="18"/>
        </w:rPr>
        <w:footnoteRef/>
      </w:r>
      <w:r w:rsidRPr="00C3613B">
        <w:rPr>
          <w:rFonts w:cs="Arial"/>
          <w:sz w:val="18"/>
          <w:szCs w:val="18"/>
        </w:rPr>
        <w:t xml:space="preserve"> Cologon, K. (2013) </w:t>
      </w:r>
      <w:r w:rsidRPr="00C3613B">
        <w:rPr>
          <w:rFonts w:cs="Arial"/>
          <w:i/>
          <w:iCs/>
          <w:sz w:val="18"/>
          <w:szCs w:val="18"/>
        </w:rPr>
        <w:t xml:space="preserve">Inclusion in Education: Towards Equality for Students with Disability, </w:t>
      </w:r>
      <w:r w:rsidRPr="00C3613B">
        <w:rPr>
          <w:rFonts w:cs="Arial"/>
          <w:sz w:val="18"/>
          <w:szCs w:val="18"/>
        </w:rPr>
        <w:t xml:space="preserve">Children with Disability Australia, Melbourne, p.3.  </w:t>
      </w:r>
    </w:p>
  </w:footnote>
  <w:footnote w:id="18">
    <w:p w14:paraId="6481782D" w14:textId="41905602" w:rsidR="00D26A7D" w:rsidRPr="00C3613B" w:rsidRDefault="00D26A7D" w:rsidP="00C52D77">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Concluding Observations: UN Report on Australia’s Review of the Convention on the Rights of Persons with Disability (CRPD), 24 September 2019</w:t>
      </w:r>
    </w:p>
  </w:footnote>
  <w:footnote w:id="19">
    <w:p w14:paraId="30978F9D" w14:textId="77777777" w:rsidR="00D26A7D" w:rsidRPr="00C3613B" w:rsidRDefault="00D26A7D" w:rsidP="002C0F9C">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Mavropoulou, S., Mann, G., &amp; Carrington, S. (2021). The divide between inclusive education policy and</w:t>
      </w:r>
    </w:p>
    <w:p w14:paraId="416D4EC7" w14:textId="77777777" w:rsidR="00D26A7D" w:rsidRPr="00C3613B" w:rsidRDefault="00D26A7D" w:rsidP="002C0F9C">
      <w:pPr>
        <w:pStyle w:val="FootnoteText"/>
        <w:rPr>
          <w:rFonts w:cs="Arial"/>
          <w:sz w:val="18"/>
          <w:szCs w:val="18"/>
        </w:rPr>
      </w:pPr>
      <w:r w:rsidRPr="00C3613B">
        <w:rPr>
          <w:rFonts w:cs="Arial"/>
          <w:sz w:val="18"/>
          <w:szCs w:val="18"/>
        </w:rPr>
        <w:t xml:space="preserve">practice in Australia and the way forward, </w:t>
      </w:r>
      <w:r w:rsidRPr="00C3613B">
        <w:rPr>
          <w:rFonts w:cs="Arial"/>
          <w:i/>
          <w:iCs/>
          <w:sz w:val="18"/>
          <w:szCs w:val="18"/>
        </w:rPr>
        <w:t>Journal of Policy and Practice in Intellectual Disabilities</w:t>
      </w:r>
      <w:r w:rsidRPr="00C3613B">
        <w:rPr>
          <w:rFonts w:cs="Arial"/>
          <w:sz w:val="18"/>
          <w:szCs w:val="18"/>
        </w:rPr>
        <w:t>.  </w:t>
      </w:r>
    </w:p>
    <w:p w14:paraId="197412D8" w14:textId="77777777" w:rsidR="00D26A7D" w:rsidRPr="00C3613B" w:rsidRDefault="00736EAF" w:rsidP="002C0F9C">
      <w:pPr>
        <w:pStyle w:val="FootnoteText"/>
        <w:rPr>
          <w:rFonts w:cs="Arial"/>
          <w:sz w:val="18"/>
          <w:szCs w:val="18"/>
        </w:rPr>
      </w:pPr>
      <w:hyperlink r:id="rId8" w:history="1">
        <w:r w:rsidR="00D26A7D" w:rsidRPr="00C3613B">
          <w:rPr>
            <w:rStyle w:val="Hyperlink"/>
            <w:rFonts w:cs="Arial"/>
            <w:b/>
            <w:bCs/>
            <w:sz w:val="18"/>
            <w:szCs w:val="18"/>
          </w:rPr>
          <w:t>https://doi.org/10.1111/jppi.12373</w:t>
        </w:r>
      </w:hyperlink>
    </w:p>
  </w:footnote>
  <w:footnote w:id="20">
    <w:p w14:paraId="39400418" w14:textId="77777777" w:rsidR="00D26A7D" w:rsidRPr="00C3613B" w:rsidRDefault="00D26A7D" w:rsidP="00A15DF4">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Aged 15-25 years </w:t>
      </w:r>
      <w:proofErr w:type="gramStart"/>
      <w:r w:rsidRPr="00C3613B">
        <w:rPr>
          <w:rFonts w:cs="Arial"/>
          <w:sz w:val="18"/>
          <w:szCs w:val="18"/>
        </w:rPr>
        <w:t>old</w:t>
      </w:r>
      <w:proofErr w:type="gramEnd"/>
    </w:p>
  </w:footnote>
  <w:footnote w:id="21">
    <w:p w14:paraId="67E9D625" w14:textId="77777777" w:rsidR="00D26A7D" w:rsidRPr="00C3613B" w:rsidRDefault="00D26A7D" w:rsidP="00A15DF4">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Aged 26-64 years </w:t>
      </w:r>
      <w:proofErr w:type="gramStart"/>
      <w:r w:rsidRPr="00C3613B">
        <w:rPr>
          <w:rFonts w:cs="Arial"/>
          <w:sz w:val="18"/>
          <w:szCs w:val="18"/>
        </w:rPr>
        <w:t>old</w:t>
      </w:r>
      <w:proofErr w:type="gramEnd"/>
    </w:p>
  </w:footnote>
  <w:footnote w:id="22">
    <w:p w14:paraId="10C949F2" w14:textId="77777777" w:rsidR="00D26A7D" w:rsidRPr="00C3613B" w:rsidRDefault="00D26A7D" w:rsidP="00A15DF4">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AIHW. (2020). </w:t>
      </w:r>
      <w:r w:rsidRPr="00C3613B">
        <w:rPr>
          <w:rFonts w:cs="Arial"/>
          <w:i/>
          <w:iCs/>
          <w:sz w:val="18"/>
          <w:szCs w:val="18"/>
        </w:rPr>
        <w:t xml:space="preserve">People with disability. </w:t>
      </w:r>
      <w:r w:rsidRPr="00C3613B">
        <w:rPr>
          <w:rFonts w:cs="Arial"/>
          <w:sz w:val="18"/>
          <w:szCs w:val="18"/>
        </w:rPr>
        <w:t xml:space="preserve">Available at </w:t>
      </w:r>
      <w:hyperlink r:id="rId9" w:history="1">
        <w:r w:rsidRPr="00C3613B">
          <w:rPr>
            <w:rStyle w:val="Hyperlink"/>
            <w:rFonts w:cs="Arial"/>
            <w:sz w:val="18"/>
            <w:szCs w:val="18"/>
          </w:rPr>
          <w:t>https://www.aihw.gov.au/reports/disability/people-with-disability-in-australia/contents/employment/unemployment</w:t>
        </w:r>
      </w:hyperlink>
    </w:p>
  </w:footnote>
  <w:footnote w:id="23">
    <w:p w14:paraId="0372D7FE" w14:textId="66CEF0D0" w:rsidR="00D26A7D" w:rsidRPr="00C3613B" w:rsidRDefault="00D26A7D" w:rsidP="00A15DF4">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23.1% per cent rate of underemployment compared to 8.3 per cent of older adults with disability; AIHW (2020).</w:t>
      </w:r>
    </w:p>
  </w:footnote>
  <w:footnote w:id="24">
    <w:p w14:paraId="764C38B8" w14:textId="77777777" w:rsidR="00D26A7D" w:rsidRPr="00C3613B" w:rsidRDefault="00D26A7D" w:rsidP="00A15DF4">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de Fontenay, C., Lampe, B., Nugent, J. and Jomini, P. (2020). </w:t>
      </w:r>
      <w:r w:rsidRPr="00C3613B">
        <w:rPr>
          <w:rFonts w:cs="Arial"/>
          <w:i/>
          <w:iCs/>
          <w:sz w:val="18"/>
          <w:szCs w:val="18"/>
        </w:rPr>
        <w:t>Climbing the jobs ladder slower: Young people in a weak labour market</w:t>
      </w:r>
      <w:r w:rsidRPr="00C3613B">
        <w:rPr>
          <w:rFonts w:cs="Arial"/>
          <w:sz w:val="18"/>
          <w:szCs w:val="18"/>
        </w:rPr>
        <w:t xml:space="preserve">. Available at </w:t>
      </w:r>
      <w:hyperlink r:id="rId10" w:history="1">
        <w:r w:rsidRPr="00C3613B">
          <w:rPr>
            <w:rStyle w:val="Hyperlink"/>
            <w:rFonts w:cs="Arial"/>
            <w:sz w:val="18"/>
            <w:szCs w:val="18"/>
          </w:rPr>
          <w:t>https://www.pc.gov.au/research/supporting/jobs-ladder/jobs-ladder.pdf</w:t>
        </w:r>
      </w:hyperlink>
      <w:r w:rsidRPr="00C3613B">
        <w:rPr>
          <w:rFonts w:cs="Arial"/>
          <w:sz w:val="18"/>
          <w:szCs w:val="18"/>
        </w:rPr>
        <w:t xml:space="preserve"> </w:t>
      </w:r>
    </w:p>
  </w:footnote>
  <w:footnote w:id="25">
    <w:p w14:paraId="1F1030CB" w14:textId="2A67222B" w:rsidR="00D26A7D" w:rsidRPr="00C3613B" w:rsidRDefault="00D26A7D" w:rsidP="00F91C77">
      <w:pPr>
        <w:pStyle w:val="FootnoteText"/>
        <w:rPr>
          <w:sz w:val="18"/>
          <w:szCs w:val="18"/>
        </w:rPr>
      </w:pPr>
      <w:r w:rsidRPr="00C3613B">
        <w:rPr>
          <w:rStyle w:val="FootnoteReference"/>
          <w:sz w:val="18"/>
          <w:szCs w:val="18"/>
        </w:rPr>
        <w:footnoteRef/>
      </w:r>
      <w:r w:rsidRPr="00C3613B">
        <w:rPr>
          <w:sz w:val="18"/>
          <w:szCs w:val="18"/>
        </w:rPr>
        <w:t xml:space="preserve"> Education Council. (2020). </w:t>
      </w:r>
      <w:r w:rsidRPr="00C3613B">
        <w:rPr>
          <w:i/>
          <w:iCs/>
          <w:sz w:val="18"/>
          <w:szCs w:val="18"/>
        </w:rPr>
        <w:t xml:space="preserve">Looking to the future: Report of the review of senior secondary pathways into work, further </w:t>
      </w:r>
      <w:proofErr w:type="gramStart"/>
      <w:r w:rsidRPr="00C3613B">
        <w:rPr>
          <w:i/>
          <w:iCs/>
          <w:sz w:val="18"/>
          <w:szCs w:val="18"/>
        </w:rPr>
        <w:t>education</w:t>
      </w:r>
      <w:proofErr w:type="gramEnd"/>
      <w:r w:rsidRPr="00C3613B">
        <w:rPr>
          <w:i/>
          <w:iCs/>
          <w:sz w:val="18"/>
          <w:szCs w:val="18"/>
        </w:rPr>
        <w:t xml:space="preserve"> and training. </w:t>
      </w:r>
      <w:r w:rsidRPr="00C3613B">
        <w:rPr>
          <w:sz w:val="18"/>
          <w:szCs w:val="18"/>
        </w:rPr>
        <w:t xml:space="preserve">Available at </w:t>
      </w:r>
      <w:r w:rsidRPr="00C3613B">
        <w:rPr>
          <w:sz w:val="18"/>
          <w:szCs w:val="18"/>
          <w:u w:val="single"/>
        </w:rPr>
        <w:t>http://www.educationcouncil.edu.au/site/DefaultSite/filesystem/documents/Reports%20and%20publications/Publications/Senior%20Secondary%20Pathways%202020/Review%20into%20senior%20secondary%20pathways%20-%20Final%20report.pdf</w:t>
      </w:r>
    </w:p>
    <w:p w14:paraId="34DD27B6" w14:textId="4B2C9690" w:rsidR="00D26A7D" w:rsidRPr="00C3613B" w:rsidRDefault="00D26A7D">
      <w:pPr>
        <w:pStyle w:val="FootnoteText"/>
        <w:rPr>
          <w:sz w:val="18"/>
          <w:szCs w:val="18"/>
        </w:rPr>
      </w:pPr>
    </w:p>
  </w:footnote>
  <w:footnote w:id="26">
    <w:p w14:paraId="0435B745" w14:textId="2A800E24"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Youth Affairs Council Victoria. (2020). </w:t>
      </w:r>
      <w:r w:rsidRPr="00C3613B">
        <w:rPr>
          <w:rFonts w:cs="Arial"/>
          <w:i/>
          <w:iCs/>
          <w:sz w:val="18"/>
          <w:szCs w:val="18"/>
        </w:rPr>
        <w:t>A COVID-19 recovery plan for young people.</w:t>
      </w:r>
      <w:r w:rsidRPr="00C3613B">
        <w:rPr>
          <w:rFonts w:cs="Arial"/>
          <w:sz w:val="18"/>
          <w:szCs w:val="18"/>
        </w:rPr>
        <w:t xml:space="preserve"> Available at https://www.yacvic.org.au/assets/Documents/COVID-19-Recovery-Plan-For-Young-People-Accesible-Youth-Affairs-Council-Victoria.docx</w:t>
      </w:r>
    </w:p>
  </w:footnote>
  <w:footnote w:id="27">
    <w:p w14:paraId="7C454252" w14:textId="14A9DB5C"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ibid.</w:t>
      </w:r>
    </w:p>
  </w:footnote>
  <w:footnote w:id="28">
    <w:p w14:paraId="3686E5E1" w14:textId="160B023B"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ibid.</w:t>
      </w:r>
    </w:p>
  </w:footnote>
  <w:footnote w:id="29">
    <w:p w14:paraId="7E2D378F" w14:textId="21C59F9A"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Kabatek, J. (2020). </w:t>
      </w:r>
      <w:r w:rsidRPr="00C3613B">
        <w:rPr>
          <w:rFonts w:cs="Arial"/>
          <w:i/>
          <w:iCs/>
          <w:sz w:val="18"/>
          <w:szCs w:val="18"/>
        </w:rPr>
        <w:t>5 charts on how COVID-19 is hitting Australia’s young adults hard.</w:t>
      </w:r>
      <w:r w:rsidRPr="00C3613B">
        <w:rPr>
          <w:rFonts w:cs="Arial"/>
          <w:sz w:val="18"/>
          <w:szCs w:val="18"/>
        </w:rPr>
        <w:t xml:space="preserve"> Available at </w:t>
      </w:r>
      <w:hyperlink r:id="rId11" w:history="1">
        <w:r w:rsidRPr="00C3613B">
          <w:rPr>
            <w:rStyle w:val="Hyperlink"/>
            <w:rFonts w:cs="Arial"/>
            <w:sz w:val="18"/>
            <w:szCs w:val="18"/>
          </w:rPr>
          <w:t>5 charts on how COVID-19 is hitting Australia's young adults hard (theconversation.com)</w:t>
        </w:r>
      </w:hyperlink>
    </w:p>
  </w:footnote>
  <w:footnote w:id="30">
    <w:p w14:paraId="749733B3" w14:textId="0F57C635"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Wood, D., &amp; Emslie, O. (2020). </w:t>
      </w:r>
      <w:r w:rsidRPr="00C3613B">
        <w:rPr>
          <w:rFonts w:cs="Arial"/>
          <w:i/>
          <w:iCs/>
          <w:sz w:val="18"/>
          <w:szCs w:val="18"/>
        </w:rPr>
        <w:t>Young Australians need special care through the COVID crisis</w:t>
      </w:r>
      <w:r w:rsidRPr="00C3613B">
        <w:rPr>
          <w:rFonts w:cs="Arial"/>
          <w:sz w:val="18"/>
          <w:szCs w:val="18"/>
        </w:rPr>
        <w:t xml:space="preserve">. Available at </w:t>
      </w:r>
      <w:hyperlink r:id="rId12" w:history="1">
        <w:r w:rsidRPr="00C3613B">
          <w:rPr>
            <w:rStyle w:val="Hyperlink"/>
            <w:rFonts w:cs="Arial"/>
            <w:sz w:val="18"/>
            <w:szCs w:val="18"/>
          </w:rPr>
          <w:t>Young Australians need special care through the COVID crisis - Grattan Institute</w:t>
        </w:r>
      </w:hyperlink>
    </w:p>
  </w:footnote>
  <w:footnote w:id="31">
    <w:p w14:paraId="637F0271" w14:textId="762BF4B5"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Dickinson, H., &amp; Yates, S. (2020). More than isolated: The experience of children and young people with disability and their families during the COVID-19 pandemic. Available at </w:t>
      </w:r>
      <w:hyperlink r:id="rId13" w:history="1">
        <w:r w:rsidRPr="00C3613B">
          <w:rPr>
            <w:rStyle w:val="Hyperlink"/>
            <w:rFonts w:cs="Arial"/>
            <w:sz w:val="18"/>
            <w:szCs w:val="18"/>
          </w:rPr>
          <w:t>covid_report_compressed_1.pdf (cyda.org.au)</w:t>
        </w:r>
      </w:hyperlink>
    </w:p>
  </w:footnote>
  <w:footnote w:id="32">
    <w:p w14:paraId="3A50C9D2" w14:textId="7524EC4C" w:rsidR="00D26A7D" w:rsidRPr="00C3613B" w:rsidRDefault="00D26A7D">
      <w:pPr>
        <w:pStyle w:val="FootnoteText"/>
        <w:rPr>
          <w:sz w:val="18"/>
          <w:szCs w:val="18"/>
        </w:rPr>
      </w:pPr>
      <w:r w:rsidRPr="00C3613B">
        <w:rPr>
          <w:rStyle w:val="FootnoteReference"/>
          <w:sz w:val="18"/>
          <w:szCs w:val="18"/>
        </w:rPr>
        <w:footnoteRef/>
      </w:r>
      <w:r w:rsidRPr="00C3613B">
        <w:rPr>
          <w:sz w:val="18"/>
          <w:szCs w:val="18"/>
        </w:rPr>
        <w:t xml:space="preserve"> Dickinson, H., Smith, C, Yates, S., &amp; Bertuol, M. (2020). </w:t>
      </w:r>
      <w:r w:rsidRPr="00C3613B">
        <w:rPr>
          <w:i/>
          <w:iCs/>
          <w:sz w:val="18"/>
          <w:szCs w:val="18"/>
        </w:rPr>
        <w:t xml:space="preserve">Not even remotely fair: Experiences of students with disability during COVID-19. </w:t>
      </w:r>
      <w:r w:rsidRPr="00C3613B">
        <w:rPr>
          <w:sz w:val="18"/>
          <w:szCs w:val="18"/>
        </w:rPr>
        <w:t xml:space="preserve">Available at </w:t>
      </w:r>
      <w:hyperlink r:id="rId14" w:history="1">
        <w:r w:rsidRPr="00C3613B">
          <w:rPr>
            <w:rStyle w:val="Hyperlink"/>
            <w:sz w:val="18"/>
            <w:szCs w:val="18"/>
          </w:rPr>
          <w:t>not_even_remotely_fair_cyda_education_report.pdf</w:t>
        </w:r>
      </w:hyperlink>
    </w:p>
  </w:footnote>
  <w:footnote w:id="33">
    <w:p w14:paraId="16AFEFA7" w14:textId="77777777" w:rsidR="00D26A7D" w:rsidRPr="00C3613B" w:rsidRDefault="00D26A7D" w:rsidP="000E1F14">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Raise the Rate. (2020). </w:t>
      </w:r>
      <w:r w:rsidRPr="00C3613B">
        <w:rPr>
          <w:rFonts w:cs="Arial"/>
          <w:i/>
          <w:iCs/>
          <w:sz w:val="18"/>
          <w:szCs w:val="18"/>
        </w:rPr>
        <w:t>Raise the Rate: Campaign supporters</w:t>
      </w:r>
      <w:r w:rsidRPr="00C3613B">
        <w:rPr>
          <w:rFonts w:cs="Arial"/>
          <w:sz w:val="18"/>
          <w:szCs w:val="18"/>
        </w:rPr>
        <w:t xml:space="preserve">. Available </w:t>
      </w:r>
      <w:hyperlink r:id="rId15" w:history="1">
        <w:r w:rsidRPr="00C3613B">
          <w:rPr>
            <w:rStyle w:val="Hyperlink"/>
            <w:rFonts w:cs="Arial"/>
            <w:sz w:val="18"/>
            <w:szCs w:val="18"/>
          </w:rPr>
          <w:t>at https://raisetherate.org.au/campaign-supporters/</w:t>
        </w:r>
      </w:hyperlink>
    </w:p>
  </w:footnote>
  <w:footnote w:id="34">
    <w:p w14:paraId="76899C47" w14:textId="77777777" w:rsidR="00D26A7D" w:rsidRPr="00C3613B" w:rsidRDefault="00D26A7D" w:rsidP="000E1F14">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ACOSS. (2019). </w:t>
      </w:r>
      <w:r w:rsidRPr="00C3613B">
        <w:rPr>
          <w:rFonts w:cs="Arial"/>
          <w:i/>
          <w:iCs/>
          <w:sz w:val="18"/>
          <w:szCs w:val="18"/>
        </w:rPr>
        <w:t>Surviving, not living: the (in)adequacy of Newstart and related payments</w:t>
      </w:r>
      <w:r w:rsidRPr="00C3613B">
        <w:rPr>
          <w:rFonts w:cs="Arial"/>
          <w:sz w:val="18"/>
          <w:szCs w:val="18"/>
        </w:rPr>
        <w:t xml:space="preserve">. Available at </w:t>
      </w:r>
      <w:hyperlink r:id="rId16" w:history="1">
        <w:r w:rsidRPr="00C3613B">
          <w:rPr>
            <w:rStyle w:val="Hyperlink"/>
            <w:rFonts w:cs="Arial"/>
            <w:sz w:val="18"/>
            <w:szCs w:val="18"/>
          </w:rPr>
          <w:t>https://www.acoss.org.au/wp-content/uploads/2019/11/SurvivingNotLiving.pdf</w:t>
        </w:r>
      </w:hyperlink>
    </w:p>
  </w:footnote>
  <w:footnote w:id="35">
    <w:p w14:paraId="124F516D" w14:textId="77777777" w:rsidR="00D26A7D" w:rsidRPr="00C3613B" w:rsidRDefault="00D26A7D" w:rsidP="000B192E">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AIHW. (2019). People with disability in Australia: In brief. Available at </w:t>
      </w:r>
      <w:hyperlink r:id="rId17" w:history="1">
        <w:r w:rsidRPr="00C3613B">
          <w:rPr>
            <w:rStyle w:val="Hyperlink"/>
            <w:rFonts w:cs="Arial"/>
            <w:sz w:val="18"/>
            <w:szCs w:val="18"/>
          </w:rPr>
          <w:t>People with disability in Australia 2019: in brief (Full publication;21Aug2019</w:t>
        </w:r>
        <w:proofErr w:type="gramStart"/>
        <w:r w:rsidRPr="00C3613B">
          <w:rPr>
            <w:rStyle w:val="Hyperlink"/>
            <w:rFonts w:cs="Arial"/>
            <w:sz w:val="18"/>
            <w:szCs w:val="18"/>
          </w:rPr>
          <w:t>Edition)(</w:t>
        </w:r>
        <w:proofErr w:type="gramEnd"/>
        <w:r w:rsidRPr="00C3613B">
          <w:rPr>
            <w:rStyle w:val="Hyperlink"/>
            <w:rFonts w:cs="Arial"/>
            <w:sz w:val="18"/>
            <w:szCs w:val="18"/>
          </w:rPr>
          <w:t>AIHW)</w:t>
        </w:r>
      </w:hyperlink>
    </w:p>
  </w:footnote>
  <w:footnote w:id="36">
    <w:p w14:paraId="3BA40C34" w14:textId="46A3B5C0"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Collie, A., Sheehan, L. R., &amp; Lane, T. J. (forthcoming). </w:t>
      </w:r>
      <w:r w:rsidRPr="00C3613B">
        <w:rPr>
          <w:rFonts w:cs="Arial"/>
          <w:i/>
          <w:iCs/>
          <w:sz w:val="18"/>
          <w:szCs w:val="18"/>
        </w:rPr>
        <w:t>Changes in access to Australian disability support benefits during a period of social welfare reform</w:t>
      </w:r>
      <w:r w:rsidRPr="00C3613B">
        <w:rPr>
          <w:rFonts w:cs="Arial"/>
          <w:sz w:val="18"/>
          <w:szCs w:val="18"/>
        </w:rPr>
        <w:t>. https://doi.org/10.1101/2020.04.30.20041210</w:t>
      </w:r>
    </w:p>
  </w:footnote>
  <w:footnote w:id="37">
    <w:p w14:paraId="5B3E66CA" w14:textId="4A46D15F"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ibid.</w:t>
      </w:r>
    </w:p>
  </w:footnote>
  <w:footnote w:id="38">
    <w:p w14:paraId="54B5ADB9" w14:textId="1F1179D6"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ibid.</w:t>
      </w:r>
    </w:p>
  </w:footnote>
  <w:footnote w:id="39">
    <w:p w14:paraId="65DF4B61" w14:textId="7B8469E3" w:rsidR="00D26A7D" w:rsidRPr="00C3613B" w:rsidRDefault="00D26A7D" w:rsidP="00470CBF">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Services Australia. (2021). </w:t>
      </w:r>
      <w:r w:rsidRPr="00C3613B">
        <w:rPr>
          <w:rFonts w:cs="Arial"/>
          <w:i/>
          <w:iCs/>
          <w:sz w:val="18"/>
          <w:szCs w:val="18"/>
        </w:rPr>
        <w:t>Jobseeker Payments: How much you can get</w:t>
      </w:r>
      <w:r w:rsidRPr="00C3613B">
        <w:rPr>
          <w:rFonts w:cs="Arial"/>
          <w:sz w:val="18"/>
          <w:szCs w:val="18"/>
        </w:rPr>
        <w:t xml:space="preserve">. </w:t>
      </w:r>
      <w:hyperlink r:id="rId18" w:history="1">
        <w:r w:rsidRPr="00C3613B">
          <w:rPr>
            <w:rStyle w:val="Hyperlink"/>
            <w:rFonts w:cs="Arial"/>
            <w:sz w:val="18"/>
            <w:szCs w:val="18"/>
          </w:rPr>
          <w:t>https://www.servicesaustralia.gov.au/individuals/services/centrelink/jobseeker-payment/how-much-you-can-get</w:t>
        </w:r>
      </w:hyperlink>
    </w:p>
  </w:footnote>
  <w:footnote w:id="40">
    <w:p w14:paraId="425BB842" w14:textId="42B2D47A" w:rsidR="00D26A7D" w:rsidRPr="00C3613B" w:rsidRDefault="00D26A7D" w:rsidP="00470CBF">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Services Australia. (2021) </w:t>
      </w:r>
      <w:r w:rsidRPr="00C3613B">
        <w:rPr>
          <w:rFonts w:cs="Arial"/>
          <w:i/>
          <w:iCs/>
          <w:sz w:val="18"/>
          <w:szCs w:val="18"/>
        </w:rPr>
        <w:t xml:space="preserve">Youth Allowance payments for job seeker: How much you can get. </w:t>
      </w:r>
      <w:hyperlink r:id="rId19" w:history="1">
        <w:r w:rsidRPr="00C3613B">
          <w:rPr>
            <w:rStyle w:val="Hyperlink"/>
            <w:rFonts w:cs="Arial"/>
            <w:sz w:val="18"/>
            <w:szCs w:val="18"/>
          </w:rPr>
          <w:t>https://www.servicesaustralia.gov.au/individuals/services/centrelink/youth-allowance-job-seekers/how-much-you-can-get</w:t>
        </w:r>
      </w:hyperlink>
    </w:p>
  </w:footnote>
  <w:footnote w:id="41">
    <w:p w14:paraId="04F5ADB0" w14:textId="7D48B6AA" w:rsidR="00D26A7D" w:rsidRPr="00C3613B" w:rsidRDefault="00D26A7D" w:rsidP="00AA341B">
      <w:pPr>
        <w:pStyle w:val="FootnoteText"/>
        <w:rPr>
          <w:sz w:val="18"/>
          <w:szCs w:val="18"/>
        </w:rPr>
      </w:pPr>
      <w:r w:rsidRPr="00C3613B">
        <w:rPr>
          <w:rStyle w:val="FootnoteReference"/>
          <w:sz w:val="18"/>
          <w:szCs w:val="18"/>
        </w:rPr>
        <w:footnoteRef/>
      </w:r>
      <w:r w:rsidRPr="00C3613B">
        <w:rPr>
          <w:sz w:val="18"/>
          <w:szCs w:val="18"/>
        </w:rPr>
        <w:t xml:space="preserve"> Services Australia. (2020). </w:t>
      </w:r>
      <w:r w:rsidRPr="00C3613B">
        <w:rPr>
          <w:i/>
          <w:iCs/>
          <w:sz w:val="18"/>
          <w:szCs w:val="18"/>
        </w:rPr>
        <w:t xml:space="preserve">Payment rates. </w:t>
      </w:r>
      <w:r w:rsidRPr="00C3613B">
        <w:rPr>
          <w:sz w:val="18"/>
          <w:szCs w:val="18"/>
        </w:rPr>
        <w:t xml:space="preserve">Available at https://www.servicesaustralia.gov.au/individuals/services/centrelink/disability-support-pension/how-much-you-can-get/payment-rates </w:t>
      </w:r>
    </w:p>
    <w:p w14:paraId="1D1D51C7" w14:textId="6014FD32" w:rsidR="00D26A7D" w:rsidRPr="00C3613B" w:rsidRDefault="00D26A7D">
      <w:pPr>
        <w:pStyle w:val="FootnoteText"/>
        <w:rPr>
          <w:sz w:val="18"/>
          <w:szCs w:val="18"/>
        </w:rPr>
      </w:pPr>
    </w:p>
  </w:footnote>
  <w:footnote w:id="42">
    <w:p w14:paraId="1D0E5B8F" w14:textId="77777777" w:rsidR="00D26A7D" w:rsidRPr="00C3613B" w:rsidRDefault="00D26A7D" w:rsidP="0088487B">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Anti-poverty week. (2019). </w:t>
      </w:r>
      <w:r w:rsidRPr="00C3613B">
        <w:rPr>
          <w:rFonts w:cs="Arial"/>
          <w:i/>
          <w:iCs/>
          <w:sz w:val="18"/>
          <w:szCs w:val="18"/>
        </w:rPr>
        <w:t>Fast facts: Poverty and disability.</w:t>
      </w:r>
      <w:r w:rsidRPr="00C3613B">
        <w:rPr>
          <w:rFonts w:cs="Arial"/>
          <w:sz w:val="18"/>
          <w:szCs w:val="18"/>
        </w:rPr>
        <w:t xml:space="preserve"> Available at </w:t>
      </w:r>
      <w:hyperlink r:id="rId20" w:history="1">
        <w:r w:rsidRPr="00C3613B">
          <w:rPr>
            <w:rStyle w:val="Hyperlink"/>
            <w:rFonts w:cs="Arial"/>
            <w:sz w:val="18"/>
            <w:szCs w:val="18"/>
          </w:rPr>
          <w:t>https://antipovertyweek.org.au/wp-content/uploads/2019/10/Poverty-Disability-APW-2019.pdf</w:t>
        </w:r>
      </w:hyperlink>
      <w:r w:rsidRPr="00C3613B">
        <w:rPr>
          <w:rFonts w:cs="Arial"/>
          <w:sz w:val="18"/>
          <w:szCs w:val="18"/>
        </w:rPr>
        <w:t xml:space="preserve"> </w:t>
      </w:r>
    </w:p>
  </w:footnote>
  <w:footnote w:id="43">
    <w:p w14:paraId="4CF04764" w14:textId="4210E133"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As </w:t>
      </w:r>
      <w:proofErr w:type="gramStart"/>
      <w:r w:rsidRPr="00C3613B">
        <w:rPr>
          <w:rFonts w:cs="Arial"/>
          <w:sz w:val="18"/>
          <w:szCs w:val="18"/>
        </w:rPr>
        <w:t>at</w:t>
      </w:r>
      <w:proofErr w:type="gramEnd"/>
      <w:r w:rsidRPr="00C3613B">
        <w:rPr>
          <w:rFonts w:cs="Arial"/>
          <w:sz w:val="18"/>
          <w:szCs w:val="18"/>
        </w:rPr>
        <w:t xml:space="preserve"> September 2020; NDIA. (2020). </w:t>
      </w:r>
      <w:r w:rsidRPr="00C3613B">
        <w:rPr>
          <w:rFonts w:cs="Arial"/>
          <w:i/>
          <w:iCs/>
          <w:sz w:val="18"/>
          <w:szCs w:val="18"/>
        </w:rPr>
        <w:t xml:space="preserve">Explore data. </w:t>
      </w:r>
      <w:r w:rsidRPr="00C3613B">
        <w:rPr>
          <w:rFonts w:cs="Arial"/>
          <w:sz w:val="18"/>
          <w:szCs w:val="18"/>
        </w:rPr>
        <w:t xml:space="preserve">Available at </w:t>
      </w:r>
      <w:hyperlink r:id="rId21" w:history="1">
        <w:r w:rsidRPr="00C3613B">
          <w:rPr>
            <w:rStyle w:val="Hyperlink"/>
            <w:rFonts w:cs="Arial"/>
            <w:sz w:val="18"/>
            <w:szCs w:val="18"/>
          </w:rPr>
          <w:t>https://data.ndis.gov.au/explore-data</w:t>
        </w:r>
      </w:hyperlink>
    </w:p>
  </w:footnote>
  <w:footnote w:id="44">
    <w:p w14:paraId="1724F9B2" w14:textId="135302EB"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Dickinson, H., &amp; Carey, G. (2017). Managing care integration during the implementation of large-scale reforms: The case of the Australian National Disability Insurance Scheme. </w:t>
      </w:r>
      <w:r w:rsidRPr="00C3613B">
        <w:rPr>
          <w:rFonts w:cs="Arial"/>
          <w:i/>
          <w:iCs/>
          <w:sz w:val="18"/>
          <w:szCs w:val="18"/>
        </w:rPr>
        <w:t>Journal of Integrated Care</w:t>
      </w:r>
      <w:r w:rsidRPr="00C3613B">
        <w:rPr>
          <w:rFonts w:cs="Arial"/>
          <w:sz w:val="18"/>
          <w:szCs w:val="18"/>
        </w:rPr>
        <w:t>, </w:t>
      </w:r>
      <w:r w:rsidRPr="00C3613B">
        <w:rPr>
          <w:rFonts w:cs="Arial"/>
          <w:i/>
          <w:iCs/>
          <w:sz w:val="18"/>
          <w:szCs w:val="18"/>
        </w:rPr>
        <w:t>25</w:t>
      </w:r>
      <w:r w:rsidRPr="00C3613B">
        <w:rPr>
          <w:rFonts w:cs="Arial"/>
          <w:sz w:val="18"/>
          <w:szCs w:val="18"/>
        </w:rPr>
        <w:t>(1), 6–16. https://doi.org/10.1108/JICA-07-2016-0026</w:t>
      </w:r>
    </w:p>
  </w:footnote>
  <w:footnote w:id="45">
    <w:p w14:paraId="385D3465" w14:textId="7712F246"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Aged 15 to 24 </w:t>
      </w:r>
      <w:proofErr w:type="gramStart"/>
      <w:r w:rsidRPr="00C3613B">
        <w:rPr>
          <w:rFonts w:cs="Arial"/>
          <w:sz w:val="18"/>
          <w:szCs w:val="18"/>
        </w:rPr>
        <w:t>years</w:t>
      </w:r>
      <w:proofErr w:type="gramEnd"/>
    </w:p>
  </w:footnote>
  <w:footnote w:id="46">
    <w:p w14:paraId="1A8E98D9" w14:textId="09D71C99" w:rsidR="00D26A7D" w:rsidRPr="00C3613B" w:rsidRDefault="00D26A7D">
      <w:pPr>
        <w:pStyle w:val="FootnoteText"/>
        <w:rPr>
          <w:rFonts w:cs="Arial"/>
          <w:i/>
          <w:iCs/>
          <w:sz w:val="18"/>
          <w:szCs w:val="18"/>
        </w:rPr>
      </w:pPr>
      <w:r w:rsidRPr="00C3613B">
        <w:rPr>
          <w:rStyle w:val="FootnoteReference"/>
          <w:rFonts w:cs="Arial"/>
          <w:sz w:val="18"/>
          <w:szCs w:val="18"/>
        </w:rPr>
        <w:footnoteRef/>
      </w:r>
      <w:r w:rsidRPr="00C3613B">
        <w:rPr>
          <w:rFonts w:cs="Arial"/>
          <w:sz w:val="18"/>
          <w:szCs w:val="18"/>
        </w:rPr>
        <w:t xml:space="preserve"> NDIA. (2018). </w:t>
      </w:r>
      <w:r w:rsidRPr="00C3613B">
        <w:rPr>
          <w:rFonts w:cs="Arial"/>
          <w:i/>
          <w:iCs/>
          <w:sz w:val="18"/>
          <w:szCs w:val="18"/>
        </w:rPr>
        <w:t>Employment Outcomes</w:t>
      </w:r>
      <w:r w:rsidRPr="00C3613B">
        <w:rPr>
          <w:rFonts w:cs="Arial"/>
          <w:sz w:val="18"/>
          <w:szCs w:val="18"/>
        </w:rPr>
        <w:t>. Available at https://data.ndis.gov.au/media/1562/download</w:t>
      </w:r>
    </w:p>
  </w:footnote>
  <w:footnote w:id="47">
    <w:p w14:paraId="191DD6F5" w14:textId="77777777" w:rsidR="00D26A7D" w:rsidRPr="00C3613B" w:rsidRDefault="00D26A7D" w:rsidP="00F23471">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National Disability Insurance Agency. (2020). </w:t>
      </w:r>
      <w:r w:rsidRPr="00C3613B">
        <w:rPr>
          <w:rFonts w:cs="Arial"/>
          <w:i/>
          <w:iCs/>
          <w:sz w:val="18"/>
          <w:szCs w:val="18"/>
        </w:rPr>
        <w:t xml:space="preserve">Employment Outcomes 30 June 2018: NDIS participants, their </w:t>
      </w:r>
      <w:proofErr w:type="gramStart"/>
      <w:r w:rsidRPr="00C3613B">
        <w:rPr>
          <w:rFonts w:cs="Arial"/>
          <w:i/>
          <w:iCs/>
          <w:sz w:val="18"/>
          <w:szCs w:val="18"/>
        </w:rPr>
        <w:t>families</w:t>
      </w:r>
      <w:proofErr w:type="gramEnd"/>
      <w:r w:rsidRPr="00C3613B">
        <w:rPr>
          <w:rFonts w:cs="Arial"/>
          <w:i/>
          <w:iCs/>
          <w:sz w:val="18"/>
          <w:szCs w:val="18"/>
        </w:rPr>
        <w:t xml:space="preserve"> and carers</w:t>
      </w:r>
      <w:r w:rsidRPr="00C3613B">
        <w:rPr>
          <w:rFonts w:cs="Arial"/>
          <w:sz w:val="18"/>
          <w:szCs w:val="18"/>
        </w:rPr>
        <w:t>. Available at https://data.ndis.gov.au/media/1562/download</w:t>
      </w:r>
    </w:p>
  </w:footnote>
  <w:footnote w:id="48">
    <w:p w14:paraId="6C20AA25" w14:textId="77777777" w:rsidR="00D26A7D" w:rsidRPr="00C3613B" w:rsidRDefault="00D26A7D" w:rsidP="00363093">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Davy, L., Fisher, K.R., Wehbe, A., Purcal, C., Robinson, S., Kayess, R., Santos, D. (2019). </w:t>
      </w:r>
      <w:r w:rsidRPr="00C3613B">
        <w:rPr>
          <w:rFonts w:cs="Arial"/>
          <w:i/>
          <w:iCs/>
          <w:sz w:val="18"/>
          <w:szCs w:val="18"/>
        </w:rPr>
        <w:t>Review of implementation of the National Disability Strategy 2010-2020: Final report</w:t>
      </w:r>
      <w:r w:rsidRPr="00C3613B">
        <w:rPr>
          <w:rFonts w:cs="Arial"/>
          <w:sz w:val="18"/>
          <w:szCs w:val="18"/>
        </w:rPr>
        <w:t xml:space="preserve">. (SPRC Report [4/19). Sydney: Social Policy Research Centre, UNSW Sydney. </w:t>
      </w:r>
      <w:hyperlink r:id="rId22" w:history="1">
        <w:r w:rsidRPr="00C3613B">
          <w:rPr>
            <w:rStyle w:val="Hyperlink"/>
            <w:rFonts w:cs="Arial"/>
            <w:sz w:val="18"/>
            <w:szCs w:val="18"/>
          </w:rPr>
          <w:t>http://doi.org/10.26190/5c7494b61edc4</w:t>
        </w:r>
      </w:hyperlink>
    </w:p>
  </w:footnote>
  <w:footnote w:id="49">
    <w:p w14:paraId="1AD1CEED" w14:textId="46337523" w:rsidR="00D26A7D" w:rsidRPr="00C3613B" w:rsidRDefault="00D26A7D">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Community Affairs References Committee. (2017). </w:t>
      </w:r>
      <w:r w:rsidRPr="00C3613B">
        <w:rPr>
          <w:rFonts w:cs="Arial"/>
          <w:i/>
          <w:iCs/>
          <w:sz w:val="18"/>
          <w:szCs w:val="18"/>
        </w:rPr>
        <w:t xml:space="preserve">Delivery of outcomes under the National Disability Strategy 2010-2020 to build inclusive and accessible communities. </w:t>
      </w:r>
      <w:r w:rsidRPr="00C3613B">
        <w:rPr>
          <w:rFonts w:cs="Arial"/>
          <w:sz w:val="18"/>
          <w:szCs w:val="18"/>
        </w:rPr>
        <w:t xml:space="preserve"> Available at https://www.aph.gov.au/Parliamentary_Business/Committees/Senate/Community_Affairs/AccessibleCommunities/Report</w:t>
      </w:r>
    </w:p>
  </w:footnote>
  <w:footnote w:id="50">
    <w:p w14:paraId="6501F0A3" w14:textId="77777777" w:rsidR="00D26A7D" w:rsidRPr="00C3613B" w:rsidRDefault="00D26A7D" w:rsidP="0091348C">
      <w:pPr>
        <w:pStyle w:val="FootnoteText"/>
        <w:rPr>
          <w:rFonts w:cs="Arial"/>
          <w:sz w:val="18"/>
          <w:szCs w:val="18"/>
          <w:lang w:val="en-US"/>
        </w:rPr>
      </w:pPr>
      <w:r w:rsidRPr="00C3613B">
        <w:rPr>
          <w:rStyle w:val="FootnoteReference"/>
          <w:rFonts w:cs="Arial"/>
          <w:sz w:val="18"/>
          <w:szCs w:val="18"/>
        </w:rPr>
        <w:footnoteRef/>
      </w:r>
      <w:r w:rsidRPr="00C3613B">
        <w:rPr>
          <w:rFonts w:cs="Arial"/>
          <w:sz w:val="18"/>
          <w:szCs w:val="18"/>
        </w:rPr>
        <w:t xml:space="preserve"> Disability Advocacy Network Australia, </w:t>
      </w:r>
      <w:r w:rsidRPr="00C3613B">
        <w:rPr>
          <w:rFonts w:cs="Arial"/>
          <w:i/>
          <w:iCs/>
          <w:sz w:val="18"/>
          <w:szCs w:val="18"/>
        </w:rPr>
        <w:t>Individual advocacy</w:t>
      </w:r>
      <w:r w:rsidRPr="00C3613B">
        <w:rPr>
          <w:rFonts w:cs="Arial"/>
          <w:sz w:val="18"/>
          <w:szCs w:val="18"/>
        </w:rPr>
        <w:t xml:space="preserve"> https://www.dana.org.au/how-to-advocate/</w:t>
      </w:r>
    </w:p>
  </w:footnote>
  <w:footnote w:id="51">
    <w:p w14:paraId="16797DA7" w14:textId="77777777" w:rsidR="00D26A7D" w:rsidRPr="00C3613B" w:rsidRDefault="00D26A7D" w:rsidP="0091348C">
      <w:pPr>
        <w:pStyle w:val="FootnoteText"/>
        <w:rPr>
          <w:rFonts w:cs="Arial"/>
          <w:sz w:val="18"/>
          <w:szCs w:val="18"/>
          <w:lang w:val="en-US"/>
        </w:rPr>
      </w:pPr>
      <w:r w:rsidRPr="00C3613B">
        <w:rPr>
          <w:rStyle w:val="FootnoteReference"/>
          <w:rFonts w:cs="Arial"/>
          <w:sz w:val="18"/>
          <w:szCs w:val="18"/>
        </w:rPr>
        <w:footnoteRef/>
      </w:r>
      <w:r w:rsidRPr="00C3613B">
        <w:rPr>
          <w:rFonts w:cs="Arial"/>
          <w:sz w:val="18"/>
          <w:szCs w:val="18"/>
        </w:rPr>
        <w:t xml:space="preserve"> Family Advocacy (NSW), the Association for Children with Disability (Vic), the Association for Children with Disability (Tas) and the Youth Disability Advocacy Service (Vic)</w:t>
      </w:r>
    </w:p>
  </w:footnote>
  <w:footnote w:id="52">
    <w:p w14:paraId="0E08D8D2" w14:textId="77777777" w:rsidR="00D26A7D" w:rsidRPr="00C3613B" w:rsidRDefault="00D26A7D" w:rsidP="0091348C">
      <w:pPr>
        <w:pStyle w:val="FootnoteText"/>
        <w:rPr>
          <w:rFonts w:cs="Arial"/>
          <w:sz w:val="18"/>
          <w:szCs w:val="18"/>
        </w:rPr>
      </w:pPr>
      <w:r w:rsidRPr="00C3613B">
        <w:rPr>
          <w:rStyle w:val="FootnoteReference"/>
          <w:rFonts w:cs="Arial"/>
          <w:sz w:val="18"/>
          <w:szCs w:val="18"/>
        </w:rPr>
        <w:footnoteRef/>
      </w:r>
      <w:r w:rsidRPr="00C3613B">
        <w:rPr>
          <w:rFonts w:cs="Arial"/>
          <w:sz w:val="18"/>
          <w:szCs w:val="18"/>
        </w:rPr>
        <w:t xml:space="preserve"> A Cost Benefit Analysis of Australian independent disability advocacy agencies</w:t>
      </w:r>
    </w:p>
    <w:p w14:paraId="0472B335" w14:textId="77777777" w:rsidR="00D26A7D" w:rsidRPr="00E87ECA" w:rsidRDefault="00D26A7D" w:rsidP="0091348C">
      <w:pPr>
        <w:pStyle w:val="FootnoteText"/>
        <w:rPr>
          <w:sz w:val="18"/>
          <w:szCs w:val="18"/>
        </w:rPr>
      </w:pPr>
      <w:r w:rsidRPr="00C3613B">
        <w:rPr>
          <w:rFonts w:cs="Arial"/>
          <w:sz w:val="18"/>
          <w:szCs w:val="18"/>
        </w:rPr>
        <w:t>Professor Anne Daly Discipline of Economics University of Canberra Greg Barrett Canberra Rhiân Williams Canberra https://www.dana.org.au/wp-content/uploads/documents/Disability-advocacy-CBA-2.pdf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1009"/>
      <w:docPartObj>
        <w:docPartGallery w:val="Page Numbers (Top of Page)"/>
        <w:docPartUnique/>
      </w:docPartObj>
    </w:sdtPr>
    <w:sdtEndPr>
      <w:rPr>
        <w:noProof/>
      </w:rPr>
    </w:sdtEndPr>
    <w:sdtContent>
      <w:p w14:paraId="76869ADF" w14:textId="61ACAEC3" w:rsidR="00D26A7D" w:rsidRDefault="00D26A7D">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1602E155">
              <wp:simplePos x="0" y="0"/>
              <wp:positionH relativeFrom="column">
                <wp:posOffset>-792480</wp:posOffset>
              </wp:positionH>
              <wp:positionV relativeFrom="paragraph">
                <wp:posOffset>-441960</wp:posOffset>
              </wp:positionV>
              <wp:extent cx="7755255" cy="1356360"/>
              <wp:effectExtent l="38100" t="57150" r="55245" b="53340"/>
              <wp:wrapTight wrapText="bothSides">
                <wp:wrapPolygon edited="0">
                  <wp:start x="-106" y="-910"/>
                  <wp:lineTo x="-106" y="22146"/>
                  <wp:lineTo x="21701" y="22146"/>
                  <wp:lineTo x="21701" y="-910"/>
                  <wp:lineTo x="-106" y="-910"/>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755255" cy="135636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D26A7D" w:rsidRDefault="00736EAF">
        <w:pPr>
          <w:pStyle w:val="Header"/>
          <w:jc w:val="right"/>
        </w:pPr>
      </w:p>
    </w:sdtContent>
  </w:sdt>
  <w:p w14:paraId="424745FC" w14:textId="77777777" w:rsidR="00D26A7D" w:rsidRDefault="00D26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553D" w14:textId="6F2D7DF0" w:rsidR="00D26A7D" w:rsidRDefault="00D26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20B2"/>
    <w:multiLevelType w:val="hybridMultilevel"/>
    <w:tmpl w:val="F1FAA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993D48"/>
    <w:multiLevelType w:val="hybridMultilevel"/>
    <w:tmpl w:val="7292C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6604CF"/>
    <w:multiLevelType w:val="hybridMultilevel"/>
    <w:tmpl w:val="A410948A"/>
    <w:lvl w:ilvl="0" w:tplc="9F4CC27C">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F05F12"/>
    <w:multiLevelType w:val="hybridMultilevel"/>
    <w:tmpl w:val="DF7A10AE"/>
    <w:lvl w:ilvl="0" w:tplc="9F4CC27C">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YxtzQwNTY3M7ZU0lEKTi0uzszPAykwqgUAqIxDnSwAAAA="/>
  </w:docVars>
  <w:rsids>
    <w:rsidRoot w:val="00217DAA"/>
    <w:rsid w:val="000002C8"/>
    <w:rsid w:val="00000A9F"/>
    <w:rsid w:val="0000161A"/>
    <w:rsid w:val="00002C80"/>
    <w:rsid w:val="0000312C"/>
    <w:rsid w:val="00003DCB"/>
    <w:rsid w:val="000056EA"/>
    <w:rsid w:val="00006819"/>
    <w:rsid w:val="00006F4B"/>
    <w:rsid w:val="000072E7"/>
    <w:rsid w:val="000075D6"/>
    <w:rsid w:val="00007FF8"/>
    <w:rsid w:val="00010315"/>
    <w:rsid w:val="00010612"/>
    <w:rsid w:val="00011405"/>
    <w:rsid w:val="00012B14"/>
    <w:rsid w:val="00012B98"/>
    <w:rsid w:val="00012BC5"/>
    <w:rsid w:val="00012D94"/>
    <w:rsid w:val="000137D9"/>
    <w:rsid w:val="00014478"/>
    <w:rsid w:val="000144E0"/>
    <w:rsid w:val="0001486C"/>
    <w:rsid w:val="00014F1D"/>
    <w:rsid w:val="000150A8"/>
    <w:rsid w:val="00015C62"/>
    <w:rsid w:val="000165B0"/>
    <w:rsid w:val="000167E1"/>
    <w:rsid w:val="00016A63"/>
    <w:rsid w:val="00017115"/>
    <w:rsid w:val="0001771B"/>
    <w:rsid w:val="00020782"/>
    <w:rsid w:val="00020B82"/>
    <w:rsid w:val="000221A6"/>
    <w:rsid w:val="000226F3"/>
    <w:rsid w:val="00022C37"/>
    <w:rsid w:val="00022D68"/>
    <w:rsid w:val="00024647"/>
    <w:rsid w:val="00025B5D"/>
    <w:rsid w:val="00025E30"/>
    <w:rsid w:val="00027116"/>
    <w:rsid w:val="00027D13"/>
    <w:rsid w:val="00027EF7"/>
    <w:rsid w:val="00030ACE"/>
    <w:rsid w:val="00030B01"/>
    <w:rsid w:val="00032350"/>
    <w:rsid w:val="000328F0"/>
    <w:rsid w:val="00032C31"/>
    <w:rsid w:val="0003320B"/>
    <w:rsid w:val="00033F70"/>
    <w:rsid w:val="00034FB2"/>
    <w:rsid w:val="00035519"/>
    <w:rsid w:val="00036816"/>
    <w:rsid w:val="00036E88"/>
    <w:rsid w:val="0003795F"/>
    <w:rsid w:val="00040DA6"/>
    <w:rsid w:val="000421BF"/>
    <w:rsid w:val="000422FE"/>
    <w:rsid w:val="000423B5"/>
    <w:rsid w:val="00044D91"/>
    <w:rsid w:val="000459AC"/>
    <w:rsid w:val="000474A0"/>
    <w:rsid w:val="00047C81"/>
    <w:rsid w:val="0005030C"/>
    <w:rsid w:val="00050D9F"/>
    <w:rsid w:val="00051B31"/>
    <w:rsid w:val="000525A1"/>
    <w:rsid w:val="00052870"/>
    <w:rsid w:val="00052E99"/>
    <w:rsid w:val="000541AD"/>
    <w:rsid w:val="000554C3"/>
    <w:rsid w:val="00055B26"/>
    <w:rsid w:val="00055CE8"/>
    <w:rsid w:val="00061206"/>
    <w:rsid w:val="0006184F"/>
    <w:rsid w:val="0006187C"/>
    <w:rsid w:val="00063462"/>
    <w:rsid w:val="00063EFA"/>
    <w:rsid w:val="000642BD"/>
    <w:rsid w:val="00066E20"/>
    <w:rsid w:val="000703DF"/>
    <w:rsid w:val="0007079E"/>
    <w:rsid w:val="00070B21"/>
    <w:rsid w:val="000711E3"/>
    <w:rsid w:val="00072585"/>
    <w:rsid w:val="00073261"/>
    <w:rsid w:val="000734A4"/>
    <w:rsid w:val="00073516"/>
    <w:rsid w:val="000740AE"/>
    <w:rsid w:val="00075A75"/>
    <w:rsid w:val="00075A9A"/>
    <w:rsid w:val="00075EEA"/>
    <w:rsid w:val="00076296"/>
    <w:rsid w:val="000773BE"/>
    <w:rsid w:val="00077FA3"/>
    <w:rsid w:val="00081656"/>
    <w:rsid w:val="00082224"/>
    <w:rsid w:val="00082AED"/>
    <w:rsid w:val="00082C87"/>
    <w:rsid w:val="00083066"/>
    <w:rsid w:val="00083335"/>
    <w:rsid w:val="00084AC4"/>
    <w:rsid w:val="00085727"/>
    <w:rsid w:val="00090426"/>
    <w:rsid w:val="00090F2D"/>
    <w:rsid w:val="00093D71"/>
    <w:rsid w:val="00095F48"/>
    <w:rsid w:val="00095F91"/>
    <w:rsid w:val="00095FC7"/>
    <w:rsid w:val="00096526"/>
    <w:rsid w:val="00096AAD"/>
    <w:rsid w:val="000972C6"/>
    <w:rsid w:val="00097E6A"/>
    <w:rsid w:val="000A1651"/>
    <w:rsid w:val="000A16C6"/>
    <w:rsid w:val="000A2FE2"/>
    <w:rsid w:val="000A32E9"/>
    <w:rsid w:val="000A3541"/>
    <w:rsid w:val="000A3A8E"/>
    <w:rsid w:val="000A3FB8"/>
    <w:rsid w:val="000A4B55"/>
    <w:rsid w:val="000A6675"/>
    <w:rsid w:val="000A6E5D"/>
    <w:rsid w:val="000A74F9"/>
    <w:rsid w:val="000A7CB8"/>
    <w:rsid w:val="000B055C"/>
    <w:rsid w:val="000B192E"/>
    <w:rsid w:val="000B21C7"/>
    <w:rsid w:val="000B292D"/>
    <w:rsid w:val="000B450D"/>
    <w:rsid w:val="000B4772"/>
    <w:rsid w:val="000B78CC"/>
    <w:rsid w:val="000B7F85"/>
    <w:rsid w:val="000C0BA9"/>
    <w:rsid w:val="000C1A0E"/>
    <w:rsid w:val="000C28E4"/>
    <w:rsid w:val="000C32F6"/>
    <w:rsid w:val="000C5D16"/>
    <w:rsid w:val="000C603A"/>
    <w:rsid w:val="000C60A1"/>
    <w:rsid w:val="000C67B8"/>
    <w:rsid w:val="000C7FD4"/>
    <w:rsid w:val="000D01C0"/>
    <w:rsid w:val="000D1CBA"/>
    <w:rsid w:val="000D1E7C"/>
    <w:rsid w:val="000D2206"/>
    <w:rsid w:val="000D24E9"/>
    <w:rsid w:val="000D25E6"/>
    <w:rsid w:val="000D2B95"/>
    <w:rsid w:val="000D344D"/>
    <w:rsid w:val="000D34DB"/>
    <w:rsid w:val="000D43B5"/>
    <w:rsid w:val="000D4743"/>
    <w:rsid w:val="000D47AC"/>
    <w:rsid w:val="000D5CBF"/>
    <w:rsid w:val="000D7894"/>
    <w:rsid w:val="000E04D7"/>
    <w:rsid w:val="000E0BF7"/>
    <w:rsid w:val="000E1122"/>
    <w:rsid w:val="000E1160"/>
    <w:rsid w:val="000E1EB1"/>
    <w:rsid w:val="000E1F14"/>
    <w:rsid w:val="000E28BC"/>
    <w:rsid w:val="000E2CE7"/>
    <w:rsid w:val="000E4099"/>
    <w:rsid w:val="000E484F"/>
    <w:rsid w:val="000E494C"/>
    <w:rsid w:val="000E4ED6"/>
    <w:rsid w:val="000E55FA"/>
    <w:rsid w:val="000E56BA"/>
    <w:rsid w:val="000E5BCD"/>
    <w:rsid w:val="000E62AB"/>
    <w:rsid w:val="000E6963"/>
    <w:rsid w:val="000E73F6"/>
    <w:rsid w:val="000E74F4"/>
    <w:rsid w:val="000E7E10"/>
    <w:rsid w:val="000F063D"/>
    <w:rsid w:val="000F0E07"/>
    <w:rsid w:val="000F1E87"/>
    <w:rsid w:val="000F26DE"/>
    <w:rsid w:val="000F2BDA"/>
    <w:rsid w:val="000F3090"/>
    <w:rsid w:val="000F4A1F"/>
    <w:rsid w:val="000F556E"/>
    <w:rsid w:val="000F7741"/>
    <w:rsid w:val="00100EFE"/>
    <w:rsid w:val="00101019"/>
    <w:rsid w:val="00101367"/>
    <w:rsid w:val="00101B22"/>
    <w:rsid w:val="001034AF"/>
    <w:rsid w:val="00107751"/>
    <w:rsid w:val="00111217"/>
    <w:rsid w:val="001116A1"/>
    <w:rsid w:val="00112846"/>
    <w:rsid w:val="00114C96"/>
    <w:rsid w:val="001156C2"/>
    <w:rsid w:val="00116C62"/>
    <w:rsid w:val="00121B8D"/>
    <w:rsid w:val="00121C78"/>
    <w:rsid w:val="00121CE9"/>
    <w:rsid w:val="00122C78"/>
    <w:rsid w:val="00124102"/>
    <w:rsid w:val="0012481C"/>
    <w:rsid w:val="00124AD0"/>
    <w:rsid w:val="0012753D"/>
    <w:rsid w:val="00127739"/>
    <w:rsid w:val="00130291"/>
    <w:rsid w:val="00131A9A"/>
    <w:rsid w:val="00132503"/>
    <w:rsid w:val="0013367B"/>
    <w:rsid w:val="0013427E"/>
    <w:rsid w:val="0013467B"/>
    <w:rsid w:val="00135576"/>
    <w:rsid w:val="00136BAB"/>
    <w:rsid w:val="001412B2"/>
    <w:rsid w:val="00141326"/>
    <w:rsid w:val="0014133C"/>
    <w:rsid w:val="0014182B"/>
    <w:rsid w:val="00141A05"/>
    <w:rsid w:val="001431AF"/>
    <w:rsid w:val="001433EA"/>
    <w:rsid w:val="001434C4"/>
    <w:rsid w:val="00143DF8"/>
    <w:rsid w:val="00143E31"/>
    <w:rsid w:val="00144041"/>
    <w:rsid w:val="00145250"/>
    <w:rsid w:val="001456C1"/>
    <w:rsid w:val="00145AAB"/>
    <w:rsid w:val="00145C2F"/>
    <w:rsid w:val="00146BE2"/>
    <w:rsid w:val="00151AA7"/>
    <w:rsid w:val="00152097"/>
    <w:rsid w:val="001522DD"/>
    <w:rsid w:val="00152DF1"/>
    <w:rsid w:val="00153D36"/>
    <w:rsid w:val="00154AC8"/>
    <w:rsid w:val="0015537F"/>
    <w:rsid w:val="001556EF"/>
    <w:rsid w:val="0015699D"/>
    <w:rsid w:val="00156C93"/>
    <w:rsid w:val="00156D55"/>
    <w:rsid w:val="00157144"/>
    <w:rsid w:val="00160C07"/>
    <w:rsid w:val="00164446"/>
    <w:rsid w:val="00164A23"/>
    <w:rsid w:val="00165086"/>
    <w:rsid w:val="00167DC6"/>
    <w:rsid w:val="00167FB3"/>
    <w:rsid w:val="001740C1"/>
    <w:rsid w:val="001745FE"/>
    <w:rsid w:val="001747BC"/>
    <w:rsid w:val="00175024"/>
    <w:rsid w:val="00175051"/>
    <w:rsid w:val="00175A8E"/>
    <w:rsid w:val="00176F6F"/>
    <w:rsid w:val="001773BE"/>
    <w:rsid w:val="00177DB6"/>
    <w:rsid w:val="00177E09"/>
    <w:rsid w:val="00181779"/>
    <w:rsid w:val="00183871"/>
    <w:rsid w:val="00183F9F"/>
    <w:rsid w:val="00184862"/>
    <w:rsid w:val="001849F7"/>
    <w:rsid w:val="00185068"/>
    <w:rsid w:val="00187716"/>
    <w:rsid w:val="00187725"/>
    <w:rsid w:val="001917BD"/>
    <w:rsid w:val="00191C91"/>
    <w:rsid w:val="00192297"/>
    <w:rsid w:val="001925D4"/>
    <w:rsid w:val="00194D13"/>
    <w:rsid w:val="001951E0"/>
    <w:rsid w:val="001964A9"/>
    <w:rsid w:val="001A0489"/>
    <w:rsid w:val="001A0976"/>
    <w:rsid w:val="001A109C"/>
    <w:rsid w:val="001A145B"/>
    <w:rsid w:val="001A2ECD"/>
    <w:rsid w:val="001A3388"/>
    <w:rsid w:val="001A346E"/>
    <w:rsid w:val="001A38FD"/>
    <w:rsid w:val="001A3F22"/>
    <w:rsid w:val="001A4486"/>
    <w:rsid w:val="001A5751"/>
    <w:rsid w:val="001A5CAE"/>
    <w:rsid w:val="001A75E5"/>
    <w:rsid w:val="001A7C33"/>
    <w:rsid w:val="001B057B"/>
    <w:rsid w:val="001B0B63"/>
    <w:rsid w:val="001B0DF0"/>
    <w:rsid w:val="001B14C6"/>
    <w:rsid w:val="001B1BE9"/>
    <w:rsid w:val="001B1F7E"/>
    <w:rsid w:val="001B2339"/>
    <w:rsid w:val="001B2828"/>
    <w:rsid w:val="001B2F0C"/>
    <w:rsid w:val="001B2F36"/>
    <w:rsid w:val="001B3DB6"/>
    <w:rsid w:val="001B3FDF"/>
    <w:rsid w:val="001B48A6"/>
    <w:rsid w:val="001C0C78"/>
    <w:rsid w:val="001C16A5"/>
    <w:rsid w:val="001C4987"/>
    <w:rsid w:val="001C5575"/>
    <w:rsid w:val="001C6FE4"/>
    <w:rsid w:val="001D06DA"/>
    <w:rsid w:val="001D28A5"/>
    <w:rsid w:val="001D2ADC"/>
    <w:rsid w:val="001D2EC7"/>
    <w:rsid w:val="001D4131"/>
    <w:rsid w:val="001D4181"/>
    <w:rsid w:val="001D42AA"/>
    <w:rsid w:val="001D4672"/>
    <w:rsid w:val="001D4ECD"/>
    <w:rsid w:val="001D6196"/>
    <w:rsid w:val="001D67EE"/>
    <w:rsid w:val="001D6E74"/>
    <w:rsid w:val="001D7421"/>
    <w:rsid w:val="001D780D"/>
    <w:rsid w:val="001E0DF0"/>
    <w:rsid w:val="001E1129"/>
    <w:rsid w:val="001E129C"/>
    <w:rsid w:val="001E1BB1"/>
    <w:rsid w:val="001E2321"/>
    <w:rsid w:val="001E379C"/>
    <w:rsid w:val="001E3953"/>
    <w:rsid w:val="001E5330"/>
    <w:rsid w:val="001E66F5"/>
    <w:rsid w:val="001E7AED"/>
    <w:rsid w:val="001F1DDC"/>
    <w:rsid w:val="001F26F9"/>
    <w:rsid w:val="001F3090"/>
    <w:rsid w:val="001F5C0D"/>
    <w:rsid w:val="001F7555"/>
    <w:rsid w:val="00201B2F"/>
    <w:rsid w:val="00201F60"/>
    <w:rsid w:val="0020229F"/>
    <w:rsid w:val="00203BD5"/>
    <w:rsid w:val="00204A87"/>
    <w:rsid w:val="0020620C"/>
    <w:rsid w:val="00206B0B"/>
    <w:rsid w:val="00207676"/>
    <w:rsid w:val="002078C8"/>
    <w:rsid w:val="00210881"/>
    <w:rsid w:val="002128AB"/>
    <w:rsid w:val="00214DD8"/>
    <w:rsid w:val="00215644"/>
    <w:rsid w:val="00215C4D"/>
    <w:rsid w:val="002161DF"/>
    <w:rsid w:val="00216765"/>
    <w:rsid w:val="00217886"/>
    <w:rsid w:val="00217CBB"/>
    <w:rsid w:val="00217CCF"/>
    <w:rsid w:val="00217DAA"/>
    <w:rsid w:val="002207EE"/>
    <w:rsid w:val="00220E8F"/>
    <w:rsid w:val="00220F36"/>
    <w:rsid w:val="00221462"/>
    <w:rsid w:val="002227A4"/>
    <w:rsid w:val="00223FA6"/>
    <w:rsid w:val="002268DC"/>
    <w:rsid w:val="002271E1"/>
    <w:rsid w:val="002271E5"/>
    <w:rsid w:val="002274B0"/>
    <w:rsid w:val="00227554"/>
    <w:rsid w:val="0022788D"/>
    <w:rsid w:val="00227970"/>
    <w:rsid w:val="00227C3C"/>
    <w:rsid w:val="00230D60"/>
    <w:rsid w:val="002314A7"/>
    <w:rsid w:val="002320DF"/>
    <w:rsid w:val="002322A9"/>
    <w:rsid w:val="002328E3"/>
    <w:rsid w:val="0023385D"/>
    <w:rsid w:val="00233931"/>
    <w:rsid w:val="00233CF2"/>
    <w:rsid w:val="002351D3"/>
    <w:rsid w:val="00235801"/>
    <w:rsid w:val="002367C6"/>
    <w:rsid w:val="002367D0"/>
    <w:rsid w:val="00236C83"/>
    <w:rsid w:val="00237071"/>
    <w:rsid w:val="00237483"/>
    <w:rsid w:val="00237A06"/>
    <w:rsid w:val="002406D5"/>
    <w:rsid w:val="00242A25"/>
    <w:rsid w:val="0024425E"/>
    <w:rsid w:val="00244A76"/>
    <w:rsid w:val="00244C08"/>
    <w:rsid w:val="0024569E"/>
    <w:rsid w:val="00245975"/>
    <w:rsid w:val="00246408"/>
    <w:rsid w:val="00250C0F"/>
    <w:rsid w:val="0025106E"/>
    <w:rsid w:val="00251A0D"/>
    <w:rsid w:val="00255A40"/>
    <w:rsid w:val="00255F04"/>
    <w:rsid w:val="00256762"/>
    <w:rsid w:val="00256BA9"/>
    <w:rsid w:val="002579D1"/>
    <w:rsid w:val="002605DB"/>
    <w:rsid w:val="00261103"/>
    <w:rsid w:val="00261D6D"/>
    <w:rsid w:val="00262148"/>
    <w:rsid w:val="00263A53"/>
    <w:rsid w:val="002654F1"/>
    <w:rsid w:val="002656B2"/>
    <w:rsid w:val="00265A05"/>
    <w:rsid w:val="00265C82"/>
    <w:rsid w:val="00265D2E"/>
    <w:rsid w:val="0026745F"/>
    <w:rsid w:val="00270EC3"/>
    <w:rsid w:val="00271191"/>
    <w:rsid w:val="002716D0"/>
    <w:rsid w:val="00271DD1"/>
    <w:rsid w:val="00272E45"/>
    <w:rsid w:val="00272EA0"/>
    <w:rsid w:val="002730BD"/>
    <w:rsid w:val="00273962"/>
    <w:rsid w:val="00273A85"/>
    <w:rsid w:val="0027459E"/>
    <w:rsid w:val="002748D7"/>
    <w:rsid w:val="002755AF"/>
    <w:rsid w:val="002773DC"/>
    <w:rsid w:val="00277B12"/>
    <w:rsid w:val="00281695"/>
    <w:rsid w:val="002816D3"/>
    <w:rsid w:val="0028184F"/>
    <w:rsid w:val="00283D03"/>
    <w:rsid w:val="00283D5F"/>
    <w:rsid w:val="00283EA7"/>
    <w:rsid w:val="00285945"/>
    <w:rsid w:val="0028671F"/>
    <w:rsid w:val="002870AC"/>
    <w:rsid w:val="00287A98"/>
    <w:rsid w:val="002912F6"/>
    <w:rsid w:val="00291C17"/>
    <w:rsid w:val="0029288F"/>
    <w:rsid w:val="00292DA4"/>
    <w:rsid w:val="002932BE"/>
    <w:rsid w:val="00294661"/>
    <w:rsid w:val="0029497D"/>
    <w:rsid w:val="00294BBD"/>
    <w:rsid w:val="00294BD7"/>
    <w:rsid w:val="0029591E"/>
    <w:rsid w:val="00296639"/>
    <w:rsid w:val="00296E30"/>
    <w:rsid w:val="00297085"/>
    <w:rsid w:val="002A041D"/>
    <w:rsid w:val="002A06CC"/>
    <w:rsid w:val="002A0E97"/>
    <w:rsid w:val="002A1906"/>
    <w:rsid w:val="002A2AFF"/>
    <w:rsid w:val="002A2B7E"/>
    <w:rsid w:val="002A2E55"/>
    <w:rsid w:val="002A2F4F"/>
    <w:rsid w:val="002A3161"/>
    <w:rsid w:val="002A4206"/>
    <w:rsid w:val="002A5554"/>
    <w:rsid w:val="002A5F1E"/>
    <w:rsid w:val="002A6303"/>
    <w:rsid w:val="002A74B3"/>
    <w:rsid w:val="002A7AB6"/>
    <w:rsid w:val="002A7E29"/>
    <w:rsid w:val="002A7E97"/>
    <w:rsid w:val="002B01A2"/>
    <w:rsid w:val="002B1E4E"/>
    <w:rsid w:val="002B258E"/>
    <w:rsid w:val="002B4980"/>
    <w:rsid w:val="002B4D59"/>
    <w:rsid w:val="002B50FB"/>
    <w:rsid w:val="002B69D5"/>
    <w:rsid w:val="002C0212"/>
    <w:rsid w:val="002C0300"/>
    <w:rsid w:val="002C07DF"/>
    <w:rsid w:val="002C0F9C"/>
    <w:rsid w:val="002C14FC"/>
    <w:rsid w:val="002C1560"/>
    <w:rsid w:val="002C2375"/>
    <w:rsid w:val="002C41F3"/>
    <w:rsid w:val="002C5854"/>
    <w:rsid w:val="002C6D89"/>
    <w:rsid w:val="002C77FA"/>
    <w:rsid w:val="002C7E0A"/>
    <w:rsid w:val="002D10AD"/>
    <w:rsid w:val="002D1F92"/>
    <w:rsid w:val="002D267F"/>
    <w:rsid w:val="002D473A"/>
    <w:rsid w:val="002D5560"/>
    <w:rsid w:val="002D59F0"/>
    <w:rsid w:val="002D5F94"/>
    <w:rsid w:val="002E1472"/>
    <w:rsid w:val="002E14D5"/>
    <w:rsid w:val="002E170C"/>
    <w:rsid w:val="002E18AF"/>
    <w:rsid w:val="002E199F"/>
    <w:rsid w:val="002E1E42"/>
    <w:rsid w:val="002E4A8A"/>
    <w:rsid w:val="002E5AFB"/>
    <w:rsid w:val="002E5CF6"/>
    <w:rsid w:val="002E6403"/>
    <w:rsid w:val="002E7060"/>
    <w:rsid w:val="002E714A"/>
    <w:rsid w:val="002E7385"/>
    <w:rsid w:val="002E7CD2"/>
    <w:rsid w:val="002F0332"/>
    <w:rsid w:val="002F1E65"/>
    <w:rsid w:val="002F3595"/>
    <w:rsid w:val="002F5275"/>
    <w:rsid w:val="002F6676"/>
    <w:rsid w:val="002F6B89"/>
    <w:rsid w:val="00300625"/>
    <w:rsid w:val="00300EF8"/>
    <w:rsid w:val="003014E2"/>
    <w:rsid w:val="003015F9"/>
    <w:rsid w:val="00301742"/>
    <w:rsid w:val="00301D69"/>
    <w:rsid w:val="003024CE"/>
    <w:rsid w:val="003028C7"/>
    <w:rsid w:val="00302A1F"/>
    <w:rsid w:val="00303436"/>
    <w:rsid w:val="0030462E"/>
    <w:rsid w:val="0030592B"/>
    <w:rsid w:val="0030656A"/>
    <w:rsid w:val="00306DD1"/>
    <w:rsid w:val="00307E56"/>
    <w:rsid w:val="0031073A"/>
    <w:rsid w:val="003107C5"/>
    <w:rsid w:val="00310815"/>
    <w:rsid w:val="00310ECA"/>
    <w:rsid w:val="003111D6"/>
    <w:rsid w:val="00311CB0"/>
    <w:rsid w:val="003121D0"/>
    <w:rsid w:val="00312781"/>
    <w:rsid w:val="00312E34"/>
    <w:rsid w:val="00313064"/>
    <w:rsid w:val="0031375B"/>
    <w:rsid w:val="00313922"/>
    <w:rsid w:val="00313CD5"/>
    <w:rsid w:val="003146F3"/>
    <w:rsid w:val="00315A50"/>
    <w:rsid w:val="0031612C"/>
    <w:rsid w:val="00320079"/>
    <w:rsid w:val="0032051B"/>
    <w:rsid w:val="00320B2B"/>
    <w:rsid w:val="00320EAB"/>
    <w:rsid w:val="0032125B"/>
    <w:rsid w:val="00321681"/>
    <w:rsid w:val="00321B73"/>
    <w:rsid w:val="00321CD4"/>
    <w:rsid w:val="003220F1"/>
    <w:rsid w:val="0032288D"/>
    <w:rsid w:val="0032348D"/>
    <w:rsid w:val="00323B4B"/>
    <w:rsid w:val="00323FB6"/>
    <w:rsid w:val="00324AEC"/>
    <w:rsid w:val="00325828"/>
    <w:rsid w:val="00326172"/>
    <w:rsid w:val="00326CE3"/>
    <w:rsid w:val="00326CE8"/>
    <w:rsid w:val="00327146"/>
    <w:rsid w:val="0032744A"/>
    <w:rsid w:val="00327689"/>
    <w:rsid w:val="00327D5F"/>
    <w:rsid w:val="003303B7"/>
    <w:rsid w:val="0033044C"/>
    <w:rsid w:val="00331F4E"/>
    <w:rsid w:val="0033236D"/>
    <w:rsid w:val="00334439"/>
    <w:rsid w:val="0033523E"/>
    <w:rsid w:val="0033528A"/>
    <w:rsid w:val="00336B50"/>
    <w:rsid w:val="003377E0"/>
    <w:rsid w:val="00337F26"/>
    <w:rsid w:val="00341864"/>
    <w:rsid w:val="00341A10"/>
    <w:rsid w:val="00341CBD"/>
    <w:rsid w:val="0034580C"/>
    <w:rsid w:val="00346171"/>
    <w:rsid w:val="00346225"/>
    <w:rsid w:val="00346C0C"/>
    <w:rsid w:val="0034759C"/>
    <w:rsid w:val="00350BB7"/>
    <w:rsid w:val="0035217D"/>
    <w:rsid w:val="003543FE"/>
    <w:rsid w:val="00354689"/>
    <w:rsid w:val="00354865"/>
    <w:rsid w:val="00354D5F"/>
    <w:rsid w:val="003550ED"/>
    <w:rsid w:val="00355104"/>
    <w:rsid w:val="003555FD"/>
    <w:rsid w:val="00357CB2"/>
    <w:rsid w:val="00357E4D"/>
    <w:rsid w:val="00360182"/>
    <w:rsid w:val="003607F9"/>
    <w:rsid w:val="00360F63"/>
    <w:rsid w:val="003612C2"/>
    <w:rsid w:val="003621B1"/>
    <w:rsid w:val="003622BB"/>
    <w:rsid w:val="0036268F"/>
    <w:rsid w:val="00362BD0"/>
    <w:rsid w:val="00363093"/>
    <w:rsid w:val="00364D9D"/>
    <w:rsid w:val="00364FCB"/>
    <w:rsid w:val="00365C19"/>
    <w:rsid w:val="00367376"/>
    <w:rsid w:val="00367589"/>
    <w:rsid w:val="00367DEF"/>
    <w:rsid w:val="00370A1A"/>
    <w:rsid w:val="00370D9D"/>
    <w:rsid w:val="00371301"/>
    <w:rsid w:val="00374005"/>
    <w:rsid w:val="00375657"/>
    <w:rsid w:val="00380B04"/>
    <w:rsid w:val="00383F80"/>
    <w:rsid w:val="0038481A"/>
    <w:rsid w:val="003874E7"/>
    <w:rsid w:val="00387B50"/>
    <w:rsid w:val="00387DB7"/>
    <w:rsid w:val="00390EA4"/>
    <w:rsid w:val="00391113"/>
    <w:rsid w:val="003929E0"/>
    <w:rsid w:val="00392EEE"/>
    <w:rsid w:val="00393707"/>
    <w:rsid w:val="00394ABF"/>
    <w:rsid w:val="00394D90"/>
    <w:rsid w:val="00395EFC"/>
    <w:rsid w:val="0039627C"/>
    <w:rsid w:val="00396DD7"/>
    <w:rsid w:val="00397201"/>
    <w:rsid w:val="0039742B"/>
    <w:rsid w:val="003A2F7C"/>
    <w:rsid w:val="003A3B57"/>
    <w:rsid w:val="003A3E8D"/>
    <w:rsid w:val="003A4279"/>
    <w:rsid w:val="003A4D8B"/>
    <w:rsid w:val="003A5A14"/>
    <w:rsid w:val="003A5B38"/>
    <w:rsid w:val="003A608D"/>
    <w:rsid w:val="003A635E"/>
    <w:rsid w:val="003A650A"/>
    <w:rsid w:val="003A71D7"/>
    <w:rsid w:val="003B3191"/>
    <w:rsid w:val="003B3640"/>
    <w:rsid w:val="003B3A43"/>
    <w:rsid w:val="003B5930"/>
    <w:rsid w:val="003B5AEF"/>
    <w:rsid w:val="003B5F6D"/>
    <w:rsid w:val="003B62A1"/>
    <w:rsid w:val="003B649D"/>
    <w:rsid w:val="003B7AC6"/>
    <w:rsid w:val="003B7F5C"/>
    <w:rsid w:val="003C00A3"/>
    <w:rsid w:val="003C08A9"/>
    <w:rsid w:val="003C0F2C"/>
    <w:rsid w:val="003C1791"/>
    <w:rsid w:val="003C205F"/>
    <w:rsid w:val="003C291C"/>
    <w:rsid w:val="003C42CF"/>
    <w:rsid w:val="003C4D71"/>
    <w:rsid w:val="003C4F24"/>
    <w:rsid w:val="003C5362"/>
    <w:rsid w:val="003C5D62"/>
    <w:rsid w:val="003C6849"/>
    <w:rsid w:val="003C7148"/>
    <w:rsid w:val="003C74B0"/>
    <w:rsid w:val="003C7DB8"/>
    <w:rsid w:val="003D01B8"/>
    <w:rsid w:val="003D0976"/>
    <w:rsid w:val="003D1909"/>
    <w:rsid w:val="003D4070"/>
    <w:rsid w:val="003D60D0"/>
    <w:rsid w:val="003D60D9"/>
    <w:rsid w:val="003D62F0"/>
    <w:rsid w:val="003D7AD7"/>
    <w:rsid w:val="003E0C02"/>
    <w:rsid w:val="003E16F3"/>
    <w:rsid w:val="003E266D"/>
    <w:rsid w:val="003E35A1"/>
    <w:rsid w:val="003E375F"/>
    <w:rsid w:val="003E422E"/>
    <w:rsid w:val="003E42F6"/>
    <w:rsid w:val="003E4560"/>
    <w:rsid w:val="003E45A5"/>
    <w:rsid w:val="003E45E8"/>
    <w:rsid w:val="003E5923"/>
    <w:rsid w:val="003E5CC6"/>
    <w:rsid w:val="003E6713"/>
    <w:rsid w:val="003E68E3"/>
    <w:rsid w:val="003E7933"/>
    <w:rsid w:val="003F265F"/>
    <w:rsid w:val="003F2B70"/>
    <w:rsid w:val="003F3C47"/>
    <w:rsid w:val="003F44AE"/>
    <w:rsid w:val="003F4D82"/>
    <w:rsid w:val="003F5AC2"/>
    <w:rsid w:val="003F65CA"/>
    <w:rsid w:val="003F6C92"/>
    <w:rsid w:val="003F70BF"/>
    <w:rsid w:val="004007B8"/>
    <w:rsid w:val="00402E64"/>
    <w:rsid w:val="0040321A"/>
    <w:rsid w:val="0040378C"/>
    <w:rsid w:val="00403FC8"/>
    <w:rsid w:val="00404838"/>
    <w:rsid w:val="00404881"/>
    <w:rsid w:val="004049F9"/>
    <w:rsid w:val="00406128"/>
    <w:rsid w:val="00406785"/>
    <w:rsid w:val="00406FD3"/>
    <w:rsid w:val="00406FFB"/>
    <w:rsid w:val="0041009E"/>
    <w:rsid w:val="00410534"/>
    <w:rsid w:val="00411265"/>
    <w:rsid w:val="00411458"/>
    <w:rsid w:val="004122DC"/>
    <w:rsid w:val="00412DFE"/>
    <w:rsid w:val="00412E17"/>
    <w:rsid w:val="00413CE8"/>
    <w:rsid w:val="00415314"/>
    <w:rsid w:val="00415949"/>
    <w:rsid w:val="0041600A"/>
    <w:rsid w:val="0041662C"/>
    <w:rsid w:val="004206BC"/>
    <w:rsid w:val="00421C51"/>
    <w:rsid w:val="00422DD6"/>
    <w:rsid w:val="00424041"/>
    <w:rsid w:val="00424D0F"/>
    <w:rsid w:val="004259E1"/>
    <w:rsid w:val="00425D40"/>
    <w:rsid w:val="0042631A"/>
    <w:rsid w:val="004268FB"/>
    <w:rsid w:val="004276E9"/>
    <w:rsid w:val="00427AE7"/>
    <w:rsid w:val="00430280"/>
    <w:rsid w:val="0043137F"/>
    <w:rsid w:val="00431934"/>
    <w:rsid w:val="00432DAC"/>
    <w:rsid w:val="0043508C"/>
    <w:rsid w:val="00435984"/>
    <w:rsid w:val="00436638"/>
    <w:rsid w:val="00440F47"/>
    <w:rsid w:val="0044361C"/>
    <w:rsid w:val="00445C88"/>
    <w:rsid w:val="00445D97"/>
    <w:rsid w:val="004463D0"/>
    <w:rsid w:val="00447A35"/>
    <w:rsid w:val="00447C7F"/>
    <w:rsid w:val="00450DE7"/>
    <w:rsid w:val="00450EF1"/>
    <w:rsid w:val="004513C7"/>
    <w:rsid w:val="0045238F"/>
    <w:rsid w:val="00453152"/>
    <w:rsid w:val="004532FA"/>
    <w:rsid w:val="0045422B"/>
    <w:rsid w:val="0045478C"/>
    <w:rsid w:val="00455D6A"/>
    <w:rsid w:val="00460153"/>
    <w:rsid w:val="00460552"/>
    <w:rsid w:val="00461996"/>
    <w:rsid w:val="0046219D"/>
    <w:rsid w:val="00462749"/>
    <w:rsid w:val="00463697"/>
    <w:rsid w:val="004658B2"/>
    <w:rsid w:val="004666B9"/>
    <w:rsid w:val="004667D0"/>
    <w:rsid w:val="004670E1"/>
    <w:rsid w:val="0046720F"/>
    <w:rsid w:val="004677FF"/>
    <w:rsid w:val="00467854"/>
    <w:rsid w:val="00467D6C"/>
    <w:rsid w:val="004701AF"/>
    <w:rsid w:val="00470CBF"/>
    <w:rsid w:val="0047268C"/>
    <w:rsid w:val="004737E1"/>
    <w:rsid w:val="00474F7E"/>
    <w:rsid w:val="00475D9A"/>
    <w:rsid w:val="00475DC1"/>
    <w:rsid w:val="004768D6"/>
    <w:rsid w:val="00477445"/>
    <w:rsid w:val="0047750F"/>
    <w:rsid w:val="00477D44"/>
    <w:rsid w:val="00482C98"/>
    <w:rsid w:val="0048462A"/>
    <w:rsid w:val="0048514A"/>
    <w:rsid w:val="004852A6"/>
    <w:rsid w:val="004858FB"/>
    <w:rsid w:val="00486594"/>
    <w:rsid w:val="00487441"/>
    <w:rsid w:val="00487750"/>
    <w:rsid w:val="0049157A"/>
    <w:rsid w:val="004915EE"/>
    <w:rsid w:val="00492228"/>
    <w:rsid w:val="00492849"/>
    <w:rsid w:val="0049382F"/>
    <w:rsid w:val="00493FF0"/>
    <w:rsid w:val="00495271"/>
    <w:rsid w:val="004952FE"/>
    <w:rsid w:val="00496E5C"/>
    <w:rsid w:val="00497EF3"/>
    <w:rsid w:val="004A080D"/>
    <w:rsid w:val="004A2969"/>
    <w:rsid w:val="004A2A30"/>
    <w:rsid w:val="004A337A"/>
    <w:rsid w:val="004A3753"/>
    <w:rsid w:val="004A418D"/>
    <w:rsid w:val="004A5014"/>
    <w:rsid w:val="004A51FA"/>
    <w:rsid w:val="004A5BA9"/>
    <w:rsid w:val="004A6AC3"/>
    <w:rsid w:val="004A7BFC"/>
    <w:rsid w:val="004A7E5B"/>
    <w:rsid w:val="004B08B6"/>
    <w:rsid w:val="004B0D9A"/>
    <w:rsid w:val="004B13A6"/>
    <w:rsid w:val="004B1C9D"/>
    <w:rsid w:val="004B1E92"/>
    <w:rsid w:val="004B1FC2"/>
    <w:rsid w:val="004B205C"/>
    <w:rsid w:val="004B2121"/>
    <w:rsid w:val="004B457F"/>
    <w:rsid w:val="004B52B7"/>
    <w:rsid w:val="004B56E7"/>
    <w:rsid w:val="004B67E8"/>
    <w:rsid w:val="004B796D"/>
    <w:rsid w:val="004B7C28"/>
    <w:rsid w:val="004C127B"/>
    <w:rsid w:val="004C152F"/>
    <w:rsid w:val="004C1CD2"/>
    <w:rsid w:val="004C2AE2"/>
    <w:rsid w:val="004C3CF2"/>
    <w:rsid w:val="004C4924"/>
    <w:rsid w:val="004C675E"/>
    <w:rsid w:val="004C6C6F"/>
    <w:rsid w:val="004C7AF1"/>
    <w:rsid w:val="004D01C4"/>
    <w:rsid w:val="004D0E26"/>
    <w:rsid w:val="004D0F3D"/>
    <w:rsid w:val="004D10F9"/>
    <w:rsid w:val="004D36C6"/>
    <w:rsid w:val="004D3E7E"/>
    <w:rsid w:val="004D3FB0"/>
    <w:rsid w:val="004D4055"/>
    <w:rsid w:val="004D45C1"/>
    <w:rsid w:val="004D4856"/>
    <w:rsid w:val="004D5464"/>
    <w:rsid w:val="004D5FAC"/>
    <w:rsid w:val="004D6282"/>
    <w:rsid w:val="004D66DA"/>
    <w:rsid w:val="004D740D"/>
    <w:rsid w:val="004D74A9"/>
    <w:rsid w:val="004E0993"/>
    <w:rsid w:val="004E0B30"/>
    <w:rsid w:val="004E2379"/>
    <w:rsid w:val="004E28A8"/>
    <w:rsid w:val="004E3E98"/>
    <w:rsid w:val="004E4383"/>
    <w:rsid w:val="004E6448"/>
    <w:rsid w:val="004E69EB"/>
    <w:rsid w:val="004E7111"/>
    <w:rsid w:val="004E7E74"/>
    <w:rsid w:val="004F107C"/>
    <w:rsid w:val="004F2196"/>
    <w:rsid w:val="004F371E"/>
    <w:rsid w:val="004F4EA4"/>
    <w:rsid w:val="004F75C4"/>
    <w:rsid w:val="004F7FAB"/>
    <w:rsid w:val="00500369"/>
    <w:rsid w:val="00500ADD"/>
    <w:rsid w:val="005016A2"/>
    <w:rsid w:val="00501A65"/>
    <w:rsid w:val="00504F98"/>
    <w:rsid w:val="00505615"/>
    <w:rsid w:val="00505E85"/>
    <w:rsid w:val="00506639"/>
    <w:rsid w:val="0050742F"/>
    <w:rsid w:val="005108BD"/>
    <w:rsid w:val="00510DFA"/>
    <w:rsid w:val="00510E52"/>
    <w:rsid w:val="00511EC5"/>
    <w:rsid w:val="00512B33"/>
    <w:rsid w:val="00514CC5"/>
    <w:rsid w:val="00514E48"/>
    <w:rsid w:val="00514F9F"/>
    <w:rsid w:val="00515235"/>
    <w:rsid w:val="005161C2"/>
    <w:rsid w:val="00516806"/>
    <w:rsid w:val="0052083A"/>
    <w:rsid w:val="00520CF3"/>
    <w:rsid w:val="0052130C"/>
    <w:rsid w:val="00521EB3"/>
    <w:rsid w:val="00522928"/>
    <w:rsid w:val="00522CED"/>
    <w:rsid w:val="005235BD"/>
    <w:rsid w:val="00526245"/>
    <w:rsid w:val="00526F93"/>
    <w:rsid w:val="005274E3"/>
    <w:rsid w:val="0052779A"/>
    <w:rsid w:val="0053162B"/>
    <w:rsid w:val="005316A2"/>
    <w:rsid w:val="00532500"/>
    <w:rsid w:val="00533FA1"/>
    <w:rsid w:val="00535926"/>
    <w:rsid w:val="00536617"/>
    <w:rsid w:val="0053662F"/>
    <w:rsid w:val="0053675B"/>
    <w:rsid w:val="00536E94"/>
    <w:rsid w:val="00537447"/>
    <w:rsid w:val="00541436"/>
    <w:rsid w:val="00541B4B"/>
    <w:rsid w:val="005433B2"/>
    <w:rsid w:val="00543F24"/>
    <w:rsid w:val="0054408D"/>
    <w:rsid w:val="005448C7"/>
    <w:rsid w:val="00544FBC"/>
    <w:rsid w:val="0054501A"/>
    <w:rsid w:val="00545046"/>
    <w:rsid w:val="00545257"/>
    <w:rsid w:val="00545339"/>
    <w:rsid w:val="005456D0"/>
    <w:rsid w:val="00546E29"/>
    <w:rsid w:val="00546F13"/>
    <w:rsid w:val="00547FDA"/>
    <w:rsid w:val="00550340"/>
    <w:rsid w:val="00550410"/>
    <w:rsid w:val="00551C7A"/>
    <w:rsid w:val="00551CCD"/>
    <w:rsid w:val="00552A3A"/>
    <w:rsid w:val="00552E30"/>
    <w:rsid w:val="00552F5F"/>
    <w:rsid w:val="00553072"/>
    <w:rsid w:val="005530AB"/>
    <w:rsid w:val="005530DE"/>
    <w:rsid w:val="005549D5"/>
    <w:rsid w:val="0055558A"/>
    <w:rsid w:val="005556DD"/>
    <w:rsid w:val="00555ED4"/>
    <w:rsid w:val="005569C8"/>
    <w:rsid w:val="00557B8B"/>
    <w:rsid w:val="00560A2E"/>
    <w:rsid w:val="00562DD6"/>
    <w:rsid w:val="0056358B"/>
    <w:rsid w:val="00563C31"/>
    <w:rsid w:val="00563F55"/>
    <w:rsid w:val="00564CB3"/>
    <w:rsid w:val="00565A7A"/>
    <w:rsid w:val="00566080"/>
    <w:rsid w:val="00566F84"/>
    <w:rsid w:val="00567183"/>
    <w:rsid w:val="00567C1A"/>
    <w:rsid w:val="00567E72"/>
    <w:rsid w:val="00571323"/>
    <w:rsid w:val="00571656"/>
    <w:rsid w:val="005718C9"/>
    <w:rsid w:val="00571DBA"/>
    <w:rsid w:val="00573A8A"/>
    <w:rsid w:val="005750D6"/>
    <w:rsid w:val="0057626D"/>
    <w:rsid w:val="00576E52"/>
    <w:rsid w:val="005777D7"/>
    <w:rsid w:val="00582DE3"/>
    <w:rsid w:val="00583A5B"/>
    <w:rsid w:val="00584823"/>
    <w:rsid w:val="00585527"/>
    <w:rsid w:val="00585B38"/>
    <w:rsid w:val="00585FA9"/>
    <w:rsid w:val="0058622A"/>
    <w:rsid w:val="00586274"/>
    <w:rsid w:val="005871A3"/>
    <w:rsid w:val="00587940"/>
    <w:rsid w:val="00591E20"/>
    <w:rsid w:val="00592256"/>
    <w:rsid w:val="00592544"/>
    <w:rsid w:val="00593EBC"/>
    <w:rsid w:val="0059444D"/>
    <w:rsid w:val="00594631"/>
    <w:rsid w:val="00596188"/>
    <w:rsid w:val="00596A11"/>
    <w:rsid w:val="00596A32"/>
    <w:rsid w:val="00597578"/>
    <w:rsid w:val="00597DA8"/>
    <w:rsid w:val="005A2E29"/>
    <w:rsid w:val="005A3469"/>
    <w:rsid w:val="005A6D20"/>
    <w:rsid w:val="005A7152"/>
    <w:rsid w:val="005A7D62"/>
    <w:rsid w:val="005B030C"/>
    <w:rsid w:val="005B074D"/>
    <w:rsid w:val="005B08C6"/>
    <w:rsid w:val="005B0DA8"/>
    <w:rsid w:val="005B0F00"/>
    <w:rsid w:val="005B3100"/>
    <w:rsid w:val="005B38EC"/>
    <w:rsid w:val="005B5710"/>
    <w:rsid w:val="005B647F"/>
    <w:rsid w:val="005B7106"/>
    <w:rsid w:val="005B714A"/>
    <w:rsid w:val="005B775C"/>
    <w:rsid w:val="005C241F"/>
    <w:rsid w:val="005C2ADC"/>
    <w:rsid w:val="005C34CC"/>
    <w:rsid w:val="005C3D16"/>
    <w:rsid w:val="005C3EC5"/>
    <w:rsid w:val="005C4458"/>
    <w:rsid w:val="005C45D5"/>
    <w:rsid w:val="005C46B3"/>
    <w:rsid w:val="005C4965"/>
    <w:rsid w:val="005C53EC"/>
    <w:rsid w:val="005D0773"/>
    <w:rsid w:val="005D07A4"/>
    <w:rsid w:val="005D1186"/>
    <w:rsid w:val="005D169C"/>
    <w:rsid w:val="005D1A6A"/>
    <w:rsid w:val="005D2CB5"/>
    <w:rsid w:val="005D3739"/>
    <w:rsid w:val="005D5429"/>
    <w:rsid w:val="005D679F"/>
    <w:rsid w:val="005D72AA"/>
    <w:rsid w:val="005D78CA"/>
    <w:rsid w:val="005D797F"/>
    <w:rsid w:val="005D7D57"/>
    <w:rsid w:val="005E0693"/>
    <w:rsid w:val="005E1D2F"/>
    <w:rsid w:val="005E20DD"/>
    <w:rsid w:val="005E230B"/>
    <w:rsid w:val="005E348C"/>
    <w:rsid w:val="005E34AD"/>
    <w:rsid w:val="005E356D"/>
    <w:rsid w:val="005E41C2"/>
    <w:rsid w:val="005E539C"/>
    <w:rsid w:val="005E6F97"/>
    <w:rsid w:val="005E74E1"/>
    <w:rsid w:val="005E75B2"/>
    <w:rsid w:val="005E789C"/>
    <w:rsid w:val="005E7A69"/>
    <w:rsid w:val="005E7CA7"/>
    <w:rsid w:val="005F0A07"/>
    <w:rsid w:val="005F0F30"/>
    <w:rsid w:val="005F1E12"/>
    <w:rsid w:val="005F27DD"/>
    <w:rsid w:val="005F2D59"/>
    <w:rsid w:val="005F356E"/>
    <w:rsid w:val="005F46BC"/>
    <w:rsid w:val="005F4F4F"/>
    <w:rsid w:val="005F601E"/>
    <w:rsid w:val="005F719D"/>
    <w:rsid w:val="005F7EDA"/>
    <w:rsid w:val="00600708"/>
    <w:rsid w:val="00601DD4"/>
    <w:rsid w:val="006020AC"/>
    <w:rsid w:val="00603B37"/>
    <w:rsid w:val="00603F39"/>
    <w:rsid w:val="00604DCD"/>
    <w:rsid w:val="00605FC7"/>
    <w:rsid w:val="0060678F"/>
    <w:rsid w:val="00606F1B"/>
    <w:rsid w:val="00607F26"/>
    <w:rsid w:val="0061062D"/>
    <w:rsid w:val="00610DB7"/>
    <w:rsid w:val="00612928"/>
    <w:rsid w:val="00613E84"/>
    <w:rsid w:val="006148BB"/>
    <w:rsid w:val="006148D8"/>
    <w:rsid w:val="00615CC5"/>
    <w:rsid w:val="00615FF3"/>
    <w:rsid w:val="00616999"/>
    <w:rsid w:val="006176BE"/>
    <w:rsid w:val="006179E1"/>
    <w:rsid w:val="0062026B"/>
    <w:rsid w:val="00620899"/>
    <w:rsid w:val="00620B1E"/>
    <w:rsid w:val="00621310"/>
    <w:rsid w:val="00621A6F"/>
    <w:rsid w:val="0062414F"/>
    <w:rsid w:val="00624912"/>
    <w:rsid w:val="00625A70"/>
    <w:rsid w:val="0062682C"/>
    <w:rsid w:val="0062735E"/>
    <w:rsid w:val="00627F8E"/>
    <w:rsid w:val="00630F70"/>
    <w:rsid w:val="00632581"/>
    <w:rsid w:val="00632A4F"/>
    <w:rsid w:val="00632D2E"/>
    <w:rsid w:val="0063515B"/>
    <w:rsid w:val="006371CD"/>
    <w:rsid w:val="00637202"/>
    <w:rsid w:val="00637831"/>
    <w:rsid w:val="00637939"/>
    <w:rsid w:val="006400DC"/>
    <w:rsid w:val="00640693"/>
    <w:rsid w:val="00640844"/>
    <w:rsid w:val="00643320"/>
    <w:rsid w:val="00643324"/>
    <w:rsid w:val="00643394"/>
    <w:rsid w:val="006443BF"/>
    <w:rsid w:val="00644ED0"/>
    <w:rsid w:val="00645002"/>
    <w:rsid w:val="006459EA"/>
    <w:rsid w:val="00646A31"/>
    <w:rsid w:val="00647152"/>
    <w:rsid w:val="00647D9D"/>
    <w:rsid w:val="006506DE"/>
    <w:rsid w:val="00650F3B"/>
    <w:rsid w:val="00650FF2"/>
    <w:rsid w:val="0065126F"/>
    <w:rsid w:val="006515BE"/>
    <w:rsid w:val="00652636"/>
    <w:rsid w:val="0065371E"/>
    <w:rsid w:val="0065569F"/>
    <w:rsid w:val="00656901"/>
    <w:rsid w:val="00656C58"/>
    <w:rsid w:val="00660252"/>
    <w:rsid w:val="006609F3"/>
    <w:rsid w:val="00660CDE"/>
    <w:rsid w:val="00664680"/>
    <w:rsid w:val="00664C87"/>
    <w:rsid w:val="00665680"/>
    <w:rsid w:val="0066639B"/>
    <w:rsid w:val="006671EE"/>
    <w:rsid w:val="0067000E"/>
    <w:rsid w:val="006709C8"/>
    <w:rsid w:val="006712BB"/>
    <w:rsid w:val="0067170B"/>
    <w:rsid w:val="00671B7B"/>
    <w:rsid w:val="006726A7"/>
    <w:rsid w:val="0067331A"/>
    <w:rsid w:val="00673459"/>
    <w:rsid w:val="00674CCA"/>
    <w:rsid w:val="00675672"/>
    <w:rsid w:val="00675B34"/>
    <w:rsid w:val="00675C36"/>
    <w:rsid w:val="00675DF4"/>
    <w:rsid w:val="00677C05"/>
    <w:rsid w:val="00680997"/>
    <w:rsid w:val="00680E44"/>
    <w:rsid w:val="00684634"/>
    <w:rsid w:val="00684C70"/>
    <w:rsid w:val="0068717C"/>
    <w:rsid w:val="00690C63"/>
    <w:rsid w:val="0069253A"/>
    <w:rsid w:val="0069416F"/>
    <w:rsid w:val="006952CB"/>
    <w:rsid w:val="006953A4"/>
    <w:rsid w:val="00695BB6"/>
    <w:rsid w:val="00695DC4"/>
    <w:rsid w:val="00695E23"/>
    <w:rsid w:val="006972B1"/>
    <w:rsid w:val="0069786C"/>
    <w:rsid w:val="006A09FD"/>
    <w:rsid w:val="006A10A6"/>
    <w:rsid w:val="006A12E4"/>
    <w:rsid w:val="006A1534"/>
    <w:rsid w:val="006A3255"/>
    <w:rsid w:val="006A391C"/>
    <w:rsid w:val="006A3CEB"/>
    <w:rsid w:val="006A412B"/>
    <w:rsid w:val="006A5C71"/>
    <w:rsid w:val="006A676F"/>
    <w:rsid w:val="006B0081"/>
    <w:rsid w:val="006B1015"/>
    <w:rsid w:val="006B183B"/>
    <w:rsid w:val="006B199C"/>
    <w:rsid w:val="006B1EE2"/>
    <w:rsid w:val="006B1EEF"/>
    <w:rsid w:val="006B588A"/>
    <w:rsid w:val="006B5ACD"/>
    <w:rsid w:val="006B64DE"/>
    <w:rsid w:val="006B728A"/>
    <w:rsid w:val="006B72F1"/>
    <w:rsid w:val="006B7D13"/>
    <w:rsid w:val="006B7FE4"/>
    <w:rsid w:val="006C19E7"/>
    <w:rsid w:val="006C265C"/>
    <w:rsid w:val="006C3A3F"/>
    <w:rsid w:val="006C3C49"/>
    <w:rsid w:val="006C3CF2"/>
    <w:rsid w:val="006C525F"/>
    <w:rsid w:val="006C5BAF"/>
    <w:rsid w:val="006C65BD"/>
    <w:rsid w:val="006C6D9F"/>
    <w:rsid w:val="006C6F1D"/>
    <w:rsid w:val="006C77AF"/>
    <w:rsid w:val="006D07A9"/>
    <w:rsid w:val="006D1CC0"/>
    <w:rsid w:val="006D2C26"/>
    <w:rsid w:val="006D2F24"/>
    <w:rsid w:val="006D51F5"/>
    <w:rsid w:val="006D59FD"/>
    <w:rsid w:val="006D5E63"/>
    <w:rsid w:val="006E0B93"/>
    <w:rsid w:val="006E162C"/>
    <w:rsid w:val="006E1720"/>
    <w:rsid w:val="006E2D3C"/>
    <w:rsid w:val="006E30BC"/>
    <w:rsid w:val="006E340B"/>
    <w:rsid w:val="006E3A8D"/>
    <w:rsid w:val="006E4222"/>
    <w:rsid w:val="006E4BD4"/>
    <w:rsid w:val="006E5233"/>
    <w:rsid w:val="006E6308"/>
    <w:rsid w:val="006E65D4"/>
    <w:rsid w:val="006E6B2F"/>
    <w:rsid w:val="006E77CF"/>
    <w:rsid w:val="006F011D"/>
    <w:rsid w:val="006F1F20"/>
    <w:rsid w:val="006F201F"/>
    <w:rsid w:val="006F20BB"/>
    <w:rsid w:val="006F464C"/>
    <w:rsid w:val="006F4BEB"/>
    <w:rsid w:val="006F4CA3"/>
    <w:rsid w:val="006F5405"/>
    <w:rsid w:val="006F7843"/>
    <w:rsid w:val="006F7DD7"/>
    <w:rsid w:val="0070047A"/>
    <w:rsid w:val="00700D9B"/>
    <w:rsid w:val="00701697"/>
    <w:rsid w:val="00701D20"/>
    <w:rsid w:val="007038CF"/>
    <w:rsid w:val="00703ED3"/>
    <w:rsid w:val="00703F29"/>
    <w:rsid w:val="007047C6"/>
    <w:rsid w:val="00704B7F"/>
    <w:rsid w:val="007062F3"/>
    <w:rsid w:val="00707F88"/>
    <w:rsid w:val="007103FF"/>
    <w:rsid w:val="00710C30"/>
    <w:rsid w:val="00711B36"/>
    <w:rsid w:val="00711BC9"/>
    <w:rsid w:val="00711DB2"/>
    <w:rsid w:val="00711DED"/>
    <w:rsid w:val="007120BB"/>
    <w:rsid w:val="00712128"/>
    <w:rsid w:val="0071228E"/>
    <w:rsid w:val="007128C8"/>
    <w:rsid w:val="00712AAD"/>
    <w:rsid w:val="00712CAF"/>
    <w:rsid w:val="007135C9"/>
    <w:rsid w:val="00713BB5"/>
    <w:rsid w:val="00714759"/>
    <w:rsid w:val="00714E75"/>
    <w:rsid w:val="00714F21"/>
    <w:rsid w:val="00715A1B"/>
    <w:rsid w:val="00716401"/>
    <w:rsid w:val="007167EC"/>
    <w:rsid w:val="00716BB2"/>
    <w:rsid w:val="007176DC"/>
    <w:rsid w:val="00720848"/>
    <w:rsid w:val="00721BD6"/>
    <w:rsid w:val="00721D3F"/>
    <w:rsid w:val="00722ECD"/>
    <w:rsid w:val="0072420A"/>
    <w:rsid w:val="00724B97"/>
    <w:rsid w:val="00725DAE"/>
    <w:rsid w:val="00725FC6"/>
    <w:rsid w:val="0072683C"/>
    <w:rsid w:val="007272C1"/>
    <w:rsid w:val="007273BD"/>
    <w:rsid w:val="00730D35"/>
    <w:rsid w:val="007326BD"/>
    <w:rsid w:val="00733120"/>
    <w:rsid w:val="007334C2"/>
    <w:rsid w:val="00734CD3"/>
    <w:rsid w:val="00735A15"/>
    <w:rsid w:val="00735B2D"/>
    <w:rsid w:val="00736C02"/>
    <w:rsid w:val="00736EAF"/>
    <w:rsid w:val="0074075A"/>
    <w:rsid w:val="007414EA"/>
    <w:rsid w:val="0074370C"/>
    <w:rsid w:val="00744D31"/>
    <w:rsid w:val="007459A3"/>
    <w:rsid w:val="00745F1B"/>
    <w:rsid w:val="0074607E"/>
    <w:rsid w:val="00746C44"/>
    <w:rsid w:val="007504D7"/>
    <w:rsid w:val="007508F1"/>
    <w:rsid w:val="00751174"/>
    <w:rsid w:val="0075162F"/>
    <w:rsid w:val="00752C5A"/>
    <w:rsid w:val="00753267"/>
    <w:rsid w:val="00753357"/>
    <w:rsid w:val="007537E1"/>
    <w:rsid w:val="00754378"/>
    <w:rsid w:val="00754E91"/>
    <w:rsid w:val="00755B8F"/>
    <w:rsid w:val="00756601"/>
    <w:rsid w:val="00761EFB"/>
    <w:rsid w:val="007627AE"/>
    <w:rsid w:val="00764647"/>
    <w:rsid w:val="00764B93"/>
    <w:rsid w:val="00765BAC"/>
    <w:rsid w:val="00766864"/>
    <w:rsid w:val="00766F30"/>
    <w:rsid w:val="00767331"/>
    <w:rsid w:val="00767A41"/>
    <w:rsid w:val="00771A9F"/>
    <w:rsid w:val="00771C4A"/>
    <w:rsid w:val="00772312"/>
    <w:rsid w:val="00772D34"/>
    <w:rsid w:val="00773F2B"/>
    <w:rsid w:val="00775362"/>
    <w:rsid w:val="00775457"/>
    <w:rsid w:val="007754A8"/>
    <w:rsid w:val="00775A91"/>
    <w:rsid w:val="00780123"/>
    <w:rsid w:val="00780F96"/>
    <w:rsid w:val="00780FC9"/>
    <w:rsid w:val="00782382"/>
    <w:rsid w:val="0078245F"/>
    <w:rsid w:val="007824F1"/>
    <w:rsid w:val="007827C1"/>
    <w:rsid w:val="007841F7"/>
    <w:rsid w:val="00786276"/>
    <w:rsid w:val="00786486"/>
    <w:rsid w:val="007900ED"/>
    <w:rsid w:val="0079031A"/>
    <w:rsid w:val="007909AF"/>
    <w:rsid w:val="00791D2F"/>
    <w:rsid w:val="00791E3F"/>
    <w:rsid w:val="00792B48"/>
    <w:rsid w:val="007939E5"/>
    <w:rsid w:val="00793C41"/>
    <w:rsid w:val="00793DC8"/>
    <w:rsid w:val="0079639B"/>
    <w:rsid w:val="00796C0A"/>
    <w:rsid w:val="00797137"/>
    <w:rsid w:val="00797F21"/>
    <w:rsid w:val="007A0192"/>
    <w:rsid w:val="007A09F0"/>
    <w:rsid w:val="007A249C"/>
    <w:rsid w:val="007A71A4"/>
    <w:rsid w:val="007A7548"/>
    <w:rsid w:val="007A7E11"/>
    <w:rsid w:val="007B0669"/>
    <w:rsid w:val="007B0B30"/>
    <w:rsid w:val="007B11EE"/>
    <w:rsid w:val="007B17B0"/>
    <w:rsid w:val="007B1BFB"/>
    <w:rsid w:val="007B3330"/>
    <w:rsid w:val="007B385C"/>
    <w:rsid w:val="007B3C43"/>
    <w:rsid w:val="007B3DFA"/>
    <w:rsid w:val="007B4C91"/>
    <w:rsid w:val="007B53D8"/>
    <w:rsid w:val="007B560A"/>
    <w:rsid w:val="007B59E1"/>
    <w:rsid w:val="007B67A6"/>
    <w:rsid w:val="007B6CC1"/>
    <w:rsid w:val="007C026A"/>
    <w:rsid w:val="007C07ED"/>
    <w:rsid w:val="007C22E6"/>
    <w:rsid w:val="007C3258"/>
    <w:rsid w:val="007C45CD"/>
    <w:rsid w:val="007C48AF"/>
    <w:rsid w:val="007C5C6E"/>
    <w:rsid w:val="007C6C7D"/>
    <w:rsid w:val="007D02A0"/>
    <w:rsid w:val="007D0926"/>
    <w:rsid w:val="007D1B70"/>
    <w:rsid w:val="007D28DB"/>
    <w:rsid w:val="007D3D0F"/>
    <w:rsid w:val="007D3E40"/>
    <w:rsid w:val="007D3E8A"/>
    <w:rsid w:val="007D51E9"/>
    <w:rsid w:val="007D52FE"/>
    <w:rsid w:val="007D580D"/>
    <w:rsid w:val="007D65C1"/>
    <w:rsid w:val="007D7C20"/>
    <w:rsid w:val="007E163C"/>
    <w:rsid w:val="007E20E0"/>
    <w:rsid w:val="007E352B"/>
    <w:rsid w:val="007E441C"/>
    <w:rsid w:val="007E4446"/>
    <w:rsid w:val="007E4771"/>
    <w:rsid w:val="007E527C"/>
    <w:rsid w:val="007E64CD"/>
    <w:rsid w:val="007E6736"/>
    <w:rsid w:val="007F01EC"/>
    <w:rsid w:val="007F01FC"/>
    <w:rsid w:val="007F0805"/>
    <w:rsid w:val="007F09F1"/>
    <w:rsid w:val="007F0EDC"/>
    <w:rsid w:val="007F1371"/>
    <w:rsid w:val="007F4AB0"/>
    <w:rsid w:val="007F4E85"/>
    <w:rsid w:val="007F730E"/>
    <w:rsid w:val="00800D46"/>
    <w:rsid w:val="00801EB0"/>
    <w:rsid w:val="0080315D"/>
    <w:rsid w:val="0080354B"/>
    <w:rsid w:val="00803601"/>
    <w:rsid w:val="00803A7B"/>
    <w:rsid w:val="00803B7D"/>
    <w:rsid w:val="00803BF7"/>
    <w:rsid w:val="00805A98"/>
    <w:rsid w:val="00805FED"/>
    <w:rsid w:val="0081002D"/>
    <w:rsid w:val="00810D0C"/>
    <w:rsid w:val="00812BA8"/>
    <w:rsid w:val="00814AC7"/>
    <w:rsid w:val="00814D83"/>
    <w:rsid w:val="00815571"/>
    <w:rsid w:val="00815E7D"/>
    <w:rsid w:val="008161C9"/>
    <w:rsid w:val="008169AA"/>
    <w:rsid w:val="00816BD1"/>
    <w:rsid w:val="00816DB4"/>
    <w:rsid w:val="00820373"/>
    <w:rsid w:val="00820426"/>
    <w:rsid w:val="00820783"/>
    <w:rsid w:val="00820924"/>
    <w:rsid w:val="00820CAD"/>
    <w:rsid w:val="008211AD"/>
    <w:rsid w:val="0082162B"/>
    <w:rsid w:val="00822A72"/>
    <w:rsid w:val="00824BDE"/>
    <w:rsid w:val="0082627E"/>
    <w:rsid w:val="00827983"/>
    <w:rsid w:val="00827C1B"/>
    <w:rsid w:val="008304CE"/>
    <w:rsid w:val="00831972"/>
    <w:rsid w:val="008326AD"/>
    <w:rsid w:val="008333C7"/>
    <w:rsid w:val="008350F9"/>
    <w:rsid w:val="008353D0"/>
    <w:rsid w:val="0083585B"/>
    <w:rsid w:val="00835D21"/>
    <w:rsid w:val="00836E37"/>
    <w:rsid w:val="00836F52"/>
    <w:rsid w:val="00837457"/>
    <w:rsid w:val="00840B3C"/>
    <w:rsid w:val="00841F2D"/>
    <w:rsid w:val="0084264D"/>
    <w:rsid w:val="00842D13"/>
    <w:rsid w:val="00843D7E"/>
    <w:rsid w:val="00845557"/>
    <w:rsid w:val="00847FD7"/>
    <w:rsid w:val="0085192F"/>
    <w:rsid w:val="008526D5"/>
    <w:rsid w:val="00852DCB"/>
    <w:rsid w:val="00853CAB"/>
    <w:rsid w:val="00854500"/>
    <w:rsid w:val="008555F8"/>
    <w:rsid w:val="00856141"/>
    <w:rsid w:val="008562AA"/>
    <w:rsid w:val="008566B3"/>
    <w:rsid w:val="00857EB3"/>
    <w:rsid w:val="00860419"/>
    <w:rsid w:val="00861270"/>
    <w:rsid w:val="0086148A"/>
    <w:rsid w:val="008621DC"/>
    <w:rsid w:val="00862A2F"/>
    <w:rsid w:val="00862DDA"/>
    <w:rsid w:val="00863478"/>
    <w:rsid w:val="00865305"/>
    <w:rsid w:val="008662C1"/>
    <w:rsid w:val="00866F83"/>
    <w:rsid w:val="00867D58"/>
    <w:rsid w:val="00867E96"/>
    <w:rsid w:val="00870136"/>
    <w:rsid w:val="008734F4"/>
    <w:rsid w:val="008737B5"/>
    <w:rsid w:val="00873BDF"/>
    <w:rsid w:val="00873DBD"/>
    <w:rsid w:val="00874536"/>
    <w:rsid w:val="008748FE"/>
    <w:rsid w:val="00875C36"/>
    <w:rsid w:val="0087642A"/>
    <w:rsid w:val="00876685"/>
    <w:rsid w:val="008771F9"/>
    <w:rsid w:val="0087727D"/>
    <w:rsid w:val="0087777F"/>
    <w:rsid w:val="00880BDB"/>
    <w:rsid w:val="00880D7C"/>
    <w:rsid w:val="00883813"/>
    <w:rsid w:val="0088435C"/>
    <w:rsid w:val="0088487B"/>
    <w:rsid w:val="0088491D"/>
    <w:rsid w:val="00884D7D"/>
    <w:rsid w:val="00884DA1"/>
    <w:rsid w:val="008850B2"/>
    <w:rsid w:val="00885111"/>
    <w:rsid w:val="00885E5A"/>
    <w:rsid w:val="00886015"/>
    <w:rsid w:val="00886582"/>
    <w:rsid w:val="00886A52"/>
    <w:rsid w:val="00886E54"/>
    <w:rsid w:val="00886EF1"/>
    <w:rsid w:val="00887171"/>
    <w:rsid w:val="008901BC"/>
    <w:rsid w:val="008912B3"/>
    <w:rsid w:val="00893C4F"/>
    <w:rsid w:val="00894135"/>
    <w:rsid w:val="00894891"/>
    <w:rsid w:val="00894DBC"/>
    <w:rsid w:val="00895C8E"/>
    <w:rsid w:val="0089652A"/>
    <w:rsid w:val="00897059"/>
    <w:rsid w:val="0089756F"/>
    <w:rsid w:val="00897AB7"/>
    <w:rsid w:val="008A15CB"/>
    <w:rsid w:val="008A1C6F"/>
    <w:rsid w:val="008A2D29"/>
    <w:rsid w:val="008A2E7F"/>
    <w:rsid w:val="008A3803"/>
    <w:rsid w:val="008A3983"/>
    <w:rsid w:val="008A45AC"/>
    <w:rsid w:val="008A50A8"/>
    <w:rsid w:val="008A5FC3"/>
    <w:rsid w:val="008A6911"/>
    <w:rsid w:val="008A7C42"/>
    <w:rsid w:val="008B2026"/>
    <w:rsid w:val="008B2BA6"/>
    <w:rsid w:val="008B2F6B"/>
    <w:rsid w:val="008B33E0"/>
    <w:rsid w:val="008B371D"/>
    <w:rsid w:val="008B4768"/>
    <w:rsid w:val="008B483D"/>
    <w:rsid w:val="008B7017"/>
    <w:rsid w:val="008B7F9D"/>
    <w:rsid w:val="008C0A73"/>
    <w:rsid w:val="008C0B50"/>
    <w:rsid w:val="008C0D67"/>
    <w:rsid w:val="008C0F6C"/>
    <w:rsid w:val="008C244F"/>
    <w:rsid w:val="008C34C6"/>
    <w:rsid w:val="008C34D1"/>
    <w:rsid w:val="008C3671"/>
    <w:rsid w:val="008C4DD7"/>
    <w:rsid w:val="008C5DA9"/>
    <w:rsid w:val="008C5FE4"/>
    <w:rsid w:val="008C701E"/>
    <w:rsid w:val="008C7CB7"/>
    <w:rsid w:val="008D0225"/>
    <w:rsid w:val="008D070D"/>
    <w:rsid w:val="008D12DF"/>
    <w:rsid w:val="008D285A"/>
    <w:rsid w:val="008D4DC8"/>
    <w:rsid w:val="008D5B3A"/>
    <w:rsid w:val="008D640F"/>
    <w:rsid w:val="008D700F"/>
    <w:rsid w:val="008D74B6"/>
    <w:rsid w:val="008D75E6"/>
    <w:rsid w:val="008E04BE"/>
    <w:rsid w:val="008E06E3"/>
    <w:rsid w:val="008E15B8"/>
    <w:rsid w:val="008E1AD2"/>
    <w:rsid w:val="008E1E54"/>
    <w:rsid w:val="008E2B24"/>
    <w:rsid w:val="008E386E"/>
    <w:rsid w:val="008E3CEE"/>
    <w:rsid w:val="008E47A3"/>
    <w:rsid w:val="008E5764"/>
    <w:rsid w:val="008E6255"/>
    <w:rsid w:val="008E6384"/>
    <w:rsid w:val="008E6596"/>
    <w:rsid w:val="008E6620"/>
    <w:rsid w:val="008E717F"/>
    <w:rsid w:val="008F0283"/>
    <w:rsid w:val="008F11EE"/>
    <w:rsid w:val="008F2BA4"/>
    <w:rsid w:val="008F4B05"/>
    <w:rsid w:val="008F561C"/>
    <w:rsid w:val="008F60B7"/>
    <w:rsid w:val="008F6155"/>
    <w:rsid w:val="008F627F"/>
    <w:rsid w:val="008F66AA"/>
    <w:rsid w:val="008F6E33"/>
    <w:rsid w:val="008F6EDE"/>
    <w:rsid w:val="008F7862"/>
    <w:rsid w:val="008F7949"/>
    <w:rsid w:val="00900135"/>
    <w:rsid w:val="009001F9"/>
    <w:rsid w:val="00900218"/>
    <w:rsid w:val="0090074C"/>
    <w:rsid w:val="00900CF0"/>
    <w:rsid w:val="00901A5A"/>
    <w:rsid w:val="009023A7"/>
    <w:rsid w:val="00902DDB"/>
    <w:rsid w:val="00902F1F"/>
    <w:rsid w:val="0090306A"/>
    <w:rsid w:val="00903F9A"/>
    <w:rsid w:val="009040BB"/>
    <w:rsid w:val="00904C61"/>
    <w:rsid w:val="00905040"/>
    <w:rsid w:val="009050CE"/>
    <w:rsid w:val="00905406"/>
    <w:rsid w:val="00905E54"/>
    <w:rsid w:val="009065A6"/>
    <w:rsid w:val="0090687B"/>
    <w:rsid w:val="00906B9C"/>
    <w:rsid w:val="0090732B"/>
    <w:rsid w:val="009074DE"/>
    <w:rsid w:val="00907EEA"/>
    <w:rsid w:val="00911B8A"/>
    <w:rsid w:val="00912CD1"/>
    <w:rsid w:val="00913133"/>
    <w:rsid w:val="009131C3"/>
    <w:rsid w:val="0091348C"/>
    <w:rsid w:val="00913B96"/>
    <w:rsid w:val="00914189"/>
    <w:rsid w:val="00914C7F"/>
    <w:rsid w:val="009153DD"/>
    <w:rsid w:val="0091566B"/>
    <w:rsid w:val="00917033"/>
    <w:rsid w:val="00920948"/>
    <w:rsid w:val="00920C34"/>
    <w:rsid w:val="00920C8B"/>
    <w:rsid w:val="00921379"/>
    <w:rsid w:val="009213A0"/>
    <w:rsid w:val="00921650"/>
    <w:rsid w:val="009237DF"/>
    <w:rsid w:val="00923EA1"/>
    <w:rsid w:val="00924382"/>
    <w:rsid w:val="009250A2"/>
    <w:rsid w:val="0092573E"/>
    <w:rsid w:val="00925AE7"/>
    <w:rsid w:val="00927A5E"/>
    <w:rsid w:val="00927CB7"/>
    <w:rsid w:val="009306DB"/>
    <w:rsid w:val="00931D83"/>
    <w:rsid w:val="00933545"/>
    <w:rsid w:val="009337A8"/>
    <w:rsid w:val="00933F19"/>
    <w:rsid w:val="00935A74"/>
    <w:rsid w:val="0093742A"/>
    <w:rsid w:val="00937A34"/>
    <w:rsid w:val="00941308"/>
    <w:rsid w:val="009419BE"/>
    <w:rsid w:val="00941AEC"/>
    <w:rsid w:val="00942435"/>
    <w:rsid w:val="00942BAA"/>
    <w:rsid w:val="009433B0"/>
    <w:rsid w:val="0094348E"/>
    <w:rsid w:val="00944587"/>
    <w:rsid w:val="0094474E"/>
    <w:rsid w:val="00944C28"/>
    <w:rsid w:val="00945EB2"/>
    <w:rsid w:val="00947B47"/>
    <w:rsid w:val="00947ED9"/>
    <w:rsid w:val="0095061F"/>
    <w:rsid w:val="009522C1"/>
    <w:rsid w:val="00952AC8"/>
    <w:rsid w:val="009538A0"/>
    <w:rsid w:val="00953ED5"/>
    <w:rsid w:val="009549EF"/>
    <w:rsid w:val="00954E2D"/>
    <w:rsid w:val="0095506B"/>
    <w:rsid w:val="00956866"/>
    <w:rsid w:val="009576FB"/>
    <w:rsid w:val="00961200"/>
    <w:rsid w:val="0096141A"/>
    <w:rsid w:val="009616D1"/>
    <w:rsid w:val="00963A8F"/>
    <w:rsid w:val="009645C8"/>
    <w:rsid w:val="00966284"/>
    <w:rsid w:val="00967A66"/>
    <w:rsid w:val="009717F7"/>
    <w:rsid w:val="009725F9"/>
    <w:rsid w:val="00976D14"/>
    <w:rsid w:val="00976E80"/>
    <w:rsid w:val="0097735B"/>
    <w:rsid w:val="009775A4"/>
    <w:rsid w:val="0098228A"/>
    <w:rsid w:val="0098265F"/>
    <w:rsid w:val="00982D66"/>
    <w:rsid w:val="00983093"/>
    <w:rsid w:val="00986095"/>
    <w:rsid w:val="009866B2"/>
    <w:rsid w:val="009871A1"/>
    <w:rsid w:val="0099183E"/>
    <w:rsid w:val="00992FE3"/>
    <w:rsid w:val="009931CB"/>
    <w:rsid w:val="009935C6"/>
    <w:rsid w:val="009948CD"/>
    <w:rsid w:val="00994E70"/>
    <w:rsid w:val="009961CE"/>
    <w:rsid w:val="0099693A"/>
    <w:rsid w:val="00996E5D"/>
    <w:rsid w:val="009A0689"/>
    <w:rsid w:val="009A1AEE"/>
    <w:rsid w:val="009A3F87"/>
    <w:rsid w:val="009A402C"/>
    <w:rsid w:val="009A4051"/>
    <w:rsid w:val="009A481B"/>
    <w:rsid w:val="009A4CF3"/>
    <w:rsid w:val="009A4F6C"/>
    <w:rsid w:val="009A5530"/>
    <w:rsid w:val="009A61E3"/>
    <w:rsid w:val="009A62D0"/>
    <w:rsid w:val="009A6DD4"/>
    <w:rsid w:val="009A6DF9"/>
    <w:rsid w:val="009A7E35"/>
    <w:rsid w:val="009B040B"/>
    <w:rsid w:val="009B0E7F"/>
    <w:rsid w:val="009B3575"/>
    <w:rsid w:val="009B37D7"/>
    <w:rsid w:val="009B4DA1"/>
    <w:rsid w:val="009B69FC"/>
    <w:rsid w:val="009B71B6"/>
    <w:rsid w:val="009B789B"/>
    <w:rsid w:val="009B7A16"/>
    <w:rsid w:val="009B7DC3"/>
    <w:rsid w:val="009C0FCF"/>
    <w:rsid w:val="009C26DB"/>
    <w:rsid w:val="009C376D"/>
    <w:rsid w:val="009C402B"/>
    <w:rsid w:val="009C4187"/>
    <w:rsid w:val="009C499F"/>
    <w:rsid w:val="009C4EA1"/>
    <w:rsid w:val="009C5302"/>
    <w:rsid w:val="009C62FE"/>
    <w:rsid w:val="009C7F44"/>
    <w:rsid w:val="009D0F7D"/>
    <w:rsid w:val="009D29E9"/>
    <w:rsid w:val="009D315C"/>
    <w:rsid w:val="009D355D"/>
    <w:rsid w:val="009D3752"/>
    <w:rsid w:val="009D3BDD"/>
    <w:rsid w:val="009D4645"/>
    <w:rsid w:val="009D47A8"/>
    <w:rsid w:val="009D4A90"/>
    <w:rsid w:val="009D4FF4"/>
    <w:rsid w:val="009D5AEE"/>
    <w:rsid w:val="009D79B9"/>
    <w:rsid w:val="009E14FC"/>
    <w:rsid w:val="009E1A64"/>
    <w:rsid w:val="009E1B1C"/>
    <w:rsid w:val="009E22FB"/>
    <w:rsid w:val="009E237E"/>
    <w:rsid w:val="009E362D"/>
    <w:rsid w:val="009E49C6"/>
    <w:rsid w:val="009E4F2D"/>
    <w:rsid w:val="009E5679"/>
    <w:rsid w:val="009E6019"/>
    <w:rsid w:val="009F1A59"/>
    <w:rsid w:val="009F2F3C"/>
    <w:rsid w:val="009F3629"/>
    <w:rsid w:val="009F3F80"/>
    <w:rsid w:val="009F4536"/>
    <w:rsid w:val="009F67E4"/>
    <w:rsid w:val="009F795F"/>
    <w:rsid w:val="00A01048"/>
    <w:rsid w:val="00A01215"/>
    <w:rsid w:val="00A04B80"/>
    <w:rsid w:val="00A04BC3"/>
    <w:rsid w:val="00A04C88"/>
    <w:rsid w:val="00A04F16"/>
    <w:rsid w:val="00A05EAE"/>
    <w:rsid w:val="00A06E47"/>
    <w:rsid w:val="00A06F76"/>
    <w:rsid w:val="00A07358"/>
    <w:rsid w:val="00A1055B"/>
    <w:rsid w:val="00A118C9"/>
    <w:rsid w:val="00A12A52"/>
    <w:rsid w:val="00A12C0F"/>
    <w:rsid w:val="00A137A6"/>
    <w:rsid w:val="00A145F1"/>
    <w:rsid w:val="00A148DE"/>
    <w:rsid w:val="00A14DCF"/>
    <w:rsid w:val="00A15DF4"/>
    <w:rsid w:val="00A160D6"/>
    <w:rsid w:val="00A166C1"/>
    <w:rsid w:val="00A178C3"/>
    <w:rsid w:val="00A2111B"/>
    <w:rsid w:val="00A222E1"/>
    <w:rsid w:val="00A22A19"/>
    <w:rsid w:val="00A24A88"/>
    <w:rsid w:val="00A25BCA"/>
    <w:rsid w:val="00A262C0"/>
    <w:rsid w:val="00A2649F"/>
    <w:rsid w:val="00A269DF"/>
    <w:rsid w:val="00A3056C"/>
    <w:rsid w:val="00A30A24"/>
    <w:rsid w:val="00A322BC"/>
    <w:rsid w:val="00A3259F"/>
    <w:rsid w:val="00A32EC6"/>
    <w:rsid w:val="00A35872"/>
    <w:rsid w:val="00A375EF"/>
    <w:rsid w:val="00A37EFA"/>
    <w:rsid w:val="00A40497"/>
    <w:rsid w:val="00A40AE1"/>
    <w:rsid w:val="00A40CF5"/>
    <w:rsid w:val="00A40F29"/>
    <w:rsid w:val="00A410DB"/>
    <w:rsid w:val="00A41135"/>
    <w:rsid w:val="00A4298D"/>
    <w:rsid w:val="00A43905"/>
    <w:rsid w:val="00A44DC3"/>
    <w:rsid w:val="00A451EF"/>
    <w:rsid w:val="00A4564A"/>
    <w:rsid w:val="00A45D6F"/>
    <w:rsid w:val="00A45FC5"/>
    <w:rsid w:val="00A461A1"/>
    <w:rsid w:val="00A464C3"/>
    <w:rsid w:val="00A50169"/>
    <w:rsid w:val="00A519BF"/>
    <w:rsid w:val="00A51BA2"/>
    <w:rsid w:val="00A5234B"/>
    <w:rsid w:val="00A524C2"/>
    <w:rsid w:val="00A52DAF"/>
    <w:rsid w:val="00A547A6"/>
    <w:rsid w:val="00A54912"/>
    <w:rsid w:val="00A553BA"/>
    <w:rsid w:val="00A56C0D"/>
    <w:rsid w:val="00A56CCA"/>
    <w:rsid w:val="00A56F3A"/>
    <w:rsid w:val="00A57863"/>
    <w:rsid w:val="00A6057E"/>
    <w:rsid w:val="00A6178F"/>
    <w:rsid w:val="00A61CDF"/>
    <w:rsid w:val="00A627E6"/>
    <w:rsid w:val="00A62A2B"/>
    <w:rsid w:val="00A62C0D"/>
    <w:rsid w:val="00A639F0"/>
    <w:rsid w:val="00A6485B"/>
    <w:rsid w:val="00A669DA"/>
    <w:rsid w:val="00A669E2"/>
    <w:rsid w:val="00A66B6C"/>
    <w:rsid w:val="00A67B7E"/>
    <w:rsid w:val="00A67EC1"/>
    <w:rsid w:val="00A70E92"/>
    <w:rsid w:val="00A7128B"/>
    <w:rsid w:val="00A71F2E"/>
    <w:rsid w:val="00A724E8"/>
    <w:rsid w:val="00A729E8"/>
    <w:rsid w:val="00A72E59"/>
    <w:rsid w:val="00A7342D"/>
    <w:rsid w:val="00A73C43"/>
    <w:rsid w:val="00A8056F"/>
    <w:rsid w:val="00A80F8E"/>
    <w:rsid w:val="00A81087"/>
    <w:rsid w:val="00A85DF8"/>
    <w:rsid w:val="00A85EE5"/>
    <w:rsid w:val="00A86D8A"/>
    <w:rsid w:val="00A9050C"/>
    <w:rsid w:val="00A907A4"/>
    <w:rsid w:val="00A90949"/>
    <w:rsid w:val="00A90EF2"/>
    <w:rsid w:val="00A93441"/>
    <w:rsid w:val="00A93510"/>
    <w:rsid w:val="00A937A9"/>
    <w:rsid w:val="00A93DAE"/>
    <w:rsid w:val="00A95078"/>
    <w:rsid w:val="00A9530D"/>
    <w:rsid w:val="00A95FD2"/>
    <w:rsid w:val="00AA01BA"/>
    <w:rsid w:val="00AA04DB"/>
    <w:rsid w:val="00AA082F"/>
    <w:rsid w:val="00AA341B"/>
    <w:rsid w:val="00AA4722"/>
    <w:rsid w:val="00AA5C79"/>
    <w:rsid w:val="00AA622F"/>
    <w:rsid w:val="00AA6905"/>
    <w:rsid w:val="00AB13E0"/>
    <w:rsid w:val="00AB1733"/>
    <w:rsid w:val="00AB33F5"/>
    <w:rsid w:val="00AB48CE"/>
    <w:rsid w:val="00AB48E5"/>
    <w:rsid w:val="00AB5D98"/>
    <w:rsid w:val="00AB5F57"/>
    <w:rsid w:val="00AB7473"/>
    <w:rsid w:val="00AB7C96"/>
    <w:rsid w:val="00AC172D"/>
    <w:rsid w:val="00AC2239"/>
    <w:rsid w:val="00AC2519"/>
    <w:rsid w:val="00AC252B"/>
    <w:rsid w:val="00AC2619"/>
    <w:rsid w:val="00AC28D7"/>
    <w:rsid w:val="00AC3610"/>
    <w:rsid w:val="00AC3ED1"/>
    <w:rsid w:val="00AC47FD"/>
    <w:rsid w:val="00AC48BA"/>
    <w:rsid w:val="00AC69ED"/>
    <w:rsid w:val="00AC7983"/>
    <w:rsid w:val="00AD0993"/>
    <w:rsid w:val="00AD0B78"/>
    <w:rsid w:val="00AD0C69"/>
    <w:rsid w:val="00AD1069"/>
    <w:rsid w:val="00AD1206"/>
    <w:rsid w:val="00AD1BDB"/>
    <w:rsid w:val="00AD2251"/>
    <w:rsid w:val="00AD2632"/>
    <w:rsid w:val="00AD3184"/>
    <w:rsid w:val="00AD40C4"/>
    <w:rsid w:val="00AD4357"/>
    <w:rsid w:val="00AD4FA7"/>
    <w:rsid w:val="00AD5D12"/>
    <w:rsid w:val="00AD67AA"/>
    <w:rsid w:val="00AD68D0"/>
    <w:rsid w:val="00AD70A5"/>
    <w:rsid w:val="00AD767D"/>
    <w:rsid w:val="00AD7E98"/>
    <w:rsid w:val="00AE1889"/>
    <w:rsid w:val="00AE3796"/>
    <w:rsid w:val="00AE44FC"/>
    <w:rsid w:val="00AE4923"/>
    <w:rsid w:val="00AE6206"/>
    <w:rsid w:val="00AE6484"/>
    <w:rsid w:val="00AE7B34"/>
    <w:rsid w:val="00AF246F"/>
    <w:rsid w:val="00AF2911"/>
    <w:rsid w:val="00AF2B2E"/>
    <w:rsid w:val="00AF2DE5"/>
    <w:rsid w:val="00AF37BB"/>
    <w:rsid w:val="00AF45EE"/>
    <w:rsid w:val="00AF6C05"/>
    <w:rsid w:val="00AF710D"/>
    <w:rsid w:val="00B015C5"/>
    <w:rsid w:val="00B02112"/>
    <w:rsid w:val="00B022D4"/>
    <w:rsid w:val="00B02E82"/>
    <w:rsid w:val="00B031F9"/>
    <w:rsid w:val="00B03462"/>
    <w:rsid w:val="00B03604"/>
    <w:rsid w:val="00B03876"/>
    <w:rsid w:val="00B040AE"/>
    <w:rsid w:val="00B04B1F"/>
    <w:rsid w:val="00B05447"/>
    <w:rsid w:val="00B05BE3"/>
    <w:rsid w:val="00B06160"/>
    <w:rsid w:val="00B069DE"/>
    <w:rsid w:val="00B070C8"/>
    <w:rsid w:val="00B071EE"/>
    <w:rsid w:val="00B10B54"/>
    <w:rsid w:val="00B11D15"/>
    <w:rsid w:val="00B12470"/>
    <w:rsid w:val="00B1275B"/>
    <w:rsid w:val="00B1277B"/>
    <w:rsid w:val="00B132C2"/>
    <w:rsid w:val="00B15A28"/>
    <w:rsid w:val="00B15A71"/>
    <w:rsid w:val="00B1655A"/>
    <w:rsid w:val="00B17032"/>
    <w:rsid w:val="00B20CD9"/>
    <w:rsid w:val="00B20E08"/>
    <w:rsid w:val="00B2100D"/>
    <w:rsid w:val="00B210AC"/>
    <w:rsid w:val="00B216A7"/>
    <w:rsid w:val="00B227CE"/>
    <w:rsid w:val="00B229AD"/>
    <w:rsid w:val="00B22A63"/>
    <w:rsid w:val="00B242DE"/>
    <w:rsid w:val="00B24CCD"/>
    <w:rsid w:val="00B25378"/>
    <w:rsid w:val="00B254A9"/>
    <w:rsid w:val="00B270BD"/>
    <w:rsid w:val="00B273EB"/>
    <w:rsid w:val="00B304B8"/>
    <w:rsid w:val="00B317DE"/>
    <w:rsid w:val="00B31AB6"/>
    <w:rsid w:val="00B32494"/>
    <w:rsid w:val="00B32AD4"/>
    <w:rsid w:val="00B32E76"/>
    <w:rsid w:val="00B32F16"/>
    <w:rsid w:val="00B336C3"/>
    <w:rsid w:val="00B3384D"/>
    <w:rsid w:val="00B341E8"/>
    <w:rsid w:val="00B34ACD"/>
    <w:rsid w:val="00B3550A"/>
    <w:rsid w:val="00B35969"/>
    <w:rsid w:val="00B36929"/>
    <w:rsid w:val="00B378F7"/>
    <w:rsid w:val="00B37B63"/>
    <w:rsid w:val="00B42201"/>
    <w:rsid w:val="00B42D10"/>
    <w:rsid w:val="00B430CA"/>
    <w:rsid w:val="00B4549B"/>
    <w:rsid w:val="00B45D90"/>
    <w:rsid w:val="00B46D64"/>
    <w:rsid w:val="00B46D80"/>
    <w:rsid w:val="00B4792D"/>
    <w:rsid w:val="00B502C7"/>
    <w:rsid w:val="00B5069B"/>
    <w:rsid w:val="00B5118B"/>
    <w:rsid w:val="00B5249E"/>
    <w:rsid w:val="00B5280C"/>
    <w:rsid w:val="00B54E59"/>
    <w:rsid w:val="00B554E5"/>
    <w:rsid w:val="00B55E25"/>
    <w:rsid w:val="00B56512"/>
    <w:rsid w:val="00B57B6C"/>
    <w:rsid w:val="00B61697"/>
    <w:rsid w:val="00B61892"/>
    <w:rsid w:val="00B61C01"/>
    <w:rsid w:val="00B61EF1"/>
    <w:rsid w:val="00B62837"/>
    <w:rsid w:val="00B63221"/>
    <w:rsid w:val="00B6341A"/>
    <w:rsid w:val="00B64CA2"/>
    <w:rsid w:val="00B65A84"/>
    <w:rsid w:val="00B65FCD"/>
    <w:rsid w:val="00B661EE"/>
    <w:rsid w:val="00B676C5"/>
    <w:rsid w:val="00B67851"/>
    <w:rsid w:val="00B7044D"/>
    <w:rsid w:val="00B7234E"/>
    <w:rsid w:val="00B72394"/>
    <w:rsid w:val="00B72C35"/>
    <w:rsid w:val="00B73444"/>
    <w:rsid w:val="00B73B58"/>
    <w:rsid w:val="00B7416E"/>
    <w:rsid w:val="00B747C1"/>
    <w:rsid w:val="00B7486F"/>
    <w:rsid w:val="00B74B7C"/>
    <w:rsid w:val="00B74C09"/>
    <w:rsid w:val="00B75189"/>
    <w:rsid w:val="00B75569"/>
    <w:rsid w:val="00B756E4"/>
    <w:rsid w:val="00B7726C"/>
    <w:rsid w:val="00B778DE"/>
    <w:rsid w:val="00B80D6E"/>
    <w:rsid w:val="00B8164A"/>
    <w:rsid w:val="00B8193C"/>
    <w:rsid w:val="00B81F57"/>
    <w:rsid w:val="00B82C19"/>
    <w:rsid w:val="00B84615"/>
    <w:rsid w:val="00B84AB4"/>
    <w:rsid w:val="00B84D10"/>
    <w:rsid w:val="00B84D28"/>
    <w:rsid w:val="00B84F5D"/>
    <w:rsid w:val="00B85917"/>
    <w:rsid w:val="00B85DFF"/>
    <w:rsid w:val="00B8693D"/>
    <w:rsid w:val="00B8725D"/>
    <w:rsid w:val="00B92B58"/>
    <w:rsid w:val="00B933CD"/>
    <w:rsid w:val="00B94512"/>
    <w:rsid w:val="00B946AF"/>
    <w:rsid w:val="00B9499D"/>
    <w:rsid w:val="00B94E89"/>
    <w:rsid w:val="00B95D44"/>
    <w:rsid w:val="00B96190"/>
    <w:rsid w:val="00B962EF"/>
    <w:rsid w:val="00B96D10"/>
    <w:rsid w:val="00B97F44"/>
    <w:rsid w:val="00BA0917"/>
    <w:rsid w:val="00BA2DCD"/>
    <w:rsid w:val="00BA3610"/>
    <w:rsid w:val="00BA5252"/>
    <w:rsid w:val="00BA5824"/>
    <w:rsid w:val="00BA635C"/>
    <w:rsid w:val="00BA678C"/>
    <w:rsid w:val="00BA681A"/>
    <w:rsid w:val="00BA6836"/>
    <w:rsid w:val="00BA7449"/>
    <w:rsid w:val="00BB007C"/>
    <w:rsid w:val="00BB0140"/>
    <w:rsid w:val="00BB138D"/>
    <w:rsid w:val="00BB168E"/>
    <w:rsid w:val="00BB16FE"/>
    <w:rsid w:val="00BB2887"/>
    <w:rsid w:val="00BB2F85"/>
    <w:rsid w:val="00BB3343"/>
    <w:rsid w:val="00BB3454"/>
    <w:rsid w:val="00BB3481"/>
    <w:rsid w:val="00BB5E70"/>
    <w:rsid w:val="00BB635A"/>
    <w:rsid w:val="00BB6800"/>
    <w:rsid w:val="00BC0B55"/>
    <w:rsid w:val="00BC0CD0"/>
    <w:rsid w:val="00BC22DF"/>
    <w:rsid w:val="00BC4698"/>
    <w:rsid w:val="00BC4AF0"/>
    <w:rsid w:val="00BC6397"/>
    <w:rsid w:val="00BC6A81"/>
    <w:rsid w:val="00BC73C4"/>
    <w:rsid w:val="00BC73CA"/>
    <w:rsid w:val="00BD0B6C"/>
    <w:rsid w:val="00BD1CBD"/>
    <w:rsid w:val="00BD56E1"/>
    <w:rsid w:val="00BD5CBF"/>
    <w:rsid w:val="00BD6CE7"/>
    <w:rsid w:val="00BD71EE"/>
    <w:rsid w:val="00BD74EC"/>
    <w:rsid w:val="00BE100B"/>
    <w:rsid w:val="00BE3B8A"/>
    <w:rsid w:val="00BE3ECB"/>
    <w:rsid w:val="00BE404D"/>
    <w:rsid w:val="00BF0086"/>
    <w:rsid w:val="00BF0F1D"/>
    <w:rsid w:val="00BF49FA"/>
    <w:rsid w:val="00BF523F"/>
    <w:rsid w:val="00BF6C03"/>
    <w:rsid w:val="00BF792C"/>
    <w:rsid w:val="00BF7CD8"/>
    <w:rsid w:val="00C018D2"/>
    <w:rsid w:val="00C02639"/>
    <w:rsid w:val="00C02BB7"/>
    <w:rsid w:val="00C03162"/>
    <w:rsid w:val="00C0396B"/>
    <w:rsid w:val="00C03A80"/>
    <w:rsid w:val="00C03B7B"/>
    <w:rsid w:val="00C03D19"/>
    <w:rsid w:val="00C0421A"/>
    <w:rsid w:val="00C05495"/>
    <w:rsid w:val="00C054AE"/>
    <w:rsid w:val="00C05963"/>
    <w:rsid w:val="00C05B25"/>
    <w:rsid w:val="00C05BB4"/>
    <w:rsid w:val="00C06247"/>
    <w:rsid w:val="00C06452"/>
    <w:rsid w:val="00C06645"/>
    <w:rsid w:val="00C06FA4"/>
    <w:rsid w:val="00C101F5"/>
    <w:rsid w:val="00C1057D"/>
    <w:rsid w:val="00C11122"/>
    <w:rsid w:val="00C118F7"/>
    <w:rsid w:val="00C11B36"/>
    <w:rsid w:val="00C11B43"/>
    <w:rsid w:val="00C11DD3"/>
    <w:rsid w:val="00C12275"/>
    <w:rsid w:val="00C12EB2"/>
    <w:rsid w:val="00C131B6"/>
    <w:rsid w:val="00C140A7"/>
    <w:rsid w:val="00C143FB"/>
    <w:rsid w:val="00C14B1A"/>
    <w:rsid w:val="00C1503C"/>
    <w:rsid w:val="00C15700"/>
    <w:rsid w:val="00C16606"/>
    <w:rsid w:val="00C16CFB"/>
    <w:rsid w:val="00C176FB"/>
    <w:rsid w:val="00C17C0C"/>
    <w:rsid w:val="00C20F91"/>
    <w:rsid w:val="00C21284"/>
    <w:rsid w:val="00C213F4"/>
    <w:rsid w:val="00C2177C"/>
    <w:rsid w:val="00C220DB"/>
    <w:rsid w:val="00C228E1"/>
    <w:rsid w:val="00C23072"/>
    <w:rsid w:val="00C24251"/>
    <w:rsid w:val="00C24568"/>
    <w:rsid w:val="00C25418"/>
    <w:rsid w:val="00C25A1F"/>
    <w:rsid w:val="00C2658B"/>
    <w:rsid w:val="00C26CC2"/>
    <w:rsid w:val="00C27079"/>
    <w:rsid w:val="00C27DDD"/>
    <w:rsid w:val="00C30FD4"/>
    <w:rsid w:val="00C31024"/>
    <w:rsid w:val="00C31130"/>
    <w:rsid w:val="00C31468"/>
    <w:rsid w:val="00C3243A"/>
    <w:rsid w:val="00C3345F"/>
    <w:rsid w:val="00C334FE"/>
    <w:rsid w:val="00C3395D"/>
    <w:rsid w:val="00C3613B"/>
    <w:rsid w:val="00C36153"/>
    <w:rsid w:val="00C3637F"/>
    <w:rsid w:val="00C3681E"/>
    <w:rsid w:val="00C3713F"/>
    <w:rsid w:val="00C373D5"/>
    <w:rsid w:val="00C417AC"/>
    <w:rsid w:val="00C4259B"/>
    <w:rsid w:val="00C42909"/>
    <w:rsid w:val="00C42E8A"/>
    <w:rsid w:val="00C42F7B"/>
    <w:rsid w:val="00C4301B"/>
    <w:rsid w:val="00C431D3"/>
    <w:rsid w:val="00C4350C"/>
    <w:rsid w:val="00C43AC9"/>
    <w:rsid w:val="00C444DC"/>
    <w:rsid w:val="00C445AD"/>
    <w:rsid w:val="00C44C0B"/>
    <w:rsid w:val="00C44DF6"/>
    <w:rsid w:val="00C45F11"/>
    <w:rsid w:val="00C46111"/>
    <w:rsid w:val="00C46469"/>
    <w:rsid w:val="00C47270"/>
    <w:rsid w:val="00C507C9"/>
    <w:rsid w:val="00C50C9E"/>
    <w:rsid w:val="00C512D4"/>
    <w:rsid w:val="00C52501"/>
    <w:rsid w:val="00C52D77"/>
    <w:rsid w:val="00C53097"/>
    <w:rsid w:val="00C53109"/>
    <w:rsid w:val="00C53265"/>
    <w:rsid w:val="00C53D0E"/>
    <w:rsid w:val="00C5401D"/>
    <w:rsid w:val="00C54236"/>
    <w:rsid w:val="00C54B55"/>
    <w:rsid w:val="00C55470"/>
    <w:rsid w:val="00C5640F"/>
    <w:rsid w:val="00C57EA2"/>
    <w:rsid w:val="00C6000E"/>
    <w:rsid w:val="00C60A99"/>
    <w:rsid w:val="00C60DD9"/>
    <w:rsid w:val="00C61BE6"/>
    <w:rsid w:val="00C6287F"/>
    <w:rsid w:val="00C63C93"/>
    <w:rsid w:val="00C63DE6"/>
    <w:rsid w:val="00C63F59"/>
    <w:rsid w:val="00C64DD1"/>
    <w:rsid w:val="00C64FA2"/>
    <w:rsid w:val="00C6508B"/>
    <w:rsid w:val="00C65C62"/>
    <w:rsid w:val="00C67AEB"/>
    <w:rsid w:val="00C7055E"/>
    <w:rsid w:val="00C70AD6"/>
    <w:rsid w:val="00C72FF4"/>
    <w:rsid w:val="00C74D73"/>
    <w:rsid w:val="00C753E5"/>
    <w:rsid w:val="00C7589B"/>
    <w:rsid w:val="00C75B0A"/>
    <w:rsid w:val="00C75D8D"/>
    <w:rsid w:val="00C808FB"/>
    <w:rsid w:val="00C80F76"/>
    <w:rsid w:val="00C81096"/>
    <w:rsid w:val="00C81298"/>
    <w:rsid w:val="00C81B9F"/>
    <w:rsid w:val="00C83578"/>
    <w:rsid w:val="00C84A04"/>
    <w:rsid w:val="00C84FE2"/>
    <w:rsid w:val="00C85EC7"/>
    <w:rsid w:val="00C863A6"/>
    <w:rsid w:val="00C8794F"/>
    <w:rsid w:val="00C91D87"/>
    <w:rsid w:val="00C92548"/>
    <w:rsid w:val="00C9294C"/>
    <w:rsid w:val="00C92E8F"/>
    <w:rsid w:val="00C93336"/>
    <w:rsid w:val="00C941FA"/>
    <w:rsid w:val="00C958B1"/>
    <w:rsid w:val="00C96858"/>
    <w:rsid w:val="00C96B02"/>
    <w:rsid w:val="00C96BAE"/>
    <w:rsid w:val="00C97ECE"/>
    <w:rsid w:val="00CA1167"/>
    <w:rsid w:val="00CA11A4"/>
    <w:rsid w:val="00CA2037"/>
    <w:rsid w:val="00CA26AB"/>
    <w:rsid w:val="00CA3486"/>
    <w:rsid w:val="00CA4A76"/>
    <w:rsid w:val="00CA4C50"/>
    <w:rsid w:val="00CA568C"/>
    <w:rsid w:val="00CA5D0E"/>
    <w:rsid w:val="00CA5E33"/>
    <w:rsid w:val="00CA649E"/>
    <w:rsid w:val="00CA74B1"/>
    <w:rsid w:val="00CA7615"/>
    <w:rsid w:val="00CA7D2C"/>
    <w:rsid w:val="00CB0622"/>
    <w:rsid w:val="00CB1B0B"/>
    <w:rsid w:val="00CB25CB"/>
    <w:rsid w:val="00CB283D"/>
    <w:rsid w:val="00CB2869"/>
    <w:rsid w:val="00CB3180"/>
    <w:rsid w:val="00CB36DD"/>
    <w:rsid w:val="00CB4633"/>
    <w:rsid w:val="00CB47EF"/>
    <w:rsid w:val="00CB4D46"/>
    <w:rsid w:val="00CB5695"/>
    <w:rsid w:val="00CB748F"/>
    <w:rsid w:val="00CB74DC"/>
    <w:rsid w:val="00CB74E9"/>
    <w:rsid w:val="00CB7AF8"/>
    <w:rsid w:val="00CC069A"/>
    <w:rsid w:val="00CC0ED3"/>
    <w:rsid w:val="00CC2A84"/>
    <w:rsid w:val="00CC4080"/>
    <w:rsid w:val="00CC4B14"/>
    <w:rsid w:val="00CC511C"/>
    <w:rsid w:val="00CC5279"/>
    <w:rsid w:val="00CC53CA"/>
    <w:rsid w:val="00CC6570"/>
    <w:rsid w:val="00CC66C1"/>
    <w:rsid w:val="00CC7AD6"/>
    <w:rsid w:val="00CD11FE"/>
    <w:rsid w:val="00CD16E8"/>
    <w:rsid w:val="00CD172C"/>
    <w:rsid w:val="00CD18C1"/>
    <w:rsid w:val="00CD215A"/>
    <w:rsid w:val="00CD35F2"/>
    <w:rsid w:val="00CD42CC"/>
    <w:rsid w:val="00CD4938"/>
    <w:rsid w:val="00CD4B3B"/>
    <w:rsid w:val="00CD510D"/>
    <w:rsid w:val="00CD52A2"/>
    <w:rsid w:val="00CD5CA0"/>
    <w:rsid w:val="00CD5DB7"/>
    <w:rsid w:val="00CD6A11"/>
    <w:rsid w:val="00CD6D4B"/>
    <w:rsid w:val="00CD73E2"/>
    <w:rsid w:val="00CD75B6"/>
    <w:rsid w:val="00CE1464"/>
    <w:rsid w:val="00CE2C08"/>
    <w:rsid w:val="00CE2F96"/>
    <w:rsid w:val="00CE3661"/>
    <w:rsid w:val="00CE3A02"/>
    <w:rsid w:val="00CE3B84"/>
    <w:rsid w:val="00CE4F20"/>
    <w:rsid w:val="00CE66BE"/>
    <w:rsid w:val="00CE6AED"/>
    <w:rsid w:val="00CE78B8"/>
    <w:rsid w:val="00CE79BB"/>
    <w:rsid w:val="00CE7B5D"/>
    <w:rsid w:val="00CF280E"/>
    <w:rsid w:val="00CF2B9B"/>
    <w:rsid w:val="00CF39E0"/>
    <w:rsid w:val="00CF430E"/>
    <w:rsid w:val="00CF436C"/>
    <w:rsid w:val="00CF45ED"/>
    <w:rsid w:val="00CF599C"/>
    <w:rsid w:val="00CF5DDB"/>
    <w:rsid w:val="00CF7180"/>
    <w:rsid w:val="00D002F6"/>
    <w:rsid w:val="00D00E8A"/>
    <w:rsid w:val="00D03AEF"/>
    <w:rsid w:val="00D03EEE"/>
    <w:rsid w:val="00D04BBE"/>
    <w:rsid w:val="00D0641F"/>
    <w:rsid w:val="00D07D1B"/>
    <w:rsid w:val="00D116AA"/>
    <w:rsid w:val="00D136C0"/>
    <w:rsid w:val="00D149C9"/>
    <w:rsid w:val="00D15228"/>
    <w:rsid w:val="00D155D7"/>
    <w:rsid w:val="00D15655"/>
    <w:rsid w:val="00D15CD8"/>
    <w:rsid w:val="00D16373"/>
    <w:rsid w:val="00D1670E"/>
    <w:rsid w:val="00D16CB7"/>
    <w:rsid w:val="00D1742F"/>
    <w:rsid w:val="00D17AFA"/>
    <w:rsid w:val="00D210D2"/>
    <w:rsid w:val="00D217D9"/>
    <w:rsid w:val="00D21DE8"/>
    <w:rsid w:val="00D23988"/>
    <w:rsid w:val="00D23AFF"/>
    <w:rsid w:val="00D23CC0"/>
    <w:rsid w:val="00D25CA3"/>
    <w:rsid w:val="00D26A7D"/>
    <w:rsid w:val="00D26B81"/>
    <w:rsid w:val="00D27B27"/>
    <w:rsid w:val="00D27EB1"/>
    <w:rsid w:val="00D30143"/>
    <w:rsid w:val="00D30605"/>
    <w:rsid w:val="00D30939"/>
    <w:rsid w:val="00D30CA8"/>
    <w:rsid w:val="00D33697"/>
    <w:rsid w:val="00D35427"/>
    <w:rsid w:val="00D3691E"/>
    <w:rsid w:val="00D37094"/>
    <w:rsid w:val="00D40123"/>
    <w:rsid w:val="00D40398"/>
    <w:rsid w:val="00D404C6"/>
    <w:rsid w:val="00D40735"/>
    <w:rsid w:val="00D4225E"/>
    <w:rsid w:val="00D45890"/>
    <w:rsid w:val="00D45E8F"/>
    <w:rsid w:val="00D46749"/>
    <w:rsid w:val="00D50072"/>
    <w:rsid w:val="00D503A6"/>
    <w:rsid w:val="00D50908"/>
    <w:rsid w:val="00D50E8F"/>
    <w:rsid w:val="00D515DD"/>
    <w:rsid w:val="00D51AF3"/>
    <w:rsid w:val="00D51B6A"/>
    <w:rsid w:val="00D5278A"/>
    <w:rsid w:val="00D531AD"/>
    <w:rsid w:val="00D537AD"/>
    <w:rsid w:val="00D547B0"/>
    <w:rsid w:val="00D55BE9"/>
    <w:rsid w:val="00D56144"/>
    <w:rsid w:val="00D5693F"/>
    <w:rsid w:val="00D608BA"/>
    <w:rsid w:val="00D60AF8"/>
    <w:rsid w:val="00D620BB"/>
    <w:rsid w:val="00D627BA"/>
    <w:rsid w:val="00D63A5F"/>
    <w:rsid w:val="00D64995"/>
    <w:rsid w:val="00D65185"/>
    <w:rsid w:val="00D65702"/>
    <w:rsid w:val="00D6713F"/>
    <w:rsid w:val="00D67279"/>
    <w:rsid w:val="00D672CF"/>
    <w:rsid w:val="00D6734F"/>
    <w:rsid w:val="00D701BC"/>
    <w:rsid w:val="00D70E16"/>
    <w:rsid w:val="00D7136C"/>
    <w:rsid w:val="00D725CA"/>
    <w:rsid w:val="00D72B0F"/>
    <w:rsid w:val="00D735E7"/>
    <w:rsid w:val="00D7424E"/>
    <w:rsid w:val="00D74BD0"/>
    <w:rsid w:val="00D767D2"/>
    <w:rsid w:val="00D76CB5"/>
    <w:rsid w:val="00D77340"/>
    <w:rsid w:val="00D8005E"/>
    <w:rsid w:val="00D80B64"/>
    <w:rsid w:val="00D812FB"/>
    <w:rsid w:val="00D819E0"/>
    <w:rsid w:val="00D81A46"/>
    <w:rsid w:val="00D81B61"/>
    <w:rsid w:val="00D824CC"/>
    <w:rsid w:val="00D82BB9"/>
    <w:rsid w:val="00D82E24"/>
    <w:rsid w:val="00D84D7E"/>
    <w:rsid w:val="00D864F1"/>
    <w:rsid w:val="00D86698"/>
    <w:rsid w:val="00D8670A"/>
    <w:rsid w:val="00D86B07"/>
    <w:rsid w:val="00D90738"/>
    <w:rsid w:val="00D90BDA"/>
    <w:rsid w:val="00D91439"/>
    <w:rsid w:val="00D93501"/>
    <w:rsid w:val="00D93940"/>
    <w:rsid w:val="00D939F9"/>
    <w:rsid w:val="00D94DC7"/>
    <w:rsid w:val="00D94F1A"/>
    <w:rsid w:val="00D95487"/>
    <w:rsid w:val="00D95763"/>
    <w:rsid w:val="00DA25EE"/>
    <w:rsid w:val="00DA30FF"/>
    <w:rsid w:val="00DA3604"/>
    <w:rsid w:val="00DA40FE"/>
    <w:rsid w:val="00DA4F8E"/>
    <w:rsid w:val="00DA5334"/>
    <w:rsid w:val="00DA742C"/>
    <w:rsid w:val="00DA7FF0"/>
    <w:rsid w:val="00DB01CE"/>
    <w:rsid w:val="00DB05B7"/>
    <w:rsid w:val="00DB0B9F"/>
    <w:rsid w:val="00DB0D2D"/>
    <w:rsid w:val="00DB0E66"/>
    <w:rsid w:val="00DB1E31"/>
    <w:rsid w:val="00DB1EAF"/>
    <w:rsid w:val="00DB1EEA"/>
    <w:rsid w:val="00DB280F"/>
    <w:rsid w:val="00DB3228"/>
    <w:rsid w:val="00DB32D5"/>
    <w:rsid w:val="00DB3793"/>
    <w:rsid w:val="00DB421C"/>
    <w:rsid w:val="00DB47D1"/>
    <w:rsid w:val="00DB5354"/>
    <w:rsid w:val="00DB54C3"/>
    <w:rsid w:val="00DB5D19"/>
    <w:rsid w:val="00DB611C"/>
    <w:rsid w:val="00DB63FB"/>
    <w:rsid w:val="00DB6EA2"/>
    <w:rsid w:val="00DC09D4"/>
    <w:rsid w:val="00DC1C74"/>
    <w:rsid w:val="00DC1F28"/>
    <w:rsid w:val="00DC23A1"/>
    <w:rsid w:val="00DC2FD0"/>
    <w:rsid w:val="00DC42F5"/>
    <w:rsid w:val="00DC437C"/>
    <w:rsid w:val="00DC4EB1"/>
    <w:rsid w:val="00DC7220"/>
    <w:rsid w:val="00DC743C"/>
    <w:rsid w:val="00DC74DC"/>
    <w:rsid w:val="00DD073E"/>
    <w:rsid w:val="00DD0DA6"/>
    <w:rsid w:val="00DD0F5C"/>
    <w:rsid w:val="00DD1DE4"/>
    <w:rsid w:val="00DD4C75"/>
    <w:rsid w:val="00DD4EF4"/>
    <w:rsid w:val="00DD5792"/>
    <w:rsid w:val="00DD5A06"/>
    <w:rsid w:val="00DD6544"/>
    <w:rsid w:val="00DD660A"/>
    <w:rsid w:val="00DD68FC"/>
    <w:rsid w:val="00DD6E3C"/>
    <w:rsid w:val="00DD7E7E"/>
    <w:rsid w:val="00DE0D20"/>
    <w:rsid w:val="00DE1871"/>
    <w:rsid w:val="00DE1BAD"/>
    <w:rsid w:val="00DE2922"/>
    <w:rsid w:val="00DE2CC7"/>
    <w:rsid w:val="00DE36EF"/>
    <w:rsid w:val="00DE37AA"/>
    <w:rsid w:val="00DE4374"/>
    <w:rsid w:val="00DE5C60"/>
    <w:rsid w:val="00DE77B1"/>
    <w:rsid w:val="00DE7D97"/>
    <w:rsid w:val="00DF0182"/>
    <w:rsid w:val="00DF02DB"/>
    <w:rsid w:val="00DF033C"/>
    <w:rsid w:val="00DF053D"/>
    <w:rsid w:val="00DF0543"/>
    <w:rsid w:val="00DF1100"/>
    <w:rsid w:val="00DF12D8"/>
    <w:rsid w:val="00DF13E8"/>
    <w:rsid w:val="00DF1A30"/>
    <w:rsid w:val="00DF1ACA"/>
    <w:rsid w:val="00DF1EA2"/>
    <w:rsid w:val="00DF2672"/>
    <w:rsid w:val="00DF2CDA"/>
    <w:rsid w:val="00DF31D9"/>
    <w:rsid w:val="00DF4688"/>
    <w:rsid w:val="00DF5707"/>
    <w:rsid w:val="00DF5DE5"/>
    <w:rsid w:val="00DF7624"/>
    <w:rsid w:val="00DF7A2D"/>
    <w:rsid w:val="00E001EA"/>
    <w:rsid w:val="00E01445"/>
    <w:rsid w:val="00E01D6C"/>
    <w:rsid w:val="00E04715"/>
    <w:rsid w:val="00E0680E"/>
    <w:rsid w:val="00E07740"/>
    <w:rsid w:val="00E1161F"/>
    <w:rsid w:val="00E11A8C"/>
    <w:rsid w:val="00E11F43"/>
    <w:rsid w:val="00E11FB9"/>
    <w:rsid w:val="00E1204D"/>
    <w:rsid w:val="00E12A46"/>
    <w:rsid w:val="00E135AD"/>
    <w:rsid w:val="00E1415C"/>
    <w:rsid w:val="00E142A8"/>
    <w:rsid w:val="00E16061"/>
    <w:rsid w:val="00E16D27"/>
    <w:rsid w:val="00E17810"/>
    <w:rsid w:val="00E17BC6"/>
    <w:rsid w:val="00E17F83"/>
    <w:rsid w:val="00E22F05"/>
    <w:rsid w:val="00E2358D"/>
    <w:rsid w:val="00E23BA8"/>
    <w:rsid w:val="00E23C22"/>
    <w:rsid w:val="00E242DB"/>
    <w:rsid w:val="00E26048"/>
    <w:rsid w:val="00E261B6"/>
    <w:rsid w:val="00E2627F"/>
    <w:rsid w:val="00E2654C"/>
    <w:rsid w:val="00E27DDA"/>
    <w:rsid w:val="00E31A70"/>
    <w:rsid w:val="00E3278E"/>
    <w:rsid w:val="00E32BD4"/>
    <w:rsid w:val="00E33298"/>
    <w:rsid w:val="00E334BB"/>
    <w:rsid w:val="00E35270"/>
    <w:rsid w:val="00E353BE"/>
    <w:rsid w:val="00E35FB4"/>
    <w:rsid w:val="00E36E44"/>
    <w:rsid w:val="00E37957"/>
    <w:rsid w:val="00E40179"/>
    <w:rsid w:val="00E401C8"/>
    <w:rsid w:val="00E40F24"/>
    <w:rsid w:val="00E40F56"/>
    <w:rsid w:val="00E41966"/>
    <w:rsid w:val="00E439AA"/>
    <w:rsid w:val="00E43E3F"/>
    <w:rsid w:val="00E443B2"/>
    <w:rsid w:val="00E46199"/>
    <w:rsid w:val="00E471CA"/>
    <w:rsid w:val="00E52245"/>
    <w:rsid w:val="00E52E99"/>
    <w:rsid w:val="00E5374C"/>
    <w:rsid w:val="00E537FD"/>
    <w:rsid w:val="00E54131"/>
    <w:rsid w:val="00E5506C"/>
    <w:rsid w:val="00E555A1"/>
    <w:rsid w:val="00E55705"/>
    <w:rsid w:val="00E57D88"/>
    <w:rsid w:val="00E60C2C"/>
    <w:rsid w:val="00E62AB5"/>
    <w:rsid w:val="00E63C2A"/>
    <w:rsid w:val="00E63E3C"/>
    <w:rsid w:val="00E64636"/>
    <w:rsid w:val="00E649C3"/>
    <w:rsid w:val="00E6597B"/>
    <w:rsid w:val="00E65E70"/>
    <w:rsid w:val="00E664F4"/>
    <w:rsid w:val="00E66D01"/>
    <w:rsid w:val="00E67071"/>
    <w:rsid w:val="00E67559"/>
    <w:rsid w:val="00E70327"/>
    <w:rsid w:val="00E70703"/>
    <w:rsid w:val="00E70D2C"/>
    <w:rsid w:val="00E70F9F"/>
    <w:rsid w:val="00E712B9"/>
    <w:rsid w:val="00E71E97"/>
    <w:rsid w:val="00E7261E"/>
    <w:rsid w:val="00E7268F"/>
    <w:rsid w:val="00E72CA5"/>
    <w:rsid w:val="00E72E2B"/>
    <w:rsid w:val="00E73021"/>
    <w:rsid w:val="00E74166"/>
    <w:rsid w:val="00E74801"/>
    <w:rsid w:val="00E74E9E"/>
    <w:rsid w:val="00E7541C"/>
    <w:rsid w:val="00E7551E"/>
    <w:rsid w:val="00E7627A"/>
    <w:rsid w:val="00E80A5B"/>
    <w:rsid w:val="00E817E0"/>
    <w:rsid w:val="00E8239D"/>
    <w:rsid w:val="00E836CE"/>
    <w:rsid w:val="00E8404F"/>
    <w:rsid w:val="00E84318"/>
    <w:rsid w:val="00E84AED"/>
    <w:rsid w:val="00E84EE4"/>
    <w:rsid w:val="00E85689"/>
    <w:rsid w:val="00E857AC"/>
    <w:rsid w:val="00E8704D"/>
    <w:rsid w:val="00E90AE6"/>
    <w:rsid w:val="00E915CD"/>
    <w:rsid w:val="00E92FD6"/>
    <w:rsid w:val="00E931E2"/>
    <w:rsid w:val="00E95319"/>
    <w:rsid w:val="00E95D88"/>
    <w:rsid w:val="00E95ED4"/>
    <w:rsid w:val="00E96C2B"/>
    <w:rsid w:val="00E96EB5"/>
    <w:rsid w:val="00E9735C"/>
    <w:rsid w:val="00EA028E"/>
    <w:rsid w:val="00EA058E"/>
    <w:rsid w:val="00EA199B"/>
    <w:rsid w:val="00EA4186"/>
    <w:rsid w:val="00EA5235"/>
    <w:rsid w:val="00EA5EE6"/>
    <w:rsid w:val="00EA6566"/>
    <w:rsid w:val="00EB07B3"/>
    <w:rsid w:val="00EB1C90"/>
    <w:rsid w:val="00EB2C1E"/>
    <w:rsid w:val="00EB2EF6"/>
    <w:rsid w:val="00EB3300"/>
    <w:rsid w:val="00EB394B"/>
    <w:rsid w:val="00EB3BE0"/>
    <w:rsid w:val="00EB4084"/>
    <w:rsid w:val="00EB4279"/>
    <w:rsid w:val="00EB434D"/>
    <w:rsid w:val="00EB43AE"/>
    <w:rsid w:val="00EB4672"/>
    <w:rsid w:val="00EB4722"/>
    <w:rsid w:val="00EB473F"/>
    <w:rsid w:val="00EB4F23"/>
    <w:rsid w:val="00EB5D7D"/>
    <w:rsid w:val="00EB60C2"/>
    <w:rsid w:val="00EB6B4A"/>
    <w:rsid w:val="00EB7193"/>
    <w:rsid w:val="00EB7D6E"/>
    <w:rsid w:val="00EB7F91"/>
    <w:rsid w:val="00EC020B"/>
    <w:rsid w:val="00EC0694"/>
    <w:rsid w:val="00EC1C33"/>
    <w:rsid w:val="00EC1E6B"/>
    <w:rsid w:val="00EC2138"/>
    <w:rsid w:val="00EC3175"/>
    <w:rsid w:val="00EC3C54"/>
    <w:rsid w:val="00EC620E"/>
    <w:rsid w:val="00EC7EBF"/>
    <w:rsid w:val="00ED028D"/>
    <w:rsid w:val="00ED230C"/>
    <w:rsid w:val="00ED27AC"/>
    <w:rsid w:val="00ED3755"/>
    <w:rsid w:val="00ED54DB"/>
    <w:rsid w:val="00ED5858"/>
    <w:rsid w:val="00ED697C"/>
    <w:rsid w:val="00ED781E"/>
    <w:rsid w:val="00EE139F"/>
    <w:rsid w:val="00EE19D5"/>
    <w:rsid w:val="00EE1E15"/>
    <w:rsid w:val="00EE278D"/>
    <w:rsid w:val="00EE27A8"/>
    <w:rsid w:val="00EE357F"/>
    <w:rsid w:val="00EE3AD3"/>
    <w:rsid w:val="00EE4887"/>
    <w:rsid w:val="00EE4A20"/>
    <w:rsid w:val="00EE590B"/>
    <w:rsid w:val="00EE5B05"/>
    <w:rsid w:val="00EE68D2"/>
    <w:rsid w:val="00EE6B51"/>
    <w:rsid w:val="00EF0C7C"/>
    <w:rsid w:val="00EF2B66"/>
    <w:rsid w:val="00EF38FA"/>
    <w:rsid w:val="00EF4BCA"/>
    <w:rsid w:val="00EF6030"/>
    <w:rsid w:val="00EF6061"/>
    <w:rsid w:val="00F01118"/>
    <w:rsid w:val="00F0141C"/>
    <w:rsid w:val="00F0179E"/>
    <w:rsid w:val="00F01BE6"/>
    <w:rsid w:val="00F022DA"/>
    <w:rsid w:val="00F0309B"/>
    <w:rsid w:val="00F033B3"/>
    <w:rsid w:val="00F0346F"/>
    <w:rsid w:val="00F03BC9"/>
    <w:rsid w:val="00F0629E"/>
    <w:rsid w:val="00F07B5C"/>
    <w:rsid w:val="00F07B71"/>
    <w:rsid w:val="00F07BC3"/>
    <w:rsid w:val="00F10B41"/>
    <w:rsid w:val="00F10FEF"/>
    <w:rsid w:val="00F14A22"/>
    <w:rsid w:val="00F1535C"/>
    <w:rsid w:val="00F16B81"/>
    <w:rsid w:val="00F16E6A"/>
    <w:rsid w:val="00F16EED"/>
    <w:rsid w:val="00F17899"/>
    <w:rsid w:val="00F210A0"/>
    <w:rsid w:val="00F211B5"/>
    <w:rsid w:val="00F22846"/>
    <w:rsid w:val="00F2293E"/>
    <w:rsid w:val="00F22E85"/>
    <w:rsid w:val="00F23095"/>
    <w:rsid w:val="00F23191"/>
    <w:rsid w:val="00F23471"/>
    <w:rsid w:val="00F24CCD"/>
    <w:rsid w:val="00F26159"/>
    <w:rsid w:val="00F26B23"/>
    <w:rsid w:val="00F275E9"/>
    <w:rsid w:val="00F301EA"/>
    <w:rsid w:val="00F3115C"/>
    <w:rsid w:val="00F3131E"/>
    <w:rsid w:val="00F319F3"/>
    <w:rsid w:val="00F3205A"/>
    <w:rsid w:val="00F3358F"/>
    <w:rsid w:val="00F3372D"/>
    <w:rsid w:val="00F3540D"/>
    <w:rsid w:val="00F3596D"/>
    <w:rsid w:val="00F35F2A"/>
    <w:rsid w:val="00F36935"/>
    <w:rsid w:val="00F370A9"/>
    <w:rsid w:val="00F370E7"/>
    <w:rsid w:val="00F37365"/>
    <w:rsid w:val="00F37786"/>
    <w:rsid w:val="00F378B4"/>
    <w:rsid w:val="00F4004E"/>
    <w:rsid w:val="00F40ABC"/>
    <w:rsid w:val="00F40CFC"/>
    <w:rsid w:val="00F412A3"/>
    <w:rsid w:val="00F412DE"/>
    <w:rsid w:val="00F417E2"/>
    <w:rsid w:val="00F41FAB"/>
    <w:rsid w:val="00F41FD8"/>
    <w:rsid w:val="00F42350"/>
    <w:rsid w:val="00F4238B"/>
    <w:rsid w:val="00F42CDB"/>
    <w:rsid w:val="00F42E52"/>
    <w:rsid w:val="00F43A82"/>
    <w:rsid w:val="00F4471A"/>
    <w:rsid w:val="00F45D1A"/>
    <w:rsid w:val="00F50313"/>
    <w:rsid w:val="00F50377"/>
    <w:rsid w:val="00F527DA"/>
    <w:rsid w:val="00F528C7"/>
    <w:rsid w:val="00F53159"/>
    <w:rsid w:val="00F536D1"/>
    <w:rsid w:val="00F53AD1"/>
    <w:rsid w:val="00F5590B"/>
    <w:rsid w:val="00F55B05"/>
    <w:rsid w:val="00F568D3"/>
    <w:rsid w:val="00F57BCA"/>
    <w:rsid w:val="00F60253"/>
    <w:rsid w:val="00F60AF8"/>
    <w:rsid w:val="00F60DC0"/>
    <w:rsid w:val="00F6133F"/>
    <w:rsid w:val="00F615FC"/>
    <w:rsid w:val="00F619C1"/>
    <w:rsid w:val="00F63666"/>
    <w:rsid w:val="00F6442F"/>
    <w:rsid w:val="00F6450D"/>
    <w:rsid w:val="00F645EE"/>
    <w:rsid w:val="00F64B4B"/>
    <w:rsid w:val="00F64BB6"/>
    <w:rsid w:val="00F652A8"/>
    <w:rsid w:val="00F667F2"/>
    <w:rsid w:val="00F668DD"/>
    <w:rsid w:val="00F704AA"/>
    <w:rsid w:val="00F70F1A"/>
    <w:rsid w:val="00F71267"/>
    <w:rsid w:val="00F71A2A"/>
    <w:rsid w:val="00F73831"/>
    <w:rsid w:val="00F73C1E"/>
    <w:rsid w:val="00F74C8A"/>
    <w:rsid w:val="00F75124"/>
    <w:rsid w:val="00F7581F"/>
    <w:rsid w:val="00F76390"/>
    <w:rsid w:val="00F76F0C"/>
    <w:rsid w:val="00F770DC"/>
    <w:rsid w:val="00F77617"/>
    <w:rsid w:val="00F77BAE"/>
    <w:rsid w:val="00F80ACA"/>
    <w:rsid w:val="00F81242"/>
    <w:rsid w:val="00F8139E"/>
    <w:rsid w:val="00F813E4"/>
    <w:rsid w:val="00F82B17"/>
    <w:rsid w:val="00F844DA"/>
    <w:rsid w:val="00F853CC"/>
    <w:rsid w:val="00F876EB"/>
    <w:rsid w:val="00F87838"/>
    <w:rsid w:val="00F90200"/>
    <w:rsid w:val="00F90D85"/>
    <w:rsid w:val="00F90E3C"/>
    <w:rsid w:val="00F9121E"/>
    <w:rsid w:val="00F91C77"/>
    <w:rsid w:val="00F91D42"/>
    <w:rsid w:val="00F927CE"/>
    <w:rsid w:val="00F92D5F"/>
    <w:rsid w:val="00F93D75"/>
    <w:rsid w:val="00F94231"/>
    <w:rsid w:val="00F94BD0"/>
    <w:rsid w:val="00F94D45"/>
    <w:rsid w:val="00F967A4"/>
    <w:rsid w:val="00F978C3"/>
    <w:rsid w:val="00F97CBC"/>
    <w:rsid w:val="00FA0438"/>
    <w:rsid w:val="00FA0858"/>
    <w:rsid w:val="00FA0F44"/>
    <w:rsid w:val="00FA2C1B"/>
    <w:rsid w:val="00FA329A"/>
    <w:rsid w:val="00FA76A6"/>
    <w:rsid w:val="00FA7E08"/>
    <w:rsid w:val="00FB01D7"/>
    <w:rsid w:val="00FB1E0F"/>
    <w:rsid w:val="00FB22CE"/>
    <w:rsid w:val="00FB370C"/>
    <w:rsid w:val="00FB3767"/>
    <w:rsid w:val="00FB48C0"/>
    <w:rsid w:val="00FB5E95"/>
    <w:rsid w:val="00FB5F87"/>
    <w:rsid w:val="00FB6324"/>
    <w:rsid w:val="00FB6516"/>
    <w:rsid w:val="00FB6947"/>
    <w:rsid w:val="00FB7391"/>
    <w:rsid w:val="00FC01C6"/>
    <w:rsid w:val="00FC0AB7"/>
    <w:rsid w:val="00FC16F7"/>
    <w:rsid w:val="00FC300E"/>
    <w:rsid w:val="00FC38C2"/>
    <w:rsid w:val="00FC3931"/>
    <w:rsid w:val="00FC4A18"/>
    <w:rsid w:val="00FC4DB8"/>
    <w:rsid w:val="00FC561A"/>
    <w:rsid w:val="00FC56D3"/>
    <w:rsid w:val="00FC5EE1"/>
    <w:rsid w:val="00FC5FB4"/>
    <w:rsid w:val="00FC6BD3"/>
    <w:rsid w:val="00FC7E38"/>
    <w:rsid w:val="00FD031B"/>
    <w:rsid w:val="00FD11FD"/>
    <w:rsid w:val="00FD1CC6"/>
    <w:rsid w:val="00FD1F2D"/>
    <w:rsid w:val="00FD3537"/>
    <w:rsid w:val="00FD3699"/>
    <w:rsid w:val="00FD4B76"/>
    <w:rsid w:val="00FD6580"/>
    <w:rsid w:val="00FE056D"/>
    <w:rsid w:val="00FE07FC"/>
    <w:rsid w:val="00FE20BE"/>
    <w:rsid w:val="00FE21CE"/>
    <w:rsid w:val="00FE2D7B"/>
    <w:rsid w:val="00FE3B8A"/>
    <w:rsid w:val="00FE3F5E"/>
    <w:rsid w:val="00FE454B"/>
    <w:rsid w:val="00FE554F"/>
    <w:rsid w:val="00FE64E2"/>
    <w:rsid w:val="00FE6E6B"/>
    <w:rsid w:val="00FE7109"/>
    <w:rsid w:val="00FE735A"/>
    <w:rsid w:val="00FE7C37"/>
    <w:rsid w:val="00FF11B8"/>
    <w:rsid w:val="00FF1302"/>
    <w:rsid w:val="00FF168B"/>
    <w:rsid w:val="00FF3695"/>
    <w:rsid w:val="00FF3C8C"/>
    <w:rsid w:val="00FF3D14"/>
    <w:rsid w:val="00FF4417"/>
    <w:rsid w:val="00FF4956"/>
    <w:rsid w:val="00FF5A2A"/>
    <w:rsid w:val="00FF6167"/>
    <w:rsid w:val="00FF645B"/>
    <w:rsid w:val="00FF66B0"/>
    <w:rsid w:val="00FF6F50"/>
    <w:rsid w:val="00FF70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37"/>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2"/>
      </w:numPr>
      <w:spacing w:before="0" w:after="100" w:line="276" w:lineRule="auto"/>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3457">
      <w:bodyDiv w:val="1"/>
      <w:marLeft w:val="0"/>
      <w:marRight w:val="0"/>
      <w:marTop w:val="0"/>
      <w:marBottom w:val="0"/>
      <w:divBdr>
        <w:top w:val="none" w:sz="0" w:space="0" w:color="auto"/>
        <w:left w:val="none" w:sz="0" w:space="0" w:color="auto"/>
        <w:bottom w:val="none" w:sz="0" w:space="0" w:color="auto"/>
        <w:right w:val="none" w:sz="0" w:space="0" w:color="auto"/>
      </w:divBdr>
    </w:div>
    <w:div w:id="112332646">
      <w:bodyDiv w:val="1"/>
      <w:marLeft w:val="0"/>
      <w:marRight w:val="0"/>
      <w:marTop w:val="0"/>
      <w:marBottom w:val="0"/>
      <w:divBdr>
        <w:top w:val="none" w:sz="0" w:space="0" w:color="auto"/>
        <w:left w:val="none" w:sz="0" w:space="0" w:color="auto"/>
        <w:bottom w:val="none" w:sz="0" w:space="0" w:color="auto"/>
        <w:right w:val="none" w:sz="0" w:space="0" w:color="auto"/>
      </w:divBdr>
      <w:divsChild>
        <w:div w:id="1347291443">
          <w:marLeft w:val="0"/>
          <w:marRight w:val="0"/>
          <w:marTop w:val="0"/>
          <w:marBottom w:val="0"/>
          <w:divBdr>
            <w:top w:val="none" w:sz="0" w:space="0" w:color="auto"/>
            <w:left w:val="none" w:sz="0" w:space="0" w:color="auto"/>
            <w:bottom w:val="none" w:sz="0" w:space="0" w:color="auto"/>
            <w:right w:val="none" w:sz="0" w:space="0" w:color="auto"/>
          </w:divBdr>
        </w:div>
      </w:divsChild>
    </w:div>
    <w:div w:id="191381358">
      <w:bodyDiv w:val="1"/>
      <w:marLeft w:val="0"/>
      <w:marRight w:val="0"/>
      <w:marTop w:val="0"/>
      <w:marBottom w:val="0"/>
      <w:divBdr>
        <w:top w:val="none" w:sz="0" w:space="0" w:color="auto"/>
        <w:left w:val="none" w:sz="0" w:space="0" w:color="auto"/>
        <w:bottom w:val="none" w:sz="0" w:space="0" w:color="auto"/>
        <w:right w:val="none" w:sz="0" w:space="0" w:color="auto"/>
      </w:divBdr>
    </w:div>
    <w:div w:id="214048079">
      <w:bodyDiv w:val="1"/>
      <w:marLeft w:val="0"/>
      <w:marRight w:val="0"/>
      <w:marTop w:val="0"/>
      <w:marBottom w:val="0"/>
      <w:divBdr>
        <w:top w:val="none" w:sz="0" w:space="0" w:color="auto"/>
        <w:left w:val="none" w:sz="0" w:space="0" w:color="auto"/>
        <w:bottom w:val="none" w:sz="0" w:space="0" w:color="auto"/>
        <w:right w:val="none" w:sz="0" w:space="0" w:color="auto"/>
      </w:divBdr>
    </w:div>
    <w:div w:id="267153862">
      <w:bodyDiv w:val="1"/>
      <w:marLeft w:val="0"/>
      <w:marRight w:val="0"/>
      <w:marTop w:val="0"/>
      <w:marBottom w:val="0"/>
      <w:divBdr>
        <w:top w:val="none" w:sz="0" w:space="0" w:color="auto"/>
        <w:left w:val="none" w:sz="0" w:space="0" w:color="auto"/>
        <w:bottom w:val="none" w:sz="0" w:space="0" w:color="auto"/>
        <w:right w:val="none" w:sz="0" w:space="0" w:color="auto"/>
      </w:divBdr>
      <w:divsChild>
        <w:div w:id="1253052758">
          <w:marLeft w:val="0"/>
          <w:marRight w:val="0"/>
          <w:marTop w:val="0"/>
          <w:marBottom w:val="0"/>
          <w:divBdr>
            <w:top w:val="none" w:sz="0" w:space="0" w:color="auto"/>
            <w:left w:val="none" w:sz="0" w:space="0" w:color="auto"/>
            <w:bottom w:val="none" w:sz="0" w:space="0" w:color="auto"/>
            <w:right w:val="none" w:sz="0" w:space="0" w:color="auto"/>
          </w:divBdr>
        </w:div>
      </w:divsChild>
    </w:div>
    <w:div w:id="352998810">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3558728">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70415407">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84896267">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69613391">
      <w:bodyDiv w:val="1"/>
      <w:marLeft w:val="0"/>
      <w:marRight w:val="0"/>
      <w:marTop w:val="0"/>
      <w:marBottom w:val="0"/>
      <w:divBdr>
        <w:top w:val="none" w:sz="0" w:space="0" w:color="auto"/>
        <w:left w:val="none" w:sz="0" w:space="0" w:color="auto"/>
        <w:bottom w:val="none" w:sz="0" w:space="0" w:color="auto"/>
        <w:right w:val="none" w:sz="0" w:space="0" w:color="auto"/>
      </w:divBdr>
    </w:div>
    <w:div w:id="1135560040">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91160475">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036346">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92900537">
      <w:bodyDiv w:val="1"/>
      <w:marLeft w:val="0"/>
      <w:marRight w:val="0"/>
      <w:marTop w:val="0"/>
      <w:marBottom w:val="0"/>
      <w:divBdr>
        <w:top w:val="none" w:sz="0" w:space="0" w:color="auto"/>
        <w:left w:val="none" w:sz="0" w:space="0" w:color="auto"/>
        <w:bottom w:val="none" w:sz="0" w:space="0" w:color="auto"/>
        <w:right w:val="none" w:sz="0" w:space="0" w:color="auto"/>
      </w:divBdr>
    </w:div>
    <w:div w:id="2001426583">
      <w:bodyDiv w:val="1"/>
      <w:marLeft w:val="0"/>
      <w:marRight w:val="0"/>
      <w:marTop w:val="0"/>
      <w:marBottom w:val="0"/>
      <w:divBdr>
        <w:top w:val="none" w:sz="0" w:space="0" w:color="auto"/>
        <w:left w:val="none" w:sz="0" w:space="0" w:color="auto"/>
        <w:bottom w:val="none" w:sz="0" w:space="0" w:color="auto"/>
        <w:right w:val="none" w:sz="0" w:space="0" w:color="auto"/>
      </w:divBdr>
    </w:div>
    <w:div w:id="2013409871">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cie105204494.files.wordpress.com/2020/11/acie-roadmap-final-26-october-2020.pdf" TargetMode="External"/><Relationship Id="rId2" Type="http://schemas.openxmlformats.org/officeDocument/2006/relationships/customXml" Target="../customXml/item2.xml"/><Relationship Id="rId16" Type="http://schemas.openxmlformats.org/officeDocument/2006/relationships/hyperlink" Target="https://www.afdo.org.au/wp-content/uploads/2019/09/UN-Outcomes-Report-on-Australi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doi.org/10.1111/jppi.12373" TargetMode="External"/><Relationship Id="rId13" Type="http://schemas.openxmlformats.org/officeDocument/2006/relationships/hyperlink" Target="https://www.cyda.org.au/images/pdf/covid_report_compressed_1.pdf" TargetMode="External"/><Relationship Id="rId18" Type="http://schemas.openxmlformats.org/officeDocument/2006/relationships/hyperlink" Target="https://www.servicesaustralia.gov.au/individuals/services/centrelink/jobseeker-payment/how-much-you-can-get" TargetMode="External"/><Relationship Id="rId3" Type="http://schemas.openxmlformats.org/officeDocument/2006/relationships/hyperlink" Target="https://www.dese.gov.au/data-and-research-schooling/resources/employment-and-income-support" TargetMode="External"/><Relationship Id="rId21" Type="http://schemas.openxmlformats.org/officeDocument/2006/relationships/hyperlink" Target="https://data.ndis.gov.au/explore-data" TargetMode="External"/><Relationship Id="rId7" Type="http://schemas.openxmlformats.org/officeDocument/2006/relationships/hyperlink" Target="https://www.aihw.gov.au/reports/disability/people-with-disability-in-australia/contents/education-and-skills/educational-attainment%20" TargetMode="External"/><Relationship Id="rId12" Type="http://schemas.openxmlformats.org/officeDocument/2006/relationships/hyperlink" Target="https://grattan.edu.au/news/young-australians-need-special-care-through-the-covid-crisis/" TargetMode="External"/><Relationship Id="rId17" Type="http://schemas.openxmlformats.org/officeDocument/2006/relationships/hyperlink" Target="https://www.aihw.gov.au/getmedia/3bc5f549-216e-4199-9a82-fba1bba9208f/aihw-dis-74.pdf.aspx?inline=true" TargetMode="External"/><Relationship Id="rId2" Type="http://schemas.openxmlformats.org/officeDocument/2006/relationships/hyperlink" Target="https://www.dss.gov.au/sites/default/files/documents/12_2019/ndsbeyond2020-fullreport-161219_0.pdf" TargetMode="External"/><Relationship Id="rId16" Type="http://schemas.openxmlformats.org/officeDocument/2006/relationships/hyperlink" Target="https://www.acoss.org.au/wp-content/uploads/2019/11/SurvivingNotLiving.pdf" TargetMode="External"/><Relationship Id="rId20" Type="http://schemas.openxmlformats.org/officeDocument/2006/relationships/hyperlink" Target="https://antipovertyweek.org.au/wp-content/uploads/2019/10/Poverty-Disability-APW-2019.pdf%20" TargetMode="External"/><Relationship Id="rId1" Type="http://schemas.openxmlformats.org/officeDocument/2006/relationships/hyperlink" Target="https://www.aihw.gov.au/reports/disability/people-with-disability-in-australia/contents/people-with-disability/prevalence-of-disability" TargetMode="External"/><Relationship Id="rId6" Type="http://schemas.openxmlformats.org/officeDocument/2006/relationships/hyperlink" Target="https://www.aihw.gov.au/reports/disability/people-with-disability-in-australia/contents/education-and-skills/educational-attainment%20" TargetMode="External"/><Relationship Id="rId11" Type="http://schemas.openxmlformats.org/officeDocument/2006/relationships/hyperlink" Target="https://theconversation.com/5-charts-on-how-covid-19-is-hitting-australias-young-adults-hard-147254" TargetMode="External"/><Relationship Id="rId5" Type="http://schemas.openxmlformats.org/officeDocument/2006/relationships/hyperlink" Target="https://www.cyda.org.au/images/pdf/time_for_change_2019_education_survey_results.pdf" TargetMode="External"/><Relationship Id="rId15" Type="http://schemas.openxmlformats.org/officeDocument/2006/relationships/hyperlink" Target="https://childrenyoungpeople-my.sharepoint.com/personal/mirandacross_cyda_org_au/Documents/at%20https:/raisetherate.org.au/campaign-supporters/" TargetMode="External"/><Relationship Id="rId10" Type="http://schemas.openxmlformats.org/officeDocument/2006/relationships/hyperlink" Target="https://www.pc.gov.au/research/supporting/jobs-ladder/jobs-ladder.pdf" TargetMode="External"/><Relationship Id="rId19" Type="http://schemas.openxmlformats.org/officeDocument/2006/relationships/hyperlink" Target="https://www.servicesaustralia.gov.au/individuals/services/centrelink/youth-allowance-job-seekers/how-much-you-can-get" TargetMode="External"/><Relationship Id="rId4" Type="http://schemas.openxmlformats.org/officeDocument/2006/relationships/hyperlink" Target="https://www.cyda.org.au/images/pdf/towards_inclusive_education_a_necessary_transformation.pdf" TargetMode="External"/><Relationship Id="rId9" Type="http://schemas.openxmlformats.org/officeDocument/2006/relationships/hyperlink" Target="https://www.aihw.gov.au/reports/disability/people-with-disability-in-australia/contents/employment/unemployment" TargetMode="External"/><Relationship Id="rId14" Type="http://schemas.openxmlformats.org/officeDocument/2006/relationships/hyperlink" Target="https://www.cyda.org.au/images/pdf/not_even_remotely_fair_cyda_education_report.pdf" TargetMode="External"/><Relationship Id="rId22" Type="http://schemas.openxmlformats.org/officeDocument/2006/relationships/hyperlink" Target="http://doi.org/10.26190/5c7494b61edc4"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2.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3.xml><?xml version="1.0" encoding="utf-8"?>
<ds:datastoreItem xmlns:ds="http://schemas.openxmlformats.org/officeDocument/2006/customXml" ds:itemID="{42DECEB6-06D6-491F-9151-3E230715D4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7005</Words>
  <Characters>39934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Miranda Cross</cp:lastModifiedBy>
  <cp:revision>6</cp:revision>
  <cp:lastPrinted>2021-01-27T02:04:00Z</cp:lastPrinted>
  <dcterms:created xsi:type="dcterms:W3CDTF">2021-01-29T04:54:00Z</dcterms:created>
  <dcterms:modified xsi:type="dcterms:W3CDTF">2021-02-02T01:16:00Z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