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2F2E" w14:textId="766B0E47" w:rsidR="00E728CC" w:rsidRPr="00B37D58" w:rsidRDefault="00E728CC" w:rsidP="00B8119E">
      <w:pPr>
        <w:spacing w:before="120" w:after="240" w:line="276" w:lineRule="auto"/>
        <w:rPr>
          <w:rFonts w:ascii="Arial" w:hAnsi="Arial" w:cs="Arial"/>
          <w:b/>
          <w:sz w:val="28"/>
          <w:szCs w:val="28"/>
        </w:rPr>
      </w:pPr>
      <w:r w:rsidRPr="00B37D58">
        <w:rPr>
          <w:rFonts w:ascii="Arial" w:hAnsi="Arial" w:cs="Arial"/>
          <w:b/>
          <w:noProof/>
          <w:lang w:eastAsia="en-AU"/>
        </w:rPr>
        <w:drawing>
          <wp:anchor distT="0" distB="0" distL="114300" distR="114300" simplePos="0" relativeHeight="251659264" behindDoc="1" locked="0" layoutInCell="1" allowOverlap="1" wp14:anchorId="2E4834D8" wp14:editId="0A34CE74">
            <wp:simplePos x="0" y="0"/>
            <wp:positionH relativeFrom="margin">
              <wp:posOffset>1812290</wp:posOffset>
            </wp:positionH>
            <wp:positionV relativeFrom="paragraph">
              <wp:posOffset>0</wp:posOffset>
            </wp:positionV>
            <wp:extent cx="2188210" cy="1644650"/>
            <wp:effectExtent l="0" t="0" r="2540" b="0"/>
            <wp:wrapTight wrapText="bothSides">
              <wp:wrapPolygon edited="0">
                <wp:start x="0" y="0"/>
                <wp:lineTo x="0" y="21266"/>
                <wp:lineTo x="21437" y="21266"/>
                <wp:lineTo x="21437"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218821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F1E04F" w14:textId="0F5CDF51" w:rsidR="00E728CC" w:rsidRPr="00B37D58" w:rsidRDefault="00E728CC" w:rsidP="00B8119E">
      <w:pPr>
        <w:spacing w:before="120" w:after="240" w:line="276" w:lineRule="auto"/>
        <w:jc w:val="center"/>
        <w:rPr>
          <w:rFonts w:ascii="Arial" w:hAnsi="Arial" w:cs="Arial"/>
          <w:b/>
          <w:sz w:val="28"/>
          <w:szCs w:val="28"/>
        </w:rPr>
      </w:pPr>
    </w:p>
    <w:p w14:paraId="153731E2" w14:textId="77777777" w:rsidR="00E728CC" w:rsidRPr="00B37D58" w:rsidRDefault="00E728CC" w:rsidP="00B8119E">
      <w:pPr>
        <w:spacing w:before="120" w:after="240" w:line="276" w:lineRule="auto"/>
        <w:rPr>
          <w:rFonts w:ascii="Arial" w:hAnsi="Arial" w:cs="Arial"/>
          <w:b/>
          <w:sz w:val="28"/>
          <w:szCs w:val="28"/>
        </w:rPr>
      </w:pPr>
    </w:p>
    <w:p w14:paraId="01817642" w14:textId="77777777" w:rsidR="00E728CC" w:rsidRPr="00B37D58" w:rsidRDefault="00E728CC" w:rsidP="00B8119E">
      <w:pPr>
        <w:spacing w:before="120" w:after="240" w:line="276" w:lineRule="auto"/>
        <w:rPr>
          <w:rFonts w:ascii="Arial" w:hAnsi="Arial" w:cs="Arial"/>
          <w:b/>
          <w:sz w:val="28"/>
          <w:szCs w:val="28"/>
        </w:rPr>
      </w:pPr>
    </w:p>
    <w:p w14:paraId="23C211B0" w14:textId="5A01BC2B" w:rsidR="0033031B" w:rsidRPr="00B37D58" w:rsidRDefault="0033031B" w:rsidP="00B8119E">
      <w:pPr>
        <w:spacing w:before="120" w:after="240" w:line="276" w:lineRule="auto"/>
        <w:rPr>
          <w:rFonts w:ascii="Arial" w:hAnsi="Arial" w:cs="Arial"/>
          <w:b/>
          <w:sz w:val="40"/>
          <w:szCs w:val="40"/>
        </w:rPr>
      </w:pPr>
    </w:p>
    <w:p w14:paraId="72738D27" w14:textId="77777777" w:rsidR="003F5329" w:rsidRPr="00B37D58" w:rsidRDefault="003F5329" w:rsidP="00B8119E">
      <w:pPr>
        <w:spacing w:before="120" w:after="240" w:line="276" w:lineRule="auto"/>
        <w:rPr>
          <w:rFonts w:ascii="Arial" w:hAnsi="Arial" w:cs="Arial"/>
          <w:b/>
          <w:sz w:val="40"/>
          <w:szCs w:val="40"/>
        </w:rPr>
      </w:pPr>
    </w:p>
    <w:p w14:paraId="1A91C888" w14:textId="4213F660" w:rsidR="00E728CC" w:rsidRPr="00B37D58" w:rsidRDefault="0093321D" w:rsidP="00B8119E">
      <w:pPr>
        <w:spacing w:before="120" w:after="240" w:line="276" w:lineRule="auto"/>
        <w:rPr>
          <w:rFonts w:ascii="Arial" w:hAnsi="Arial" w:cs="Arial"/>
          <w:b/>
          <w:sz w:val="32"/>
          <w:szCs w:val="32"/>
        </w:rPr>
      </w:pPr>
      <w:bookmarkStart w:id="0" w:name="_Hlk77863486"/>
      <w:r>
        <w:rPr>
          <w:rFonts w:ascii="Arial" w:hAnsi="Arial" w:cs="Arial"/>
          <w:b/>
          <w:sz w:val="48"/>
          <w:szCs w:val="48"/>
        </w:rPr>
        <w:t>Quality Initial Teacher Education Review</w:t>
      </w:r>
      <w:bookmarkEnd w:id="0"/>
      <w:r>
        <w:rPr>
          <w:rFonts w:ascii="Arial" w:hAnsi="Arial" w:cs="Arial"/>
          <w:b/>
          <w:sz w:val="48"/>
          <w:szCs w:val="48"/>
        </w:rPr>
        <w:t xml:space="preserve"> </w:t>
      </w:r>
    </w:p>
    <w:p w14:paraId="65C6C007" w14:textId="77777777" w:rsidR="00E728CC" w:rsidRPr="00B37D58" w:rsidRDefault="00E728CC" w:rsidP="00B8119E">
      <w:pPr>
        <w:spacing w:before="120" w:after="240" w:line="276" w:lineRule="auto"/>
        <w:rPr>
          <w:rFonts w:ascii="Arial" w:hAnsi="Arial" w:cs="Arial"/>
          <w:b/>
          <w:sz w:val="24"/>
          <w:szCs w:val="24"/>
        </w:rPr>
      </w:pPr>
    </w:p>
    <w:p w14:paraId="26E10000" w14:textId="7BEEFA9D" w:rsidR="0033031B" w:rsidRPr="00B37D58" w:rsidRDefault="0033031B" w:rsidP="00B8119E">
      <w:pPr>
        <w:spacing w:before="120" w:after="240" w:line="276" w:lineRule="auto"/>
        <w:rPr>
          <w:rFonts w:ascii="Arial" w:hAnsi="Arial" w:cs="Arial"/>
          <w:b/>
          <w:sz w:val="36"/>
          <w:szCs w:val="24"/>
        </w:rPr>
      </w:pPr>
    </w:p>
    <w:p w14:paraId="1A115831" w14:textId="77777777" w:rsidR="003F5329" w:rsidRPr="00B37D58" w:rsidRDefault="003F5329" w:rsidP="00B8119E">
      <w:pPr>
        <w:spacing w:before="120" w:after="240" w:line="276" w:lineRule="auto"/>
        <w:rPr>
          <w:rFonts w:ascii="Arial" w:hAnsi="Arial" w:cs="Arial"/>
          <w:b/>
          <w:sz w:val="36"/>
          <w:szCs w:val="24"/>
        </w:rPr>
      </w:pPr>
    </w:p>
    <w:p w14:paraId="4F2C9222" w14:textId="77777777" w:rsidR="003F5329" w:rsidRPr="00B37D58" w:rsidRDefault="003F5329" w:rsidP="00B8119E">
      <w:pPr>
        <w:spacing w:before="120" w:after="240" w:line="276" w:lineRule="auto"/>
        <w:rPr>
          <w:rFonts w:ascii="Arial" w:hAnsi="Arial" w:cs="Arial"/>
          <w:b/>
          <w:sz w:val="36"/>
          <w:szCs w:val="24"/>
        </w:rPr>
      </w:pPr>
    </w:p>
    <w:p w14:paraId="219F990E" w14:textId="071C5560" w:rsidR="00371DA6" w:rsidRPr="00B37D58" w:rsidRDefault="00100066" w:rsidP="00B8119E">
      <w:pPr>
        <w:spacing w:before="120" w:after="240" w:line="276" w:lineRule="auto"/>
        <w:rPr>
          <w:rFonts w:ascii="Arial" w:hAnsi="Arial" w:cs="Arial"/>
          <w:b/>
          <w:sz w:val="36"/>
          <w:szCs w:val="24"/>
        </w:rPr>
      </w:pPr>
      <w:r w:rsidRPr="00B37D58">
        <w:rPr>
          <w:rFonts w:ascii="Arial" w:hAnsi="Arial" w:cs="Arial"/>
          <w:b/>
          <w:sz w:val="36"/>
          <w:szCs w:val="24"/>
        </w:rPr>
        <w:t>Submission</w:t>
      </w:r>
    </w:p>
    <w:p w14:paraId="0136C6B5" w14:textId="3109EA08" w:rsidR="00E728CC" w:rsidRPr="00B37D58" w:rsidRDefault="0093321D" w:rsidP="00B8119E">
      <w:pPr>
        <w:spacing w:before="120" w:after="240" w:line="276" w:lineRule="auto"/>
        <w:rPr>
          <w:rFonts w:ascii="Arial" w:hAnsi="Arial" w:cs="Arial"/>
          <w:b/>
          <w:sz w:val="36"/>
          <w:szCs w:val="24"/>
        </w:rPr>
      </w:pPr>
      <w:r>
        <w:rPr>
          <w:rFonts w:ascii="Arial" w:hAnsi="Arial" w:cs="Arial"/>
          <w:b/>
          <w:sz w:val="36"/>
          <w:szCs w:val="24"/>
        </w:rPr>
        <w:t>July 2021</w:t>
      </w:r>
    </w:p>
    <w:p w14:paraId="28EF2E38" w14:textId="77777777" w:rsidR="00E728CC" w:rsidRPr="00B37D58" w:rsidRDefault="00E728CC" w:rsidP="00B8119E">
      <w:pPr>
        <w:spacing w:before="120" w:after="240" w:line="276" w:lineRule="auto"/>
        <w:rPr>
          <w:rFonts w:ascii="Arial" w:hAnsi="Arial" w:cs="Arial"/>
          <w:sz w:val="24"/>
          <w:szCs w:val="24"/>
        </w:rPr>
      </w:pPr>
    </w:p>
    <w:p w14:paraId="7ACCD4B6" w14:textId="77777777" w:rsidR="00E728CC" w:rsidRPr="00B37D58" w:rsidRDefault="00E728CC" w:rsidP="00B8119E">
      <w:pPr>
        <w:spacing w:before="120" w:after="240" w:line="276" w:lineRule="auto"/>
        <w:rPr>
          <w:rFonts w:ascii="Arial" w:hAnsi="Arial" w:cs="Arial"/>
          <w:sz w:val="24"/>
          <w:szCs w:val="24"/>
        </w:rPr>
      </w:pPr>
    </w:p>
    <w:p w14:paraId="1F093711" w14:textId="77777777" w:rsidR="00E728CC" w:rsidRPr="00B37D58" w:rsidRDefault="00E728CC" w:rsidP="00B8119E">
      <w:pPr>
        <w:tabs>
          <w:tab w:val="center" w:pos="4873"/>
        </w:tabs>
        <w:spacing w:before="120" w:after="240" w:line="276" w:lineRule="auto"/>
        <w:rPr>
          <w:rFonts w:ascii="Arial" w:hAnsi="Arial" w:cs="Arial"/>
          <w:sz w:val="24"/>
          <w:szCs w:val="24"/>
        </w:rPr>
        <w:sectPr w:rsidR="00E728CC" w:rsidRPr="00B37D58" w:rsidSect="0063415B">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pPr>
      <w:r w:rsidRPr="00B37D58">
        <w:rPr>
          <w:rFonts w:ascii="Arial" w:hAnsi="Arial" w:cs="Arial"/>
          <w:sz w:val="24"/>
          <w:szCs w:val="24"/>
        </w:rPr>
        <w:tab/>
      </w:r>
    </w:p>
    <w:p w14:paraId="28E81E98" w14:textId="77777777" w:rsidR="00672AC8" w:rsidRPr="00E35DC5" w:rsidRDefault="00672AC8" w:rsidP="00672AC8"/>
    <w:p w14:paraId="6BEA6E67" w14:textId="77777777" w:rsidR="00672AC8" w:rsidRPr="00E35DC5" w:rsidRDefault="00672AC8" w:rsidP="00672AC8"/>
    <w:p w14:paraId="1B9A66AC" w14:textId="77777777" w:rsidR="00672AC8" w:rsidRPr="00E35DC5" w:rsidRDefault="00672AC8" w:rsidP="00672AC8"/>
    <w:p w14:paraId="0D6194B4" w14:textId="77777777" w:rsidR="00672AC8" w:rsidRPr="00E35DC5" w:rsidRDefault="00672AC8" w:rsidP="00672AC8">
      <w:pPr>
        <w:rPr>
          <w:b/>
        </w:rPr>
      </w:pPr>
    </w:p>
    <w:p w14:paraId="7392640D" w14:textId="77777777" w:rsidR="00672AC8" w:rsidRPr="00E35DC5" w:rsidRDefault="00672AC8" w:rsidP="00672AC8">
      <w:pPr>
        <w:rPr>
          <w:b/>
        </w:rPr>
      </w:pPr>
    </w:p>
    <w:p w14:paraId="52153C6F" w14:textId="77777777" w:rsidR="00672AC8" w:rsidRPr="00E35DC5" w:rsidRDefault="00672AC8" w:rsidP="00672AC8">
      <w:pPr>
        <w:rPr>
          <w:b/>
        </w:rPr>
      </w:pPr>
    </w:p>
    <w:p w14:paraId="13BC55F4" w14:textId="77777777" w:rsidR="00672AC8" w:rsidRPr="00E35DC5" w:rsidRDefault="00672AC8" w:rsidP="00672AC8">
      <w:pPr>
        <w:rPr>
          <w:b/>
        </w:rPr>
      </w:pPr>
    </w:p>
    <w:p w14:paraId="3B3A2D22" w14:textId="77777777" w:rsidR="00672AC8" w:rsidRPr="00E35DC5" w:rsidRDefault="00672AC8" w:rsidP="00672AC8">
      <w:pPr>
        <w:rPr>
          <w:b/>
        </w:rPr>
      </w:pPr>
    </w:p>
    <w:p w14:paraId="41E253BC" w14:textId="77777777" w:rsidR="00672AC8" w:rsidRPr="00E35DC5" w:rsidRDefault="00672AC8" w:rsidP="00672AC8">
      <w:pPr>
        <w:rPr>
          <w:b/>
        </w:rPr>
      </w:pPr>
    </w:p>
    <w:p w14:paraId="22B319BB" w14:textId="77777777" w:rsidR="00672AC8" w:rsidRPr="00E35DC5" w:rsidRDefault="00672AC8" w:rsidP="00672AC8">
      <w:pPr>
        <w:rPr>
          <w:b/>
        </w:rPr>
      </w:pPr>
    </w:p>
    <w:p w14:paraId="4BEEEAE2" w14:textId="77777777" w:rsidR="00672AC8" w:rsidRPr="00E35DC5" w:rsidRDefault="00672AC8" w:rsidP="00672AC8">
      <w:pPr>
        <w:rPr>
          <w:b/>
        </w:rPr>
      </w:pPr>
    </w:p>
    <w:p w14:paraId="27B5B2AD" w14:textId="77777777" w:rsidR="00672AC8" w:rsidRPr="00E35DC5" w:rsidRDefault="00672AC8" w:rsidP="00672AC8">
      <w:pPr>
        <w:rPr>
          <w:b/>
        </w:rPr>
      </w:pPr>
    </w:p>
    <w:p w14:paraId="009450C5" w14:textId="77777777" w:rsidR="00672AC8" w:rsidRPr="00E35DC5" w:rsidRDefault="00672AC8" w:rsidP="00672AC8">
      <w:pPr>
        <w:rPr>
          <w:b/>
        </w:rPr>
      </w:pPr>
    </w:p>
    <w:p w14:paraId="54EB58B4" w14:textId="77777777" w:rsidR="00672AC8" w:rsidRPr="00E35DC5" w:rsidRDefault="00672AC8" w:rsidP="00672AC8">
      <w:pPr>
        <w:rPr>
          <w:b/>
        </w:rPr>
      </w:pPr>
    </w:p>
    <w:p w14:paraId="63B6C1A3" w14:textId="77777777" w:rsidR="00672AC8" w:rsidRPr="00E35DC5" w:rsidRDefault="00672AC8" w:rsidP="00672AC8">
      <w:pPr>
        <w:rPr>
          <w:b/>
        </w:rPr>
      </w:pPr>
    </w:p>
    <w:p w14:paraId="752F841F" w14:textId="77777777" w:rsidR="00672AC8" w:rsidRPr="00E35DC5" w:rsidRDefault="00672AC8" w:rsidP="00672AC8">
      <w:pPr>
        <w:rPr>
          <w:b/>
        </w:rPr>
      </w:pPr>
    </w:p>
    <w:p w14:paraId="3AEC8768" w14:textId="77777777" w:rsidR="00672AC8" w:rsidRPr="00E35DC5" w:rsidRDefault="00672AC8" w:rsidP="00672AC8">
      <w:pPr>
        <w:rPr>
          <w:b/>
        </w:rPr>
      </w:pPr>
    </w:p>
    <w:p w14:paraId="1F137B39" w14:textId="77777777" w:rsidR="00672AC8" w:rsidRPr="00E35DC5" w:rsidRDefault="00672AC8" w:rsidP="00672AC8">
      <w:pPr>
        <w:rPr>
          <w:b/>
        </w:rPr>
      </w:pPr>
    </w:p>
    <w:p w14:paraId="496AF666" w14:textId="77777777" w:rsidR="00672AC8" w:rsidRPr="00672AC8" w:rsidRDefault="00672AC8" w:rsidP="00672AC8">
      <w:pPr>
        <w:rPr>
          <w:rFonts w:ascii="Arial" w:hAnsi="Arial" w:cs="Arial"/>
          <w:b/>
        </w:rPr>
      </w:pPr>
      <w:r w:rsidRPr="00672AC8">
        <w:rPr>
          <w:rFonts w:ascii="Arial" w:hAnsi="Arial" w:cs="Arial"/>
          <w:b/>
        </w:rPr>
        <w:t>Authorised by:</w:t>
      </w:r>
    </w:p>
    <w:p w14:paraId="277B85D7" w14:textId="77777777" w:rsidR="00672AC8" w:rsidRPr="00672AC8" w:rsidRDefault="00672AC8" w:rsidP="00672AC8">
      <w:pPr>
        <w:rPr>
          <w:rFonts w:ascii="Arial" w:hAnsi="Arial" w:cs="Arial"/>
        </w:rPr>
      </w:pPr>
      <w:r w:rsidRPr="00672AC8">
        <w:rPr>
          <w:rFonts w:ascii="Arial" w:hAnsi="Arial" w:cs="Arial"/>
        </w:rPr>
        <w:t>Mary Sayers, Chief Executive Officer</w:t>
      </w:r>
    </w:p>
    <w:p w14:paraId="48CA5A54" w14:textId="77777777" w:rsidR="00672AC8" w:rsidRPr="00672AC8" w:rsidRDefault="00672AC8" w:rsidP="00672AC8">
      <w:pPr>
        <w:rPr>
          <w:rFonts w:ascii="Arial" w:hAnsi="Arial" w:cs="Arial"/>
          <w:b/>
        </w:rPr>
      </w:pPr>
      <w:r w:rsidRPr="00672AC8">
        <w:rPr>
          <w:rFonts w:ascii="Arial" w:hAnsi="Arial" w:cs="Arial"/>
          <w:b/>
        </w:rPr>
        <w:t>Contact details:</w:t>
      </w:r>
    </w:p>
    <w:p w14:paraId="15F81E76" w14:textId="77777777" w:rsidR="00672AC8" w:rsidRPr="00672AC8" w:rsidRDefault="00672AC8" w:rsidP="00672AC8">
      <w:pPr>
        <w:rPr>
          <w:rFonts w:ascii="Arial" w:hAnsi="Arial" w:cs="Arial"/>
        </w:rPr>
      </w:pPr>
      <w:r w:rsidRPr="00672AC8">
        <w:rPr>
          <w:rFonts w:ascii="Arial" w:hAnsi="Arial" w:cs="Arial"/>
        </w:rPr>
        <w:t>Children and Young People with Disability Australia</w:t>
      </w:r>
      <w:r w:rsidRPr="00672AC8">
        <w:rPr>
          <w:rFonts w:ascii="Arial" w:hAnsi="Arial" w:cs="Arial"/>
        </w:rPr>
        <w:br/>
        <w:t xml:space="preserve">E. </w:t>
      </w:r>
      <w:hyperlink r:id="rId13" w:history="1">
        <w:r w:rsidRPr="00672AC8">
          <w:rPr>
            <w:rStyle w:val="Hyperlink"/>
            <w:rFonts w:ascii="Arial" w:hAnsi="Arial" w:cs="Arial"/>
          </w:rPr>
          <w:t>marysayers@cyda.org.au</w:t>
        </w:r>
      </w:hyperlink>
      <w:r w:rsidRPr="00672AC8">
        <w:rPr>
          <w:rFonts w:ascii="Arial" w:hAnsi="Arial" w:cs="Arial"/>
        </w:rPr>
        <w:br/>
        <w:t>P. 03 9417 1025</w:t>
      </w:r>
      <w:r w:rsidRPr="00672AC8">
        <w:rPr>
          <w:rFonts w:ascii="Arial" w:hAnsi="Arial" w:cs="Arial"/>
        </w:rPr>
        <w:br/>
        <w:t xml:space="preserve">W. </w:t>
      </w:r>
      <w:hyperlink r:id="rId14" w:history="1">
        <w:r w:rsidRPr="00672AC8">
          <w:rPr>
            <w:rStyle w:val="Hyperlink"/>
            <w:rFonts w:ascii="Arial" w:hAnsi="Arial" w:cs="Arial"/>
          </w:rPr>
          <w:t>www.cyda.org.au</w:t>
        </w:r>
      </w:hyperlink>
    </w:p>
    <w:p w14:paraId="6AB55574" w14:textId="77777777" w:rsidR="00672AC8" w:rsidRPr="00672AC8" w:rsidRDefault="00672AC8" w:rsidP="00672AC8">
      <w:pPr>
        <w:rPr>
          <w:rFonts w:ascii="Arial" w:hAnsi="Arial" w:cs="Arial"/>
        </w:rPr>
      </w:pPr>
    </w:p>
    <w:p w14:paraId="499C3302" w14:textId="77777777" w:rsidR="00672AC8" w:rsidRPr="00672AC8" w:rsidRDefault="00672AC8" w:rsidP="00672AC8">
      <w:pPr>
        <w:rPr>
          <w:rFonts w:ascii="Arial" w:hAnsi="Arial" w:cs="Arial"/>
        </w:rPr>
      </w:pPr>
    </w:p>
    <w:p w14:paraId="085DB4D6" w14:textId="77777777" w:rsidR="00672AC8" w:rsidRPr="00672AC8" w:rsidRDefault="00672AC8" w:rsidP="00672AC8">
      <w:pPr>
        <w:rPr>
          <w:rFonts w:ascii="Arial" w:hAnsi="Arial" w:cs="Arial"/>
          <w:b/>
        </w:rPr>
      </w:pPr>
      <w:r w:rsidRPr="00672AC8">
        <w:rPr>
          <w:rFonts w:ascii="Arial" w:hAnsi="Arial" w:cs="Arial"/>
          <w:b/>
        </w:rPr>
        <w:t>Acknowledgements:</w:t>
      </w:r>
    </w:p>
    <w:p w14:paraId="0DEF38CE" w14:textId="77777777" w:rsidR="00672AC8" w:rsidRPr="00672AC8" w:rsidRDefault="00672AC8" w:rsidP="00672AC8">
      <w:pPr>
        <w:rPr>
          <w:rFonts w:ascii="Arial" w:hAnsi="Arial" w:cs="Arial"/>
        </w:rPr>
      </w:pPr>
      <w:r w:rsidRPr="00672AC8">
        <w:rPr>
          <w:rFonts w:ascii="Arial" w:hAnsi="Arial" w:cs="Arial"/>
        </w:rPr>
        <w:t xml:space="preserve">Children and Young People with Disability Australia would like to acknowledge the traditional custodians of the lands on which this report has been written, </w:t>
      </w:r>
      <w:proofErr w:type="gramStart"/>
      <w:r w:rsidRPr="00672AC8">
        <w:rPr>
          <w:rFonts w:ascii="Arial" w:hAnsi="Arial" w:cs="Arial"/>
        </w:rPr>
        <w:t>reviewed</w:t>
      </w:r>
      <w:proofErr w:type="gramEnd"/>
      <w:r w:rsidRPr="00672AC8">
        <w:rPr>
          <w:rFonts w:ascii="Arial" w:hAnsi="Arial" w:cs="Arial"/>
        </w:rPr>
        <w:t xml:space="preserve"> and produced, whose cultures and customs have nurtured and continue to nurture this land since the Dreamtime. We pay our respects to their Elders past, present and future. This is, was and always will be Aboriginal land.</w:t>
      </w:r>
    </w:p>
    <w:p w14:paraId="7B400F54" w14:textId="6C7168AB" w:rsidR="008F05AD" w:rsidRPr="00B37D58" w:rsidRDefault="008F05AD" w:rsidP="00B8119E">
      <w:pPr>
        <w:spacing w:before="120" w:after="240" w:line="276" w:lineRule="auto"/>
        <w:rPr>
          <w:rFonts w:ascii="Arial" w:eastAsiaTheme="majorEastAsia" w:hAnsi="Arial" w:cs="Arial"/>
          <w:color w:val="538135" w:themeColor="accent6" w:themeShade="BF"/>
          <w:sz w:val="32"/>
          <w:szCs w:val="32"/>
        </w:rPr>
      </w:pPr>
      <w:r w:rsidRPr="00B37D58">
        <w:rPr>
          <w:rFonts w:ascii="Arial" w:hAnsi="Arial" w:cs="Arial"/>
        </w:rPr>
        <w:br w:type="page"/>
      </w:r>
    </w:p>
    <w:bookmarkStart w:id="1" w:name="_Toc52122105" w:displacedByCustomXml="next"/>
    <w:bookmarkStart w:id="2" w:name="_Toc52122106" w:displacedByCustomXml="next"/>
    <w:sdt>
      <w:sdtPr>
        <w:rPr>
          <w:rFonts w:asciiTheme="minorHAnsi" w:eastAsiaTheme="minorHAnsi" w:hAnsiTheme="minorHAnsi" w:cstheme="minorBidi"/>
          <w:color w:val="auto"/>
          <w:sz w:val="22"/>
          <w:szCs w:val="22"/>
          <w:lang w:val="en-AU"/>
        </w:rPr>
        <w:id w:val="-960721331"/>
        <w:docPartObj>
          <w:docPartGallery w:val="Table of Contents"/>
          <w:docPartUnique/>
        </w:docPartObj>
      </w:sdtPr>
      <w:sdtEndPr>
        <w:rPr>
          <w:b/>
          <w:bCs/>
          <w:noProof/>
        </w:rPr>
      </w:sdtEndPr>
      <w:sdtContent>
        <w:p w14:paraId="6A555709" w14:textId="62D2D810" w:rsidR="00672AC8" w:rsidRDefault="00672AC8">
          <w:pPr>
            <w:pStyle w:val="TOCHeading"/>
          </w:pPr>
          <w:r>
            <w:t>Contents</w:t>
          </w:r>
        </w:p>
        <w:p w14:paraId="1500EBFA" w14:textId="0F6A290B" w:rsidR="00A059EF" w:rsidRDefault="00672AC8">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7952980" w:history="1">
            <w:r w:rsidR="00A059EF" w:rsidRPr="00270DB5">
              <w:rPr>
                <w:rStyle w:val="Hyperlink"/>
                <w:rFonts w:cs="Arial"/>
                <w:noProof/>
              </w:rPr>
              <w:t>Executive summary</w:t>
            </w:r>
            <w:r w:rsidR="00A059EF">
              <w:rPr>
                <w:noProof/>
                <w:webHidden/>
              </w:rPr>
              <w:tab/>
            </w:r>
            <w:r w:rsidR="00A059EF">
              <w:rPr>
                <w:noProof/>
                <w:webHidden/>
              </w:rPr>
              <w:fldChar w:fldCharType="begin"/>
            </w:r>
            <w:r w:rsidR="00A059EF">
              <w:rPr>
                <w:noProof/>
                <w:webHidden/>
              </w:rPr>
              <w:instrText xml:space="preserve"> PAGEREF _Toc77952980 \h </w:instrText>
            </w:r>
            <w:r w:rsidR="00A059EF">
              <w:rPr>
                <w:noProof/>
                <w:webHidden/>
              </w:rPr>
            </w:r>
            <w:r w:rsidR="00A059EF">
              <w:rPr>
                <w:noProof/>
                <w:webHidden/>
              </w:rPr>
              <w:fldChar w:fldCharType="separate"/>
            </w:r>
            <w:r w:rsidR="00A059EF">
              <w:rPr>
                <w:noProof/>
                <w:webHidden/>
              </w:rPr>
              <w:t>4</w:t>
            </w:r>
            <w:r w:rsidR="00A059EF">
              <w:rPr>
                <w:noProof/>
                <w:webHidden/>
              </w:rPr>
              <w:fldChar w:fldCharType="end"/>
            </w:r>
          </w:hyperlink>
        </w:p>
        <w:p w14:paraId="5F69889F" w14:textId="4E5189F8" w:rsidR="00A059EF" w:rsidRDefault="00764FE2">
          <w:pPr>
            <w:pStyle w:val="TOC1"/>
            <w:rPr>
              <w:rFonts w:asciiTheme="minorHAnsi" w:eastAsiaTheme="minorEastAsia" w:hAnsiTheme="minorHAnsi"/>
              <w:noProof/>
              <w:sz w:val="22"/>
              <w:lang w:eastAsia="en-AU"/>
            </w:rPr>
          </w:pPr>
          <w:hyperlink w:anchor="_Toc77952981" w:history="1">
            <w:r w:rsidR="00A059EF" w:rsidRPr="00270DB5">
              <w:rPr>
                <w:rStyle w:val="Hyperlink"/>
                <w:noProof/>
              </w:rPr>
              <w:t>Driving change for inclusive education</w:t>
            </w:r>
            <w:r w:rsidR="00A059EF">
              <w:rPr>
                <w:noProof/>
                <w:webHidden/>
              </w:rPr>
              <w:tab/>
            </w:r>
            <w:r w:rsidR="00A059EF">
              <w:rPr>
                <w:noProof/>
                <w:webHidden/>
              </w:rPr>
              <w:fldChar w:fldCharType="begin"/>
            </w:r>
            <w:r w:rsidR="00A059EF">
              <w:rPr>
                <w:noProof/>
                <w:webHidden/>
              </w:rPr>
              <w:instrText xml:space="preserve"> PAGEREF _Toc77952981 \h </w:instrText>
            </w:r>
            <w:r w:rsidR="00A059EF">
              <w:rPr>
                <w:noProof/>
                <w:webHidden/>
              </w:rPr>
            </w:r>
            <w:r w:rsidR="00A059EF">
              <w:rPr>
                <w:noProof/>
                <w:webHidden/>
              </w:rPr>
              <w:fldChar w:fldCharType="separate"/>
            </w:r>
            <w:r w:rsidR="00A059EF">
              <w:rPr>
                <w:noProof/>
                <w:webHidden/>
              </w:rPr>
              <w:t>5</w:t>
            </w:r>
            <w:r w:rsidR="00A059EF">
              <w:rPr>
                <w:noProof/>
                <w:webHidden/>
              </w:rPr>
              <w:fldChar w:fldCharType="end"/>
            </w:r>
          </w:hyperlink>
        </w:p>
        <w:p w14:paraId="6EAB1B71" w14:textId="143C8E4C" w:rsidR="00A059EF" w:rsidRDefault="00764FE2">
          <w:pPr>
            <w:pStyle w:val="TOC1"/>
            <w:rPr>
              <w:rFonts w:asciiTheme="minorHAnsi" w:eastAsiaTheme="minorEastAsia" w:hAnsiTheme="minorHAnsi"/>
              <w:noProof/>
              <w:sz w:val="22"/>
              <w:lang w:eastAsia="en-AU"/>
            </w:rPr>
          </w:pPr>
          <w:hyperlink w:anchor="_Toc77952982" w:history="1">
            <w:r w:rsidR="00A059EF" w:rsidRPr="00270DB5">
              <w:rPr>
                <w:rStyle w:val="Hyperlink"/>
                <w:noProof/>
              </w:rPr>
              <w:t>The evidence on teacher training for inclusive education</w:t>
            </w:r>
            <w:r w:rsidR="00A059EF">
              <w:rPr>
                <w:noProof/>
                <w:webHidden/>
              </w:rPr>
              <w:tab/>
            </w:r>
            <w:r w:rsidR="00A059EF">
              <w:rPr>
                <w:noProof/>
                <w:webHidden/>
              </w:rPr>
              <w:fldChar w:fldCharType="begin"/>
            </w:r>
            <w:r w:rsidR="00A059EF">
              <w:rPr>
                <w:noProof/>
                <w:webHidden/>
              </w:rPr>
              <w:instrText xml:space="preserve"> PAGEREF _Toc77952982 \h </w:instrText>
            </w:r>
            <w:r w:rsidR="00A059EF">
              <w:rPr>
                <w:noProof/>
                <w:webHidden/>
              </w:rPr>
            </w:r>
            <w:r w:rsidR="00A059EF">
              <w:rPr>
                <w:noProof/>
                <w:webHidden/>
              </w:rPr>
              <w:fldChar w:fldCharType="separate"/>
            </w:r>
            <w:r w:rsidR="00A059EF">
              <w:rPr>
                <w:noProof/>
                <w:webHidden/>
              </w:rPr>
              <w:t>6</w:t>
            </w:r>
            <w:r w:rsidR="00A059EF">
              <w:rPr>
                <w:noProof/>
                <w:webHidden/>
              </w:rPr>
              <w:fldChar w:fldCharType="end"/>
            </w:r>
          </w:hyperlink>
        </w:p>
        <w:p w14:paraId="3548BC88" w14:textId="144F0229" w:rsidR="00A059EF" w:rsidRDefault="00764FE2">
          <w:pPr>
            <w:pStyle w:val="TOC1"/>
            <w:rPr>
              <w:rFonts w:asciiTheme="minorHAnsi" w:eastAsiaTheme="minorEastAsia" w:hAnsiTheme="minorHAnsi"/>
              <w:noProof/>
              <w:sz w:val="22"/>
              <w:lang w:eastAsia="en-AU"/>
            </w:rPr>
          </w:pPr>
          <w:hyperlink w:anchor="_Toc77952983" w:history="1">
            <w:r w:rsidR="00A059EF" w:rsidRPr="00270DB5">
              <w:rPr>
                <w:rStyle w:val="Hyperlink"/>
                <w:rFonts w:cs="Arial"/>
                <w:noProof/>
              </w:rPr>
              <w:t>CYDA responses to the Review questions</w:t>
            </w:r>
            <w:r w:rsidR="00A059EF">
              <w:rPr>
                <w:noProof/>
                <w:webHidden/>
              </w:rPr>
              <w:tab/>
            </w:r>
            <w:r w:rsidR="00A059EF">
              <w:rPr>
                <w:noProof/>
                <w:webHidden/>
              </w:rPr>
              <w:fldChar w:fldCharType="begin"/>
            </w:r>
            <w:r w:rsidR="00A059EF">
              <w:rPr>
                <w:noProof/>
                <w:webHidden/>
              </w:rPr>
              <w:instrText xml:space="preserve"> PAGEREF _Toc77952983 \h </w:instrText>
            </w:r>
            <w:r w:rsidR="00A059EF">
              <w:rPr>
                <w:noProof/>
                <w:webHidden/>
              </w:rPr>
            </w:r>
            <w:r w:rsidR="00A059EF">
              <w:rPr>
                <w:noProof/>
                <w:webHidden/>
              </w:rPr>
              <w:fldChar w:fldCharType="separate"/>
            </w:r>
            <w:r w:rsidR="00A059EF">
              <w:rPr>
                <w:noProof/>
                <w:webHidden/>
              </w:rPr>
              <w:t>8</w:t>
            </w:r>
            <w:r w:rsidR="00A059EF">
              <w:rPr>
                <w:noProof/>
                <w:webHidden/>
              </w:rPr>
              <w:fldChar w:fldCharType="end"/>
            </w:r>
          </w:hyperlink>
        </w:p>
        <w:p w14:paraId="66F8F4B2" w14:textId="42757843" w:rsidR="00672AC8" w:rsidRDefault="00672AC8">
          <w:r>
            <w:rPr>
              <w:b/>
              <w:bCs/>
              <w:noProof/>
            </w:rPr>
            <w:fldChar w:fldCharType="end"/>
          </w:r>
        </w:p>
      </w:sdtContent>
    </w:sdt>
    <w:p w14:paraId="4EE0B82A" w14:textId="77777777" w:rsidR="00672AC8" w:rsidRDefault="00672AC8">
      <w:pPr>
        <w:rPr>
          <w:rFonts w:cs="Arial"/>
        </w:rPr>
      </w:pPr>
    </w:p>
    <w:p w14:paraId="11020598" w14:textId="159D4EB2" w:rsidR="00672AC8" w:rsidRDefault="00672AC8">
      <w:pPr>
        <w:rPr>
          <w:rFonts w:ascii="Arial" w:eastAsiaTheme="majorEastAsia" w:hAnsi="Arial" w:cs="Arial"/>
          <w:color w:val="538135" w:themeColor="accent6" w:themeShade="BF"/>
          <w:sz w:val="32"/>
          <w:szCs w:val="32"/>
        </w:rPr>
      </w:pPr>
      <w:r>
        <w:rPr>
          <w:rFonts w:cs="Arial"/>
        </w:rPr>
        <w:br w:type="page"/>
      </w:r>
    </w:p>
    <w:p w14:paraId="1B77AF8A" w14:textId="6F3CF7F9" w:rsidR="00672AC8" w:rsidRPr="00B37D58" w:rsidRDefault="00672AC8" w:rsidP="00672AC8">
      <w:pPr>
        <w:pStyle w:val="Heading1"/>
        <w:spacing w:before="120" w:after="240" w:line="276" w:lineRule="auto"/>
        <w:rPr>
          <w:rFonts w:cs="Arial"/>
        </w:rPr>
      </w:pPr>
      <w:bookmarkStart w:id="3" w:name="_Toc77952980"/>
      <w:r w:rsidRPr="00B37D58">
        <w:rPr>
          <w:rFonts w:cs="Arial"/>
        </w:rPr>
        <w:t>Executive summary</w:t>
      </w:r>
      <w:bookmarkEnd w:id="1"/>
      <w:bookmarkEnd w:id="3"/>
    </w:p>
    <w:p w14:paraId="5996149A" w14:textId="77777777" w:rsidR="00672AC8" w:rsidRPr="00F049D9" w:rsidRDefault="00672AC8" w:rsidP="00672AC8">
      <w:pPr>
        <w:spacing w:before="120" w:after="240" w:line="276" w:lineRule="auto"/>
        <w:jc w:val="both"/>
        <w:rPr>
          <w:rFonts w:ascii="Arial" w:hAnsi="Arial" w:cs="Arial"/>
          <w:i/>
          <w:iCs/>
        </w:rPr>
      </w:pPr>
      <w:r w:rsidRPr="00F049D9">
        <w:rPr>
          <w:rFonts w:ascii="Arial" w:hAnsi="Arial" w:cs="Arial"/>
        </w:rPr>
        <w:t>Children and Young People with Disability Australia (CYDA) appreciates the opportunity to provide a submission to the 2021 Quality Initial Teacher Education Review (the Review)</w:t>
      </w:r>
      <w:r w:rsidRPr="00F049D9">
        <w:rPr>
          <w:rFonts w:ascii="Arial" w:hAnsi="Arial" w:cs="Arial"/>
          <w:i/>
          <w:iCs/>
        </w:rPr>
        <w:t xml:space="preserve">. </w:t>
      </w:r>
    </w:p>
    <w:p w14:paraId="6DA13F1E" w14:textId="24689F58" w:rsidR="00672AC8" w:rsidRPr="00F049D9" w:rsidRDefault="00672AC8" w:rsidP="00672AC8">
      <w:pPr>
        <w:spacing w:before="120" w:after="240" w:line="276" w:lineRule="auto"/>
        <w:jc w:val="both"/>
        <w:rPr>
          <w:rFonts w:ascii="Arial" w:hAnsi="Arial" w:cs="Arial"/>
        </w:rPr>
      </w:pPr>
      <w:r w:rsidRPr="00F049D9">
        <w:rPr>
          <w:rFonts w:ascii="Arial" w:hAnsi="Arial" w:cs="Arial"/>
        </w:rPr>
        <w:t>This submission focuses on the experience of children and young people with disability in the education settings in which graduate teachers start their career. We draw the Department’s attention to our reports highlighting the experiences of children and young people with disability during the COVID-19 pandemic, and our 2019 submission to the Disability Royal Commission. We have incorporated relevant themes and findings into this submission and have attached copies of these papers.</w:t>
      </w:r>
    </w:p>
    <w:p w14:paraId="5CB5AD6A" w14:textId="6BCD050C" w:rsidR="00672AC8" w:rsidRPr="00F049D9" w:rsidRDefault="00672AC8" w:rsidP="00672AC8">
      <w:pPr>
        <w:spacing w:before="120" w:after="240" w:line="276" w:lineRule="auto"/>
        <w:jc w:val="both"/>
        <w:rPr>
          <w:rFonts w:ascii="Arial" w:hAnsi="Arial" w:cs="Arial"/>
        </w:rPr>
      </w:pPr>
      <w:r w:rsidRPr="00F049D9">
        <w:rPr>
          <w:rFonts w:ascii="Arial" w:hAnsi="Arial" w:cs="Arial"/>
        </w:rPr>
        <w:t xml:space="preserve">Additionally, CYDA notes the </w:t>
      </w:r>
      <w:r w:rsidR="005171E5" w:rsidRPr="00F049D9">
        <w:rPr>
          <w:rFonts w:ascii="Arial" w:hAnsi="Arial" w:cs="Arial"/>
        </w:rPr>
        <w:t>work done in this area by t</w:t>
      </w:r>
      <w:r w:rsidRPr="00F049D9">
        <w:rPr>
          <w:rFonts w:ascii="Arial" w:hAnsi="Arial" w:cs="Arial"/>
        </w:rPr>
        <w:t>he</w:t>
      </w:r>
      <w:r w:rsidRPr="00F049D9">
        <w:rPr>
          <w:rFonts w:ascii="Arial" w:hAnsi="Arial" w:cs="Arial"/>
          <w:color w:val="3E444F"/>
          <w:shd w:val="clear" w:color="auto" w:fill="F2F2F2"/>
        </w:rPr>
        <w:t> </w:t>
      </w:r>
      <w:hyperlink r:id="rId15" w:tgtFrame="_blank" w:history="1">
        <w:r w:rsidRPr="00F049D9">
          <w:rPr>
            <w:rStyle w:val="Hyperlink"/>
            <w:rFonts w:ascii="Arial" w:hAnsi="Arial" w:cs="Arial"/>
          </w:rPr>
          <w:t>Australian Coalition for Inclusive Education</w:t>
        </w:r>
      </w:hyperlink>
      <w:r w:rsidRPr="00F049D9">
        <w:rPr>
          <w:rFonts w:ascii="Arial" w:hAnsi="Arial" w:cs="Arial"/>
          <w:color w:val="3E444F"/>
          <w:shd w:val="clear" w:color="auto" w:fill="F2F2F2"/>
        </w:rPr>
        <w:t> </w:t>
      </w:r>
      <w:r w:rsidRPr="00F049D9">
        <w:rPr>
          <w:rFonts w:ascii="Arial" w:hAnsi="Arial" w:cs="Arial"/>
        </w:rPr>
        <w:t>(ACIE)</w:t>
      </w:r>
      <w:r w:rsidR="005171E5" w:rsidRPr="00F049D9">
        <w:rPr>
          <w:rFonts w:ascii="Arial" w:hAnsi="Arial" w:cs="Arial"/>
        </w:rPr>
        <w:t>, of which we are the co-chair.</w:t>
      </w:r>
      <w:r w:rsidRPr="00F049D9">
        <w:rPr>
          <w:rFonts w:ascii="Arial" w:hAnsi="Arial" w:cs="Arial"/>
        </w:rPr>
        <w:t xml:space="preserve"> </w:t>
      </w:r>
      <w:r w:rsidR="005171E5" w:rsidRPr="00F049D9">
        <w:rPr>
          <w:rFonts w:ascii="Arial" w:hAnsi="Arial" w:cs="Arial"/>
        </w:rPr>
        <w:t xml:space="preserve">ACIE </w:t>
      </w:r>
      <w:r w:rsidRPr="00F049D9">
        <w:rPr>
          <w:rFonts w:ascii="Arial" w:hAnsi="Arial" w:cs="Arial"/>
        </w:rPr>
        <w:t xml:space="preserve">is an initiative bringing together organisations that share a commitment to advancing inclusive education across state and territory education systems, including government and non-government schools. </w:t>
      </w:r>
      <w:proofErr w:type="gramStart"/>
      <w:r w:rsidR="005171E5" w:rsidRPr="00F049D9">
        <w:rPr>
          <w:rFonts w:ascii="Arial" w:hAnsi="Arial" w:cs="Arial"/>
        </w:rPr>
        <w:t xml:space="preserve">It </w:t>
      </w:r>
      <w:r w:rsidRPr="00F049D9">
        <w:rPr>
          <w:rFonts w:ascii="Arial" w:hAnsi="Arial" w:cs="Arial"/>
        </w:rPr>
        <w:t xml:space="preserve"> comprises</w:t>
      </w:r>
      <w:proofErr w:type="gramEnd"/>
      <w:r w:rsidRPr="00F049D9">
        <w:rPr>
          <w:rFonts w:ascii="Arial" w:hAnsi="Arial" w:cs="Arial"/>
        </w:rPr>
        <w:t xml:space="preserve"> hundreds of people with disability and their families, teachers, lawyers and academics, representing a huge source of expertise and lived experience in this specific area. </w:t>
      </w:r>
    </w:p>
    <w:p w14:paraId="5DFF66AB" w14:textId="02EBA013" w:rsidR="00672AC8" w:rsidRPr="00F049D9" w:rsidRDefault="00672AC8" w:rsidP="00672AC8">
      <w:pPr>
        <w:spacing w:before="120" w:after="240" w:line="276" w:lineRule="auto"/>
        <w:jc w:val="both"/>
        <w:rPr>
          <w:rFonts w:ascii="Arial" w:hAnsi="Arial" w:cs="Arial"/>
        </w:rPr>
      </w:pPr>
      <w:r w:rsidRPr="00F049D9">
        <w:rPr>
          <w:rFonts w:ascii="Arial" w:hAnsi="Arial" w:cs="Arial"/>
        </w:rPr>
        <w:t xml:space="preserve">CYDA’s national education surveys show students with disability are routinely excluded in their education, with many segregated from ‘mainstream’ schools and classrooms, not attending school full-time, and/or being refused enrolment and excluded from school activities. Suspensions and expulsions are also common practices. </w:t>
      </w:r>
    </w:p>
    <w:p w14:paraId="2A12A93B" w14:textId="77777777" w:rsidR="00672AC8" w:rsidRPr="00F049D9" w:rsidRDefault="00672AC8" w:rsidP="00672AC8">
      <w:pPr>
        <w:spacing w:before="120" w:after="240" w:line="276" w:lineRule="auto"/>
        <w:jc w:val="both"/>
        <w:rPr>
          <w:rFonts w:ascii="Arial" w:hAnsi="Arial" w:cs="Arial"/>
        </w:rPr>
      </w:pPr>
      <w:r w:rsidRPr="00F049D9">
        <w:rPr>
          <w:rFonts w:ascii="Arial" w:hAnsi="Arial" w:cs="Arial"/>
        </w:rPr>
        <w:t>While most students in our surveys receive some support at school because of their disability, many families report paying out-of-pocket for relevant supports and equipment. Students with disability also face unacceptably high levels of abuse and violence at school, including bullying and restrictive practices such as restraint and/or seclusion.</w:t>
      </w:r>
    </w:p>
    <w:p w14:paraId="28F3009F" w14:textId="77777777" w:rsidR="00672AC8" w:rsidRPr="00F049D9" w:rsidRDefault="00672AC8" w:rsidP="00672AC8">
      <w:pPr>
        <w:spacing w:before="120" w:after="240" w:line="276" w:lineRule="auto"/>
        <w:jc w:val="both"/>
        <w:rPr>
          <w:rFonts w:ascii="Arial" w:hAnsi="Arial" w:cs="Arial"/>
        </w:rPr>
      </w:pPr>
      <w:r w:rsidRPr="00F049D9">
        <w:rPr>
          <w:rFonts w:ascii="Arial" w:hAnsi="Arial" w:cs="Arial"/>
        </w:rPr>
        <w:t>Overall, families/caregivers of students with disability do not consider:</w:t>
      </w:r>
    </w:p>
    <w:p w14:paraId="0D6B927B" w14:textId="77777777" w:rsidR="00672AC8" w:rsidRPr="00F049D9" w:rsidRDefault="00672AC8" w:rsidP="00672AC8">
      <w:pPr>
        <w:pStyle w:val="ListParagraph"/>
        <w:numPr>
          <w:ilvl w:val="0"/>
          <w:numId w:val="2"/>
        </w:numPr>
        <w:spacing w:before="120" w:after="240" w:line="276" w:lineRule="auto"/>
        <w:jc w:val="both"/>
        <w:rPr>
          <w:rFonts w:ascii="Arial" w:hAnsi="Arial" w:cs="Arial"/>
        </w:rPr>
      </w:pPr>
      <w:r w:rsidRPr="00F049D9">
        <w:rPr>
          <w:rFonts w:ascii="Arial" w:hAnsi="Arial" w:cs="Arial"/>
        </w:rPr>
        <w:t>students receive adequate support in their education</w:t>
      </w:r>
    </w:p>
    <w:p w14:paraId="72DF2D6E" w14:textId="77777777" w:rsidR="00672AC8" w:rsidRPr="00F049D9" w:rsidRDefault="00672AC8" w:rsidP="00672AC8">
      <w:pPr>
        <w:pStyle w:val="ListParagraph"/>
        <w:numPr>
          <w:ilvl w:val="0"/>
          <w:numId w:val="2"/>
        </w:numPr>
        <w:spacing w:before="120" w:after="240" w:line="276" w:lineRule="auto"/>
        <w:jc w:val="both"/>
        <w:rPr>
          <w:rFonts w:ascii="Arial" w:hAnsi="Arial" w:cs="Arial"/>
        </w:rPr>
      </w:pPr>
      <w:r w:rsidRPr="00F049D9">
        <w:rPr>
          <w:rFonts w:ascii="Arial" w:hAnsi="Arial" w:cs="Arial"/>
        </w:rPr>
        <w:t xml:space="preserve">they were communicated with regularly about the student’s learning progress </w:t>
      </w:r>
    </w:p>
    <w:p w14:paraId="76DED05D" w14:textId="77777777" w:rsidR="00672AC8" w:rsidRPr="00F049D9" w:rsidRDefault="00672AC8" w:rsidP="00672AC8">
      <w:pPr>
        <w:pStyle w:val="ListParagraph"/>
        <w:numPr>
          <w:ilvl w:val="0"/>
          <w:numId w:val="2"/>
        </w:numPr>
        <w:spacing w:before="120" w:after="240" w:line="276" w:lineRule="auto"/>
        <w:jc w:val="both"/>
        <w:rPr>
          <w:rFonts w:ascii="Arial" w:hAnsi="Arial" w:cs="Arial"/>
        </w:rPr>
      </w:pPr>
      <w:r w:rsidRPr="00F049D9">
        <w:rPr>
          <w:rFonts w:ascii="Arial" w:hAnsi="Arial" w:cs="Arial"/>
        </w:rPr>
        <w:t>teachers have high expectations of the student</w:t>
      </w:r>
    </w:p>
    <w:p w14:paraId="5CEC8648" w14:textId="77777777" w:rsidR="00672AC8" w:rsidRPr="00F049D9" w:rsidRDefault="00672AC8" w:rsidP="00672AC8">
      <w:pPr>
        <w:pStyle w:val="ListParagraph"/>
        <w:numPr>
          <w:ilvl w:val="0"/>
          <w:numId w:val="2"/>
        </w:numPr>
        <w:spacing w:before="120" w:after="240" w:line="276" w:lineRule="auto"/>
        <w:jc w:val="both"/>
        <w:rPr>
          <w:rFonts w:ascii="Arial" w:hAnsi="Arial" w:cs="Arial"/>
        </w:rPr>
      </w:pPr>
      <w:r w:rsidRPr="00F049D9">
        <w:rPr>
          <w:rFonts w:ascii="Arial" w:hAnsi="Arial" w:cs="Arial"/>
        </w:rPr>
        <w:t>teachers have the required training to provide a supportive and enriching education environment.</w:t>
      </w:r>
    </w:p>
    <w:p w14:paraId="78E853CA" w14:textId="77777777" w:rsidR="00672AC8" w:rsidRPr="00F049D9" w:rsidRDefault="00672AC8" w:rsidP="00672AC8">
      <w:pPr>
        <w:spacing w:before="120" w:after="240" w:line="276" w:lineRule="auto"/>
        <w:jc w:val="both"/>
        <w:rPr>
          <w:rFonts w:ascii="Arial" w:eastAsiaTheme="majorEastAsia" w:hAnsi="Arial" w:cs="Arial"/>
        </w:rPr>
      </w:pPr>
      <w:r w:rsidRPr="00F049D9">
        <w:rPr>
          <w:rFonts w:ascii="Arial" w:hAnsi="Arial" w:cs="Arial"/>
        </w:rPr>
        <w:t xml:space="preserve">This points to the importance of initial teacher education including attracting and selecting high-quality candidates and preparing ITE students to be effective teachers. Quality initial teacher education and effective teachers impact the experience of </w:t>
      </w:r>
      <w:r w:rsidRPr="00F049D9">
        <w:rPr>
          <w:rFonts w:ascii="Arial" w:eastAsiaTheme="majorEastAsia" w:hAnsi="Arial" w:cs="Arial"/>
        </w:rPr>
        <w:t xml:space="preserve">students with disability to access and participate in education on the same basis as students without disability. Other factors, including a lack of accountability to applying the </w:t>
      </w:r>
      <w:r w:rsidRPr="00F049D9">
        <w:rPr>
          <w:rFonts w:ascii="Arial" w:eastAsiaTheme="majorEastAsia" w:hAnsi="Arial" w:cs="Arial"/>
          <w:i/>
          <w:iCs/>
        </w:rPr>
        <w:t>Disability Standards for Education 2005</w:t>
      </w:r>
      <w:r w:rsidRPr="00F049D9">
        <w:rPr>
          <w:rFonts w:ascii="Arial" w:eastAsiaTheme="majorEastAsia" w:hAnsi="Arial" w:cs="Arial"/>
        </w:rPr>
        <w:t xml:space="preserve">, pervasive culture of low expectations and funding patterns, also contribute to the present educational crisis for students with disability. Young people, families/caregivers, advocacy organisations, and other stakeholders tell us of the importance of the role of teachers in ensuring the educational rights of students with disability and resulting educational outcomes and experiences. </w:t>
      </w:r>
    </w:p>
    <w:p w14:paraId="49466905" w14:textId="248CC8AF" w:rsidR="00672AC8" w:rsidRDefault="00672AC8">
      <w:pPr>
        <w:rPr>
          <w:rFonts w:ascii="Arial" w:eastAsiaTheme="majorEastAsia" w:hAnsi="Arial" w:cstheme="majorBidi"/>
          <w:color w:val="538135" w:themeColor="accent6" w:themeShade="BF"/>
          <w:sz w:val="32"/>
          <w:szCs w:val="32"/>
        </w:rPr>
      </w:pPr>
      <w:r>
        <w:br w:type="page"/>
      </w:r>
    </w:p>
    <w:p w14:paraId="56559435" w14:textId="2F7F9027" w:rsidR="007E1213" w:rsidRDefault="005171E5" w:rsidP="00926E08">
      <w:pPr>
        <w:pStyle w:val="Heading1"/>
        <w:spacing w:before="120" w:after="240" w:line="276" w:lineRule="auto"/>
      </w:pPr>
      <w:bookmarkStart w:id="4" w:name="_Toc77952981"/>
      <w:r>
        <w:t>Driving change for inclusive education</w:t>
      </w:r>
      <w:bookmarkEnd w:id="4"/>
    </w:p>
    <w:p w14:paraId="798060F3" w14:textId="77777777" w:rsidR="005171E5" w:rsidRPr="004D426F" w:rsidRDefault="005171E5" w:rsidP="005171E5">
      <w:pPr>
        <w:jc w:val="both"/>
        <w:rPr>
          <w:rFonts w:ascii="Arial" w:hAnsi="Arial" w:cs="Arial"/>
        </w:rPr>
      </w:pPr>
      <w:r w:rsidRPr="004D426F">
        <w:rPr>
          <w:rFonts w:ascii="Arial" w:hAnsi="Arial" w:cs="Arial"/>
        </w:rPr>
        <w:t xml:space="preserve">Realising inclusive education in Australia for students with disability is essential for creating the inclusive society we all want, and lifelong benefits for children and young people. A roadmap is a journey from a starting point to an end destination. The end destination we want is inclusive education in Australia, a fundamental human right recognised in the CPRD and defined in General Comment No.4, for all children and young people with disability, without exception. </w:t>
      </w:r>
    </w:p>
    <w:p w14:paraId="4BC9F605" w14:textId="0992F761" w:rsidR="005171E5" w:rsidRPr="004D426F" w:rsidRDefault="005171E5" w:rsidP="005171E5">
      <w:pPr>
        <w:jc w:val="both"/>
        <w:rPr>
          <w:rFonts w:ascii="Arial" w:hAnsi="Arial" w:cs="Arial"/>
        </w:rPr>
      </w:pPr>
      <w:r w:rsidRPr="004D426F">
        <w:rPr>
          <w:rFonts w:ascii="Arial" w:hAnsi="Arial" w:cs="Arial"/>
        </w:rPr>
        <w:t xml:space="preserve">To this effect, ACIE launched </w:t>
      </w:r>
      <w:r w:rsidRPr="004D426F">
        <w:rPr>
          <w:rFonts w:ascii="Arial" w:hAnsi="Arial" w:cs="Arial"/>
          <w:i/>
          <w:iCs/>
        </w:rPr>
        <w:t>Driving change: A roadmap for achieving inclusive education in Australia</w:t>
      </w:r>
      <w:r w:rsidRPr="004D426F">
        <w:rPr>
          <w:rFonts w:ascii="Arial" w:hAnsi="Arial" w:cs="Arial"/>
        </w:rPr>
        <w:t xml:space="preserve"> in 2020.</w:t>
      </w:r>
    </w:p>
    <w:p w14:paraId="3FFD9601" w14:textId="167E6F43" w:rsidR="002217DA" w:rsidRPr="002217DA" w:rsidRDefault="002217DA" w:rsidP="005171E5">
      <w:pPr>
        <w:pBdr>
          <w:top w:val="single" w:sz="4" w:space="1" w:color="auto"/>
          <w:left w:val="single" w:sz="4" w:space="4" w:color="auto"/>
          <w:bottom w:val="single" w:sz="4" w:space="1" w:color="auto"/>
          <w:right w:val="single" w:sz="4" w:space="4" w:color="auto"/>
        </w:pBdr>
        <w:spacing w:before="120" w:after="240" w:line="276" w:lineRule="auto"/>
        <w:jc w:val="both"/>
        <w:rPr>
          <w:rFonts w:ascii="Arial" w:hAnsi="Arial" w:cs="Arial"/>
          <w:b/>
          <w:bCs/>
          <w:color w:val="385623" w:themeColor="accent6" w:themeShade="80"/>
          <w:sz w:val="24"/>
          <w:szCs w:val="24"/>
        </w:rPr>
      </w:pPr>
      <w:r w:rsidRPr="002217DA">
        <w:rPr>
          <w:rFonts w:ascii="Arial" w:hAnsi="Arial" w:cs="Arial"/>
          <w:b/>
          <w:bCs/>
          <w:color w:val="385623" w:themeColor="accent6" w:themeShade="80"/>
          <w:sz w:val="24"/>
          <w:szCs w:val="24"/>
        </w:rPr>
        <w:t>Our pledge for inclusive education</w:t>
      </w:r>
    </w:p>
    <w:p w14:paraId="0C6E4BB1" w14:textId="153C2900" w:rsidR="007E1213" w:rsidRPr="004D426F" w:rsidRDefault="007E1213" w:rsidP="005171E5">
      <w:pPr>
        <w:pBdr>
          <w:top w:val="single" w:sz="4" w:space="1" w:color="auto"/>
          <w:left w:val="single" w:sz="4" w:space="4" w:color="auto"/>
          <w:bottom w:val="single" w:sz="4" w:space="1" w:color="auto"/>
          <w:right w:val="single" w:sz="4" w:space="4" w:color="auto"/>
        </w:pBdr>
        <w:spacing w:before="120" w:after="240" w:line="276" w:lineRule="auto"/>
        <w:jc w:val="both"/>
        <w:rPr>
          <w:rFonts w:ascii="Arial" w:hAnsi="Arial" w:cs="Arial"/>
          <w:i/>
          <w:iCs/>
        </w:rPr>
      </w:pPr>
      <w:r w:rsidRPr="004D426F">
        <w:rPr>
          <w:rFonts w:ascii="Arial" w:hAnsi="Arial" w:cs="Arial"/>
          <w:i/>
          <w:iCs/>
        </w:rPr>
        <w:t>“We pledge our support for the goal and principles of inclusive education as a fundamental human right of every person and will work towards an inclusive education system and the elimination of barriers and discrimination against children and young people with disability in education and in society as a whole."</w:t>
      </w:r>
    </w:p>
    <w:p w14:paraId="1F3894F0" w14:textId="14D9A3AD" w:rsidR="001B7E4D" w:rsidRPr="004D426F" w:rsidRDefault="003D0F72" w:rsidP="005171E5">
      <w:pPr>
        <w:spacing w:before="120" w:after="240" w:line="276" w:lineRule="auto"/>
        <w:jc w:val="both"/>
        <w:rPr>
          <w:rFonts w:ascii="Arial" w:hAnsi="Arial" w:cs="Arial"/>
        </w:rPr>
        <w:sectPr w:rsidR="001B7E4D" w:rsidRPr="004D426F" w:rsidSect="00A50CAA">
          <w:footerReference w:type="default" r:id="rId16"/>
          <w:headerReference w:type="first" r:id="rId17"/>
          <w:footerReference w:type="first" r:id="rId18"/>
          <w:pgSz w:w="11906" w:h="16838"/>
          <w:pgMar w:top="1440" w:right="1080" w:bottom="1440" w:left="1080" w:header="708" w:footer="708" w:gutter="0"/>
          <w:cols w:space="720"/>
        </w:sectPr>
      </w:pPr>
      <w:r w:rsidRPr="004D426F">
        <w:rPr>
          <w:rFonts w:ascii="Arial" w:hAnsi="Arial" w:cs="Arial"/>
        </w:rPr>
        <w:t xml:space="preserve">Our Roadmap is underpinned by six key pillars to help realise inclusive education in Australia and prevent the violence, abuse, </w:t>
      </w:r>
      <w:proofErr w:type="gramStart"/>
      <w:r w:rsidRPr="004D426F">
        <w:rPr>
          <w:rFonts w:ascii="Arial" w:hAnsi="Arial" w:cs="Arial"/>
        </w:rPr>
        <w:t>neglect</w:t>
      </w:r>
      <w:proofErr w:type="gramEnd"/>
      <w:r w:rsidRPr="004D426F">
        <w:rPr>
          <w:rFonts w:ascii="Arial" w:hAnsi="Arial" w:cs="Arial"/>
        </w:rPr>
        <w:t xml:space="preserve"> and exploitation of students with disability.  These pillars are drawn from the evidence base and embed the rights of students as set out in the United Nations (UN) Convention on the Rights of Persons with Disabilities (CRPD).”</w:t>
      </w:r>
    </w:p>
    <w:p w14:paraId="3EA8C9B1" w14:textId="59F88DFB" w:rsidR="003D0F72" w:rsidRPr="004D426F" w:rsidRDefault="005171E5" w:rsidP="00332118">
      <w:pPr>
        <w:jc w:val="both"/>
        <w:rPr>
          <w:rFonts w:ascii="Arial" w:hAnsi="Arial" w:cs="Arial"/>
        </w:rPr>
      </w:pPr>
      <w:r w:rsidRPr="004D426F">
        <w:rPr>
          <w:rFonts w:ascii="Arial" w:hAnsi="Arial" w:cs="Arial"/>
        </w:rPr>
        <w:t xml:space="preserve">The Roadmap </w:t>
      </w:r>
      <w:r w:rsidR="003D0F72" w:rsidRPr="004D426F">
        <w:rPr>
          <w:rFonts w:ascii="Arial" w:hAnsi="Arial" w:cs="Arial"/>
        </w:rPr>
        <w:t>has two key sections:</w:t>
      </w:r>
    </w:p>
    <w:p w14:paraId="6C4E5314" w14:textId="77777777" w:rsidR="003D0F72" w:rsidRPr="004D426F" w:rsidRDefault="003D0F72" w:rsidP="005171E5">
      <w:pPr>
        <w:pStyle w:val="ListParagraph"/>
        <w:numPr>
          <w:ilvl w:val="0"/>
          <w:numId w:val="6"/>
        </w:numPr>
        <w:spacing w:before="240" w:after="120" w:line="276" w:lineRule="auto"/>
        <w:rPr>
          <w:rFonts w:ascii="Arial" w:hAnsi="Arial" w:cs="Arial"/>
        </w:rPr>
      </w:pPr>
      <w:r w:rsidRPr="004D426F">
        <w:rPr>
          <w:rFonts w:ascii="Arial" w:hAnsi="Arial" w:cs="Arial"/>
        </w:rPr>
        <w:t>the outcomes that need to occur, stepped out over the next 10 years; and</w:t>
      </w:r>
    </w:p>
    <w:p w14:paraId="13D626EC" w14:textId="77777777" w:rsidR="003D0F72" w:rsidRPr="004D426F" w:rsidRDefault="003D0F72" w:rsidP="005171E5">
      <w:pPr>
        <w:pStyle w:val="ListParagraph"/>
        <w:numPr>
          <w:ilvl w:val="0"/>
          <w:numId w:val="6"/>
        </w:numPr>
        <w:spacing w:before="240" w:after="120" w:line="276" w:lineRule="auto"/>
        <w:rPr>
          <w:rFonts w:ascii="Arial" w:hAnsi="Arial" w:cs="Arial"/>
        </w:rPr>
      </w:pPr>
      <w:r w:rsidRPr="004D426F">
        <w:rPr>
          <w:rFonts w:ascii="Arial" w:hAnsi="Arial" w:cs="Arial"/>
        </w:rPr>
        <w:t>the key levers for change needed to realise these outcomes.</w:t>
      </w:r>
    </w:p>
    <w:p w14:paraId="6A053E53" w14:textId="6AE43B13" w:rsidR="001B7E4D" w:rsidRDefault="007E1213" w:rsidP="00332118">
      <w:pPr>
        <w:jc w:val="both"/>
        <w:sectPr w:rsidR="001B7E4D" w:rsidSect="00332118">
          <w:type w:val="continuous"/>
          <w:pgSz w:w="11906" w:h="16838"/>
          <w:pgMar w:top="1440" w:right="1080" w:bottom="1440" w:left="1080" w:header="708" w:footer="708" w:gutter="0"/>
          <w:cols w:num="2" w:space="282"/>
        </w:sectPr>
      </w:pPr>
      <w:r>
        <w:t xml:space="preserve">      </w:t>
      </w:r>
      <w:r w:rsidR="003D0F72">
        <w:rPr>
          <w:noProof/>
        </w:rPr>
        <w:drawing>
          <wp:inline distT="0" distB="0" distL="0" distR="0" wp14:anchorId="4B5CA35A" wp14:editId="05EB48DA">
            <wp:extent cx="2602770" cy="2602523"/>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0786"/>
                    <a:stretch/>
                  </pic:blipFill>
                  <pic:spPr bwMode="auto">
                    <a:xfrm>
                      <a:off x="0" y="0"/>
                      <a:ext cx="2634916" cy="2634666"/>
                    </a:xfrm>
                    <a:prstGeom prst="rect">
                      <a:avLst/>
                    </a:prstGeom>
                    <a:noFill/>
                    <a:ln>
                      <a:noFill/>
                    </a:ln>
                    <a:extLst>
                      <a:ext uri="{53640926-AAD7-44D8-BBD7-CCE9431645EC}">
                        <a14:shadowObscured xmlns:a14="http://schemas.microsoft.com/office/drawing/2010/main"/>
                      </a:ext>
                    </a:extLst>
                  </pic:spPr>
                </pic:pic>
              </a:graphicData>
            </a:graphic>
          </wp:inline>
        </w:drawing>
      </w:r>
    </w:p>
    <w:p w14:paraId="1577B9CA" w14:textId="77777777" w:rsidR="001B7E4D" w:rsidRDefault="001B7E4D" w:rsidP="00332118">
      <w:pPr>
        <w:jc w:val="both"/>
        <w:sectPr w:rsidR="001B7E4D" w:rsidSect="001B7E4D">
          <w:type w:val="continuous"/>
          <w:pgSz w:w="11906" w:h="16838"/>
          <w:pgMar w:top="1440" w:right="1080" w:bottom="1440" w:left="1080" w:header="708" w:footer="708" w:gutter="0"/>
          <w:cols w:space="720"/>
        </w:sectPr>
      </w:pPr>
    </w:p>
    <w:p w14:paraId="41E8FBF1" w14:textId="77777777" w:rsidR="007E1213" w:rsidRPr="004D426F" w:rsidRDefault="007E1213" w:rsidP="007E1213">
      <w:pPr>
        <w:spacing w:before="120" w:after="240" w:line="276" w:lineRule="auto"/>
        <w:jc w:val="both"/>
        <w:rPr>
          <w:rFonts w:ascii="Arial" w:hAnsi="Arial" w:cs="Arial"/>
        </w:rPr>
      </w:pPr>
      <w:r w:rsidRPr="004D426F">
        <w:rPr>
          <w:rFonts w:ascii="Arial" w:hAnsi="Arial" w:cs="Arial"/>
        </w:rPr>
        <w:t xml:space="preserve">Australia has many educational stakeholders across state and territory government and non-government sectors, including students themselves, parents, teachers, principals, professional associations/unions, academics and more. Our starting point is that all education stakeholders want the best for students with disability. </w:t>
      </w:r>
    </w:p>
    <w:p w14:paraId="2490B44F" w14:textId="5B2AE282" w:rsidR="003D0F72" w:rsidRPr="004D426F" w:rsidRDefault="003D0F72" w:rsidP="00332118">
      <w:pPr>
        <w:spacing w:line="256" w:lineRule="auto"/>
        <w:jc w:val="both"/>
        <w:rPr>
          <w:rFonts w:ascii="Arial" w:hAnsi="Arial" w:cs="Arial"/>
        </w:rPr>
      </w:pPr>
      <w:r w:rsidRPr="004D426F">
        <w:rPr>
          <w:rFonts w:ascii="Arial" w:hAnsi="Arial" w:cs="Arial"/>
        </w:rPr>
        <w:t xml:space="preserve">One of the key levers for change </w:t>
      </w:r>
      <w:r w:rsidR="001B7E4D" w:rsidRPr="004D426F">
        <w:rPr>
          <w:rFonts w:ascii="Arial" w:hAnsi="Arial" w:cs="Arial"/>
        </w:rPr>
        <w:t>is teacher education, including recommendations</w:t>
      </w:r>
      <w:r w:rsidRPr="004D426F">
        <w:rPr>
          <w:rFonts w:ascii="Arial" w:hAnsi="Arial" w:cs="Arial"/>
        </w:rPr>
        <w:t>:</w:t>
      </w:r>
    </w:p>
    <w:p w14:paraId="4603ACEE" w14:textId="54AD9D07" w:rsidR="001B7E4D" w:rsidRPr="004D426F" w:rsidRDefault="001B7E4D" w:rsidP="005171E5">
      <w:pPr>
        <w:pStyle w:val="ListParagraph"/>
        <w:numPr>
          <w:ilvl w:val="0"/>
          <w:numId w:val="17"/>
        </w:numPr>
        <w:rPr>
          <w:rFonts w:ascii="Arial" w:eastAsiaTheme="majorEastAsia" w:hAnsi="Arial" w:cs="Arial"/>
        </w:rPr>
      </w:pPr>
      <w:r w:rsidRPr="004D426F">
        <w:rPr>
          <w:rFonts w:ascii="Arial" w:hAnsi="Arial" w:cs="Arial"/>
        </w:rPr>
        <w:t>Research and develop the evidence base of best practice models and ensure this is widely disseminated (</w:t>
      </w:r>
      <w:r w:rsidR="00332118" w:rsidRPr="004D426F">
        <w:rPr>
          <w:rFonts w:ascii="Arial" w:hAnsi="Arial" w:cs="Arial"/>
        </w:rPr>
        <w:t>e.g.,</w:t>
      </w:r>
      <w:r w:rsidRPr="004D426F">
        <w:rPr>
          <w:rFonts w:ascii="Arial" w:hAnsi="Arial" w:cs="Arial"/>
        </w:rPr>
        <w:t xml:space="preserve"> using co-teaching and peer tutoring, rather than teachers’ aides). </w:t>
      </w:r>
    </w:p>
    <w:p w14:paraId="1A8D45AC" w14:textId="32D51425" w:rsidR="001B7E4D" w:rsidRPr="004D426F" w:rsidRDefault="001B7E4D" w:rsidP="005171E5">
      <w:pPr>
        <w:pStyle w:val="ListParagraph"/>
        <w:numPr>
          <w:ilvl w:val="0"/>
          <w:numId w:val="17"/>
        </w:numPr>
        <w:rPr>
          <w:rFonts w:ascii="Arial" w:eastAsiaTheme="majorEastAsia" w:hAnsi="Arial" w:cs="Arial"/>
        </w:rPr>
      </w:pPr>
      <w:r w:rsidRPr="004D426F">
        <w:rPr>
          <w:rFonts w:ascii="Arial" w:hAnsi="Arial" w:cs="Arial"/>
        </w:rPr>
        <w:t xml:space="preserve">Train teachers in team-based approaches and collaborative models to support students with disability, including family-centred practice. </w:t>
      </w:r>
    </w:p>
    <w:p w14:paraId="4F7090DD" w14:textId="77777777" w:rsidR="001B7E4D" w:rsidRPr="004D426F" w:rsidRDefault="001B7E4D" w:rsidP="005171E5">
      <w:pPr>
        <w:pStyle w:val="ListParagraph"/>
        <w:numPr>
          <w:ilvl w:val="0"/>
          <w:numId w:val="17"/>
        </w:numPr>
        <w:rPr>
          <w:rFonts w:ascii="Arial" w:eastAsiaTheme="majorEastAsia" w:hAnsi="Arial" w:cs="Arial"/>
        </w:rPr>
      </w:pPr>
      <w:r w:rsidRPr="004D426F">
        <w:rPr>
          <w:rFonts w:ascii="Arial" w:hAnsi="Arial" w:cs="Arial"/>
        </w:rPr>
        <w:t>Develop a national standard for inclusive education in pre-service teacher training.</w:t>
      </w:r>
    </w:p>
    <w:p w14:paraId="0FEAFD21" w14:textId="77777777" w:rsidR="001B7E4D" w:rsidRPr="004D426F" w:rsidRDefault="001B7E4D" w:rsidP="005171E5">
      <w:pPr>
        <w:pStyle w:val="ListParagraph"/>
        <w:numPr>
          <w:ilvl w:val="0"/>
          <w:numId w:val="17"/>
        </w:numPr>
        <w:rPr>
          <w:rFonts w:ascii="Arial" w:eastAsiaTheme="majorEastAsia" w:hAnsi="Arial" w:cs="Arial"/>
        </w:rPr>
      </w:pPr>
      <w:r w:rsidRPr="004D426F">
        <w:rPr>
          <w:rFonts w:ascii="Arial" w:hAnsi="Arial" w:cs="Arial"/>
        </w:rPr>
        <w:t xml:space="preserve">Fund postgraduate qualifications in inclusive education and strategically use and reward expertise across education systems to support schools in inclusion. </w:t>
      </w:r>
    </w:p>
    <w:p w14:paraId="4E8744CF" w14:textId="77777777" w:rsidR="001B7E4D" w:rsidRPr="004D426F" w:rsidRDefault="001B7E4D" w:rsidP="005171E5">
      <w:pPr>
        <w:pStyle w:val="ListParagraph"/>
        <w:numPr>
          <w:ilvl w:val="0"/>
          <w:numId w:val="17"/>
        </w:numPr>
        <w:rPr>
          <w:rFonts w:ascii="Arial" w:eastAsiaTheme="majorEastAsia" w:hAnsi="Arial" w:cs="Arial"/>
        </w:rPr>
      </w:pPr>
      <w:r w:rsidRPr="004D426F">
        <w:rPr>
          <w:rFonts w:ascii="Arial" w:hAnsi="Arial" w:cs="Arial"/>
        </w:rPr>
        <w:t xml:space="preserve">Increase the numbers of teachers with disability. </w:t>
      </w:r>
    </w:p>
    <w:p w14:paraId="7C2C7F00" w14:textId="2E9148F7" w:rsidR="007E1213" w:rsidRPr="004D426F" w:rsidRDefault="001B7E4D" w:rsidP="005171E5">
      <w:pPr>
        <w:pStyle w:val="ListParagraph"/>
        <w:numPr>
          <w:ilvl w:val="0"/>
          <w:numId w:val="17"/>
        </w:numPr>
        <w:rPr>
          <w:rFonts w:ascii="Arial" w:eastAsiaTheme="majorEastAsia" w:hAnsi="Arial" w:cs="Arial"/>
        </w:rPr>
      </w:pPr>
      <w:r w:rsidRPr="004D426F">
        <w:rPr>
          <w:rFonts w:ascii="Arial" w:hAnsi="Arial" w:cs="Arial"/>
        </w:rPr>
        <w:t xml:space="preserve">Invest in professional development for principals and teachers in inclusive education and preventing discrimination, violence, </w:t>
      </w:r>
      <w:proofErr w:type="gramStart"/>
      <w:r w:rsidRPr="004D426F">
        <w:rPr>
          <w:rFonts w:ascii="Arial" w:hAnsi="Arial" w:cs="Arial"/>
        </w:rPr>
        <w:t>abuse</w:t>
      </w:r>
      <w:proofErr w:type="gramEnd"/>
      <w:r w:rsidRPr="004D426F">
        <w:rPr>
          <w:rFonts w:ascii="Arial" w:hAnsi="Arial" w:cs="Arial"/>
        </w:rPr>
        <w:t xml:space="preserve"> and neglect of students with disability.</w:t>
      </w:r>
    </w:p>
    <w:p w14:paraId="04B244A7" w14:textId="77777777" w:rsidR="0099671B" w:rsidRPr="004D426F" w:rsidRDefault="00871CD0" w:rsidP="005171E5">
      <w:pPr>
        <w:pStyle w:val="Quote"/>
        <w:rPr>
          <w:rFonts w:ascii="Arial" w:hAnsi="Arial" w:cs="Arial"/>
          <w:lang w:eastAsia="en-AU"/>
        </w:rPr>
      </w:pPr>
      <w:r w:rsidRPr="004D426F">
        <w:rPr>
          <w:rFonts w:ascii="Arial" w:hAnsi="Arial" w:cs="Arial"/>
          <w:lang w:eastAsia="en-AU"/>
        </w:rPr>
        <w:t xml:space="preserve">“We found no evidence that beginning teachers were unprepared for the classroom or that they are bad at behaviour management. In fact, we found that most beginning teachers engaged in higher levels of emotional support than their more experienced colleagues. </w:t>
      </w:r>
    </w:p>
    <w:p w14:paraId="60E30405" w14:textId="65400CF2" w:rsidR="00871CD0" w:rsidRPr="004D426F" w:rsidRDefault="00871CD0" w:rsidP="005171E5">
      <w:pPr>
        <w:pStyle w:val="Quote"/>
        <w:rPr>
          <w:rFonts w:ascii="Arial" w:hAnsi="Arial" w:cs="Arial"/>
          <w:lang w:eastAsia="en-AU"/>
        </w:rPr>
      </w:pPr>
      <w:r w:rsidRPr="004D426F">
        <w:rPr>
          <w:rFonts w:ascii="Arial" w:hAnsi="Arial" w:cs="Arial"/>
          <w:shd w:val="clear" w:color="auto" w:fill="FFFFFF"/>
        </w:rPr>
        <w:t>Rather than implementing any more graduation hurdles designed to “vet” entry to the profession or further destabilising university teacher education, governments need to look at the evidence and turn instead to finding better ways of directing support to </w:t>
      </w:r>
      <w:r w:rsidRPr="004D426F">
        <w:rPr>
          <w:rStyle w:val="Emphasis"/>
          <w:rFonts w:ascii="Arial" w:hAnsi="Arial" w:cs="Arial"/>
          <w:color w:val="538135" w:themeColor="accent6" w:themeShade="BF"/>
          <w:sz w:val="24"/>
          <w:szCs w:val="24"/>
          <w:bdr w:val="none" w:sz="0" w:space="0" w:color="auto" w:frame="1"/>
          <w:shd w:val="clear" w:color="auto" w:fill="FFFFFF"/>
        </w:rPr>
        <w:t>all</w:t>
      </w:r>
      <w:r w:rsidRPr="004D426F">
        <w:rPr>
          <w:rFonts w:ascii="Arial" w:hAnsi="Arial" w:cs="Arial"/>
          <w:shd w:val="clear" w:color="auto" w:fill="FFFFFF"/>
        </w:rPr>
        <w:t> teachers and provide intelligently targeted, quality professional learning to those who need it.”</w:t>
      </w:r>
      <w:r w:rsidR="005171E5" w:rsidRPr="004D426F">
        <w:rPr>
          <w:rFonts w:ascii="Arial" w:hAnsi="Arial" w:cs="Arial"/>
          <w:vertAlign w:val="superscript"/>
        </w:rPr>
        <w:footnoteReference w:id="2"/>
      </w:r>
    </w:p>
    <w:p w14:paraId="3C9A47A7" w14:textId="5E451B86" w:rsidR="00C32B6A" w:rsidRDefault="00C32B6A" w:rsidP="00C32B6A">
      <w:pPr>
        <w:pStyle w:val="Heading1"/>
      </w:pPr>
      <w:bookmarkStart w:id="5" w:name="_Toc77952982"/>
      <w:r>
        <w:t>The evidence on teacher training for inclusive education</w:t>
      </w:r>
      <w:bookmarkEnd w:id="5"/>
    </w:p>
    <w:p w14:paraId="26CE0368" w14:textId="052B0E0D" w:rsidR="00C01891" w:rsidRDefault="00C32B6A">
      <w:pPr>
        <w:rPr>
          <w:rFonts w:ascii="Arial" w:hAnsi="Arial" w:cs="Arial"/>
        </w:rPr>
      </w:pPr>
      <w:r>
        <w:rPr>
          <w:rFonts w:ascii="Arial" w:hAnsi="Arial" w:cs="Arial"/>
        </w:rPr>
        <w:br/>
      </w:r>
      <w:r w:rsidR="00C01891" w:rsidRPr="00C01891">
        <w:rPr>
          <w:rFonts w:ascii="Arial" w:hAnsi="Arial" w:cs="Arial"/>
        </w:rPr>
        <w:t>Inadequate, or severely inadequate, teacher education for inclusion is a major barrier to inclusive education</w:t>
      </w:r>
      <w:r w:rsidR="00C01891">
        <w:rPr>
          <w:rFonts w:ascii="Arial" w:hAnsi="Arial" w:cs="Arial"/>
        </w:rPr>
        <w:t>. In 2019, CYDA commissioned</w:t>
      </w:r>
      <w:r w:rsidR="00C01891" w:rsidRPr="00C01891">
        <w:rPr>
          <w:rFonts w:ascii="Arial" w:hAnsi="Arial" w:cs="Arial"/>
        </w:rPr>
        <w:t xml:space="preserve"> an extensive systematic literature review of inclusive education</w:t>
      </w:r>
      <w:r w:rsidR="00C01891">
        <w:rPr>
          <w:rStyle w:val="FootnoteReference"/>
          <w:rFonts w:ascii="Arial" w:hAnsi="Arial" w:cs="Arial"/>
        </w:rPr>
        <w:footnoteReference w:id="3"/>
      </w:r>
      <w:r w:rsidR="00C01891" w:rsidRPr="00C01891">
        <w:rPr>
          <w:rFonts w:ascii="Arial" w:hAnsi="Arial" w:cs="Arial"/>
        </w:rPr>
        <w:t xml:space="preserve">. </w:t>
      </w:r>
      <w:r w:rsidR="00C01891">
        <w:rPr>
          <w:rFonts w:ascii="Arial" w:hAnsi="Arial" w:cs="Arial"/>
        </w:rPr>
        <w:t xml:space="preserve">This review </w:t>
      </w:r>
      <w:r w:rsidR="00C01891" w:rsidRPr="00C01891">
        <w:rPr>
          <w:rFonts w:ascii="Arial" w:hAnsi="Arial" w:cs="Arial"/>
        </w:rPr>
        <w:t>examine</w:t>
      </w:r>
      <w:r w:rsidR="00C01891">
        <w:rPr>
          <w:rFonts w:ascii="Arial" w:hAnsi="Arial" w:cs="Arial"/>
        </w:rPr>
        <w:t>d</w:t>
      </w:r>
      <w:r w:rsidR="00C01891" w:rsidRPr="00C01891">
        <w:rPr>
          <w:rFonts w:ascii="Arial" w:hAnsi="Arial" w:cs="Arial"/>
        </w:rPr>
        <w:t xml:space="preserve"> evidence across six decades and incorporates more than 400 research papers, relevant </w:t>
      </w:r>
      <w:proofErr w:type="gramStart"/>
      <w:r w:rsidR="00C01891" w:rsidRPr="00C01891">
        <w:rPr>
          <w:rFonts w:ascii="Arial" w:hAnsi="Arial" w:cs="Arial"/>
        </w:rPr>
        <w:t>treaties</w:t>
      </w:r>
      <w:proofErr w:type="gramEnd"/>
      <w:r w:rsidR="00C01891" w:rsidRPr="00C01891">
        <w:rPr>
          <w:rFonts w:ascii="Arial" w:hAnsi="Arial" w:cs="Arial"/>
        </w:rPr>
        <w:t xml:space="preserve"> and reports, to further explore the existing barriers and the possibilities for addressing these to bring about the realisation of inclusive education. </w:t>
      </w:r>
    </w:p>
    <w:p w14:paraId="3BF9837D" w14:textId="77777777" w:rsidR="00C01891" w:rsidRDefault="00C01891" w:rsidP="00C01891">
      <w:pPr>
        <w:rPr>
          <w:rFonts w:ascii="Arial" w:hAnsi="Arial" w:cs="Arial"/>
        </w:rPr>
      </w:pPr>
      <w:r>
        <w:rPr>
          <w:rFonts w:ascii="Arial" w:hAnsi="Arial" w:cs="Arial"/>
        </w:rPr>
        <w:t>This review found t</w:t>
      </w:r>
      <w:r w:rsidRPr="00C01891">
        <w:rPr>
          <w:rFonts w:ascii="Arial" w:hAnsi="Arial" w:cs="Arial"/>
        </w:rPr>
        <w:t>eacher attitudes influence the implementation of inclusiv</w:t>
      </w:r>
      <w:r>
        <w:rPr>
          <w:rFonts w:ascii="Arial" w:hAnsi="Arial" w:cs="Arial"/>
        </w:rPr>
        <w:t xml:space="preserve">e </w:t>
      </w:r>
      <w:r w:rsidRPr="00C01891">
        <w:rPr>
          <w:rFonts w:ascii="Arial" w:hAnsi="Arial" w:cs="Arial"/>
        </w:rPr>
        <w:t>practices in the classroom</w:t>
      </w:r>
      <w:r>
        <w:rPr>
          <w:rFonts w:ascii="Arial" w:hAnsi="Arial" w:cs="Arial"/>
        </w:rPr>
        <w:t xml:space="preserve"> and that t</w:t>
      </w:r>
      <w:r w:rsidRPr="00C01891">
        <w:rPr>
          <w:rFonts w:ascii="Arial" w:hAnsi="Arial" w:cs="Arial"/>
        </w:rPr>
        <w:t xml:space="preserve">eacher education is </w:t>
      </w:r>
      <w:proofErr w:type="gramStart"/>
      <w:r w:rsidRPr="00C01891">
        <w:rPr>
          <w:rFonts w:ascii="Arial" w:hAnsi="Arial" w:cs="Arial"/>
        </w:rPr>
        <w:t>directly</w:t>
      </w:r>
      <w:r>
        <w:rPr>
          <w:rFonts w:ascii="Arial" w:hAnsi="Arial" w:cs="Arial"/>
        </w:rPr>
        <w:t xml:space="preserve"> </w:t>
      </w:r>
      <w:r w:rsidRPr="00C01891">
        <w:rPr>
          <w:rFonts w:ascii="Arial" w:hAnsi="Arial" w:cs="Arial"/>
        </w:rPr>
        <w:t>related</w:t>
      </w:r>
      <w:proofErr w:type="gramEnd"/>
      <w:r w:rsidRPr="00C01891">
        <w:rPr>
          <w:rFonts w:ascii="Arial" w:hAnsi="Arial" w:cs="Arial"/>
        </w:rPr>
        <w:t xml:space="preserve"> to teacher attitudes</w:t>
      </w:r>
      <w:r>
        <w:rPr>
          <w:rFonts w:ascii="Arial" w:hAnsi="Arial" w:cs="Arial"/>
        </w:rPr>
        <w:t xml:space="preserve">. </w:t>
      </w:r>
      <w:r w:rsidRPr="00C01891">
        <w:rPr>
          <w:rFonts w:ascii="Arial" w:hAnsi="Arial" w:cs="Arial"/>
        </w:rPr>
        <w:t>Teachers who receive education about inclusive education</w:t>
      </w:r>
      <w:r>
        <w:rPr>
          <w:rFonts w:ascii="Arial" w:hAnsi="Arial" w:cs="Arial"/>
        </w:rPr>
        <w:t xml:space="preserve"> </w:t>
      </w:r>
      <w:r w:rsidRPr="00C01891">
        <w:rPr>
          <w:rFonts w:ascii="Arial" w:hAnsi="Arial" w:cs="Arial"/>
        </w:rPr>
        <w:t>have been found to be more likely to have positive attitudes</w:t>
      </w:r>
      <w:r>
        <w:rPr>
          <w:rFonts w:ascii="Arial" w:hAnsi="Arial" w:cs="Arial"/>
        </w:rPr>
        <w:t xml:space="preserve"> </w:t>
      </w:r>
      <w:r w:rsidRPr="00C01891">
        <w:rPr>
          <w:rFonts w:ascii="Arial" w:hAnsi="Arial" w:cs="Arial"/>
        </w:rPr>
        <w:t xml:space="preserve">towards students who experience </w:t>
      </w:r>
      <w:r>
        <w:rPr>
          <w:rFonts w:ascii="Arial" w:hAnsi="Arial" w:cs="Arial"/>
        </w:rPr>
        <w:t>disability.</w:t>
      </w:r>
    </w:p>
    <w:p w14:paraId="37295319" w14:textId="6965397F" w:rsidR="00C01891" w:rsidRPr="00C01891" w:rsidRDefault="00C01891" w:rsidP="00C01891">
      <w:pPr>
        <w:rPr>
          <w:rFonts w:ascii="Arial" w:hAnsi="Arial" w:cs="Arial"/>
        </w:rPr>
      </w:pPr>
      <w:r>
        <w:rPr>
          <w:rFonts w:ascii="Arial" w:hAnsi="Arial" w:cs="Arial"/>
        </w:rPr>
        <w:t>The review also found that i</w:t>
      </w:r>
      <w:r w:rsidRPr="00C01891">
        <w:rPr>
          <w:rFonts w:ascii="Arial" w:hAnsi="Arial" w:cs="Arial"/>
        </w:rPr>
        <w:t>t is not only the pre-service education</w:t>
      </w:r>
      <w:r>
        <w:rPr>
          <w:rFonts w:ascii="Arial" w:hAnsi="Arial" w:cs="Arial"/>
        </w:rPr>
        <w:t xml:space="preserve"> </w:t>
      </w:r>
      <w:r w:rsidRPr="00C01891">
        <w:rPr>
          <w:rFonts w:ascii="Arial" w:hAnsi="Arial" w:cs="Arial"/>
        </w:rPr>
        <w:t>that teachers receive, but also ongoing professional</w:t>
      </w:r>
      <w:r>
        <w:rPr>
          <w:rFonts w:ascii="Arial" w:hAnsi="Arial" w:cs="Arial"/>
        </w:rPr>
        <w:t xml:space="preserve"> </w:t>
      </w:r>
      <w:r w:rsidRPr="00C01891">
        <w:rPr>
          <w:rFonts w:ascii="Arial" w:hAnsi="Arial" w:cs="Arial"/>
        </w:rPr>
        <w:t>development that needs to focus on inclusive educatio</w:t>
      </w:r>
      <w:r>
        <w:rPr>
          <w:rFonts w:ascii="Arial" w:hAnsi="Arial" w:cs="Arial"/>
        </w:rPr>
        <w:t>n</w:t>
      </w:r>
      <w:r>
        <w:rPr>
          <w:rStyle w:val="FootnoteReference"/>
          <w:rFonts w:ascii="Arial" w:hAnsi="Arial" w:cs="Arial"/>
        </w:rPr>
        <w:footnoteReference w:id="4"/>
      </w:r>
      <w:r>
        <w:rPr>
          <w:rFonts w:ascii="Arial" w:hAnsi="Arial" w:cs="Arial"/>
        </w:rPr>
        <w:t xml:space="preserve">. </w:t>
      </w:r>
    </w:p>
    <w:p w14:paraId="232071EE" w14:textId="77777777" w:rsidR="00C32B6A" w:rsidRDefault="00C32B6A">
      <w:pPr>
        <w:rPr>
          <w:rFonts w:ascii="Arial" w:hAnsi="Arial" w:cs="Arial"/>
        </w:rPr>
      </w:pPr>
      <w:r>
        <w:rPr>
          <w:rFonts w:ascii="Arial" w:hAnsi="Arial" w:cs="Arial"/>
        </w:rPr>
        <w:br w:type="page"/>
      </w:r>
    </w:p>
    <w:p w14:paraId="4299FA7E" w14:textId="49712307" w:rsidR="00C01891" w:rsidRPr="00C01891" w:rsidRDefault="00C01891" w:rsidP="00C01891">
      <w:pPr>
        <w:rPr>
          <w:rFonts w:ascii="Arial" w:hAnsi="Arial" w:cs="Arial"/>
        </w:rPr>
      </w:pPr>
      <w:r w:rsidRPr="00C01891">
        <w:rPr>
          <w:rFonts w:ascii="Arial" w:hAnsi="Arial" w:cs="Arial"/>
        </w:rPr>
        <w:t xml:space="preserve">From the </w:t>
      </w:r>
      <w:r w:rsidR="00C32B6A">
        <w:rPr>
          <w:rFonts w:ascii="Arial" w:hAnsi="Arial" w:cs="Arial"/>
        </w:rPr>
        <w:t>evidence review</w:t>
      </w:r>
      <w:r w:rsidRPr="00C01891">
        <w:rPr>
          <w:rFonts w:ascii="Arial" w:hAnsi="Arial" w:cs="Arial"/>
        </w:rPr>
        <w:t xml:space="preserve"> it is clear that key elements of teacher</w:t>
      </w:r>
      <w:r>
        <w:rPr>
          <w:rFonts w:ascii="Arial" w:hAnsi="Arial" w:cs="Arial"/>
        </w:rPr>
        <w:t xml:space="preserve"> </w:t>
      </w:r>
      <w:r w:rsidRPr="00C01891">
        <w:rPr>
          <w:rFonts w:ascii="Arial" w:hAnsi="Arial" w:cs="Arial"/>
        </w:rPr>
        <w:t>education that result in more positive attitudes towards,</w:t>
      </w:r>
      <w:r>
        <w:rPr>
          <w:rFonts w:ascii="Arial" w:hAnsi="Arial" w:cs="Arial"/>
        </w:rPr>
        <w:t xml:space="preserve"> </w:t>
      </w:r>
      <w:r w:rsidRPr="00C01891">
        <w:rPr>
          <w:rFonts w:ascii="Arial" w:hAnsi="Arial" w:cs="Arial"/>
        </w:rPr>
        <w:t>and understanding of, inclusive education include</w:t>
      </w:r>
      <w:r w:rsidR="00C32B6A">
        <w:rPr>
          <w:rStyle w:val="FootnoteReference"/>
          <w:rFonts w:ascii="Arial" w:hAnsi="Arial" w:cs="Arial"/>
        </w:rPr>
        <w:footnoteReference w:id="5"/>
      </w:r>
      <w:r w:rsidRPr="00C01891">
        <w:rPr>
          <w:rFonts w:ascii="Arial" w:hAnsi="Arial" w:cs="Arial"/>
        </w:rPr>
        <w:t>:</w:t>
      </w:r>
    </w:p>
    <w:p w14:paraId="2777ADA5" w14:textId="668ECFAC"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teacher education based on an anti-bias, rights-based approach to inclusive education for all students</w:t>
      </w:r>
    </w:p>
    <w:p w14:paraId="71ACFBDE" w14:textId="5C80095A"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education for critical reflection and critical consciousness to facilitate inclusive attitudes</w:t>
      </w:r>
    </w:p>
    <w:p w14:paraId="111AE7A4" w14:textId="371DAFB5"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 xml:space="preserve">support for teachers to develop skills in identifying, </w:t>
      </w:r>
      <w:proofErr w:type="gramStart"/>
      <w:r w:rsidRPr="00C32B6A">
        <w:rPr>
          <w:rFonts w:ascii="Arial" w:hAnsi="Arial" w:cs="Arial"/>
        </w:rPr>
        <w:t>challenging</w:t>
      </w:r>
      <w:proofErr w:type="gramEnd"/>
      <w:r w:rsidRPr="00C32B6A">
        <w:rPr>
          <w:rFonts w:ascii="Arial" w:hAnsi="Arial" w:cs="Arial"/>
        </w:rPr>
        <w:t xml:space="preserve"> and addressing barriers to inclusion</w:t>
      </w:r>
    </w:p>
    <w:p w14:paraId="333790D0" w14:textId="7512E5B7"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teacher education that enables teachers to develop an understanding of ableism, recognise ableist values and practices, and seek to disestablish ableist attitudes, including consideration of representation of people who experience disability</w:t>
      </w:r>
    </w:p>
    <w:p w14:paraId="037768FE" w14:textId="77777777" w:rsid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support to move beyond deficit thinking entrenched</w:t>
      </w:r>
      <w:r w:rsidR="00C32B6A">
        <w:rPr>
          <w:rFonts w:ascii="Arial" w:hAnsi="Arial" w:cs="Arial"/>
        </w:rPr>
        <w:t xml:space="preserve"> </w:t>
      </w:r>
      <w:r w:rsidRPr="00C32B6A">
        <w:rPr>
          <w:rFonts w:ascii="Arial" w:hAnsi="Arial" w:cs="Arial"/>
        </w:rPr>
        <w:t>within the ‘special’ education paradigm towards a</w:t>
      </w:r>
      <w:r w:rsidR="00C32B6A">
        <w:rPr>
          <w:rFonts w:ascii="Arial" w:hAnsi="Arial" w:cs="Arial"/>
        </w:rPr>
        <w:t xml:space="preserve"> </w:t>
      </w:r>
      <w:r w:rsidRPr="00C32B6A">
        <w:rPr>
          <w:rFonts w:ascii="Arial" w:hAnsi="Arial" w:cs="Arial"/>
        </w:rPr>
        <w:t>strengths-based approach to education that welcomes</w:t>
      </w:r>
      <w:r w:rsidR="00C32B6A">
        <w:rPr>
          <w:rFonts w:ascii="Arial" w:hAnsi="Arial" w:cs="Arial"/>
        </w:rPr>
        <w:t xml:space="preserve"> </w:t>
      </w:r>
      <w:r w:rsidRPr="00C32B6A">
        <w:rPr>
          <w:rFonts w:ascii="Arial" w:hAnsi="Arial" w:cs="Arial"/>
        </w:rPr>
        <w:t>and celebrates diversity</w:t>
      </w:r>
    </w:p>
    <w:p w14:paraId="24927265" w14:textId="0041E657" w:rsid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learning about and developing a rights-based</w:t>
      </w:r>
      <w:r w:rsidR="00C32B6A">
        <w:rPr>
          <w:rFonts w:ascii="Arial" w:hAnsi="Arial" w:cs="Arial"/>
        </w:rPr>
        <w:t xml:space="preserve"> </w:t>
      </w:r>
      <w:r w:rsidRPr="00C32B6A">
        <w:rPr>
          <w:rFonts w:ascii="Arial" w:hAnsi="Arial" w:cs="Arial"/>
        </w:rPr>
        <w:t>understanding of inclusive education</w:t>
      </w:r>
    </w:p>
    <w:p w14:paraId="7304EA37" w14:textId="4278D412"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engaging in critical reflection about beliefs and</w:t>
      </w:r>
      <w:r w:rsidR="00C32B6A">
        <w:rPr>
          <w:rFonts w:ascii="Arial" w:hAnsi="Arial" w:cs="Arial"/>
        </w:rPr>
        <w:t xml:space="preserve"> </w:t>
      </w:r>
      <w:r w:rsidRPr="00C32B6A">
        <w:rPr>
          <w:rFonts w:ascii="Arial" w:hAnsi="Arial" w:cs="Arial"/>
        </w:rPr>
        <w:t>practices</w:t>
      </w:r>
    </w:p>
    <w:p w14:paraId="1CB98AFE" w14:textId="1E446D90"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building confidence for inclusive education through</w:t>
      </w:r>
      <w:r w:rsidR="00C32B6A" w:rsidRPr="00C32B6A">
        <w:rPr>
          <w:rFonts w:ascii="Arial" w:hAnsi="Arial" w:cs="Arial"/>
        </w:rPr>
        <w:t xml:space="preserve"> </w:t>
      </w:r>
      <w:r w:rsidRPr="00C32B6A">
        <w:rPr>
          <w:rFonts w:ascii="Arial" w:hAnsi="Arial" w:cs="Arial"/>
        </w:rPr>
        <w:t>reflective practice on developing knowledge of flexible</w:t>
      </w:r>
      <w:r w:rsidR="00C32B6A" w:rsidRPr="00C32B6A">
        <w:rPr>
          <w:rFonts w:ascii="Arial" w:hAnsi="Arial" w:cs="Arial"/>
        </w:rPr>
        <w:t xml:space="preserve"> </w:t>
      </w:r>
      <w:r w:rsidRPr="00C32B6A">
        <w:rPr>
          <w:rFonts w:ascii="Arial" w:hAnsi="Arial" w:cs="Arial"/>
        </w:rPr>
        <w:t>pedagogy387</w:t>
      </w:r>
    </w:p>
    <w:p w14:paraId="16DBF40B" w14:textId="0D0C331E"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engaging with critical disability studies to develop</w:t>
      </w:r>
      <w:r w:rsidR="00C32B6A" w:rsidRPr="00C32B6A">
        <w:rPr>
          <w:rFonts w:ascii="Arial" w:hAnsi="Arial" w:cs="Arial"/>
        </w:rPr>
        <w:t xml:space="preserve"> </w:t>
      </w:r>
      <w:r w:rsidRPr="00C32B6A">
        <w:rPr>
          <w:rFonts w:ascii="Arial" w:hAnsi="Arial" w:cs="Arial"/>
        </w:rPr>
        <w:t>understanding of the social construction of disability</w:t>
      </w:r>
      <w:r w:rsidR="00C32B6A" w:rsidRPr="00C32B6A">
        <w:rPr>
          <w:rFonts w:ascii="Arial" w:hAnsi="Arial" w:cs="Arial"/>
        </w:rPr>
        <w:t xml:space="preserve"> </w:t>
      </w:r>
      <w:r w:rsidRPr="00C32B6A">
        <w:rPr>
          <w:rFonts w:ascii="Arial" w:hAnsi="Arial" w:cs="Arial"/>
        </w:rPr>
        <w:t>and the role of the teacher in reducing ableism</w:t>
      </w:r>
    </w:p>
    <w:p w14:paraId="288A2607" w14:textId="60AFEA9C"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developing an understanding of diversity as a resource</w:t>
      </w:r>
      <w:r w:rsidR="00C32B6A" w:rsidRPr="00C32B6A">
        <w:rPr>
          <w:rFonts w:ascii="Arial" w:hAnsi="Arial" w:cs="Arial"/>
        </w:rPr>
        <w:t xml:space="preserve"> </w:t>
      </w:r>
      <w:r w:rsidRPr="00C32B6A">
        <w:rPr>
          <w:rFonts w:ascii="Arial" w:hAnsi="Arial" w:cs="Arial"/>
        </w:rPr>
        <w:t>rather than a ‘problem’ and learning to presume</w:t>
      </w:r>
      <w:r w:rsidR="00C32B6A" w:rsidRPr="00C32B6A">
        <w:rPr>
          <w:rFonts w:ascii="Arial" w:hAnsi="Arial" w:cs="Arial"/>
        </w:rPr>
        <w:t xml:space="preserve"> </w:t>
      </w:r>
      <w:r w:rsidRPr="00C32B6A">
        <w:rPr>
          <w:rFonts w:ascii="Arial" w:hAnsi="Arial" w:cs="Arial"/>
        </w:rPr>
        <w:t>competence and hold positive expectations of all</w:t>
      </w:r>
      <w:r w:rsidR="00C32B6A" w:rsidRPr="00C32B6A">
        <w:rPr>
          <w:rFonts w:ascii="Arial" w:hAnsi="Arial" w:cs="Arial"/>
        </w:rPr>
        <w:t xml:space="preserve"> </w:t>
      </w:r>
      <w:r w:rsidRPr="00C32B6A">
        <w:rPr>
          <w:rFonts w:ascii="Arial" w:hAnsi="Arial" w:cs="Arial"/>
        </w:rPr>
        <w:t>students</w:t>
      </w:r>
    </w:p>
    <w:p w14:paraId="268DC1EE" w14:textId="2312EE43"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learning about available supports for facilitating</w:t>
      </w:r>
      <w:r w:rsidR="00C32B6A" w:rsidRPr="00C32B6A">
        <w:rPr>
          <w:rFonts w:ascii="Arial" w:hAnsi="Arial" w:cs="Arial"/>
        </w:rPr>
        <w:t xml:space="preserve"> </w:t>
      </w:r>
      <w:r w:rsidRPr="00C32B6A">
        <w:rPr>
          <w:rFonts w:ascii="Arial" w:hAnsi="Arial" w:cs="Arial"/>
        </w:rPr>
        <w:t>inclusive education</w:t>
      </w:r>
    </w:p>
    <w:p w14:paraId="1779626B" w14:textId="3AA74DC5" w:rsidR="00C01891" w:rsidRP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critical engagement with resources and inclusive</w:t>
      </w:r>
      <w:r w:rsidR="00C32B6A" w:rsidRPr="00C32B6A">
        <w:rPr>
          <w:rFonts w:ascii="Arial" w:hAnsi="Arial" w:cs="Arial"/>
        </w:rPr>
        <w:t xml:space="preserve"> </w:t>
      </w:r>
      <w:r w:rsidRPr="00C32B6A">
        <w:rPr>
          <w:rFonts w:ascii="Arial" w:hAnsi="Arial" w:cs="Arial"/>
        </w:rPr>
        <w:t>approaches to provisioning the environment</w:t>
      </w:r>
    </w:p>
    <w:p w14:paraId="63B7C1ED" w14:textId="2D73655D" w:rsidR="00C32B6A" w:rsidRDefault="00C01891"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developing an understanding of the importance of</w:t>
      </w:r>
      <w:r w:rsidR="00C32B6A" w:rsidRPr="00C32B6A">
        <w:rPr>
          <w:rFonts w:ascii="Arial" w:hAnsi="Arial" w:cs="Arial"/>
        </w:rPr>
        <w:t xml:space="preserve"> </w:t>
      </w:r>
      <w:r w:rsidRPr="00C32B6A">
        <w:rPr>
          <w:rFonts w:ascii="Arial" w:hAnsi="Arial" w:cs="Arial"/>
        </w:rPr>
        <w:t>building relationships with students to facilitate</w:t>
      </w:r>
      <w:r w:rsidR="00C32B6A" w:rsidRPr="00C32B6A">
        <w:rPr>
          <w:rFonts w:ascii="Arial" w:hAnsi="Arial" w:cs="Arial"/>
        </w:rPr>
        <w:t xml:space="preserve"> </w:t>
      </w:r>
      <w:r w:rsidRPr="00C32B6A">
        <w:rPr>
          <w:rFonts w:ascii="Arial" w:hAnsi="Arial" w:cs="Arial"/>
        </w:rPr>
        <w:t xml:space="preserve">inclusion </w:t>
      </w:r>
    </w:p>
    <w:p w14:paraId="781BDD46" w14:textId="7141990F" w:rsidR="00C32B6A" w:rsidRPr="00C32B6A" w:rsidRDefault="00C32B6A"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developing an understanding of the importance of listening to people who experience disability, including children and young people, and drawing on the disability rights movement in striving towards inclusive education (and within this, providing opportunities for respectful engagement with people who experience disability and their families) •</w:t>
      </w:r>
    </w:p>
    <w:p w14:paraId="32F402C6" w14:textId="77777777" w:rsidR="00C32B6A" w:rsidRPr="00C32B6A" w:rsidRDefault="00C32B6A"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 xml:space="preserve">establishing strategies for ongoing collaboration with other teachers, including the provision of a ‘theoretical toolbox’ to assist with engaging in ongoing critical thinking and critical reflection395 • </w:t>
      </w:r>
    </w:p>
    <w:p w14:paraId="6CF1AB2D" w14:textId="609F9EA7" w:rsidR="00C32B6A" w:rsidRPr="00C32B6A" w:rsidRDefault="00C32B6A"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 xml:space="preserve">learning about effective approaches to using support for inclusive education, particularly awareness of common pitfalls and important practices for collaborating with paraprofessionals, and alternative approaches to support </w:t>
      </w:r>
    </w:p>
    <w:p w14:paraId="3F0472AF" w14:textId="72304DE5" w:rsidR="00C32B6A" w:rsidRPr="00C32B6A" w:rsidRDefault="00C32B6A" w:rsidP="00C32B6A">
      <w:pPr>
        <w:pStyle w:val="ListParagraph"/>
        <w:numPr>
          <w:ilvl w:val="0"/>
          <w:numId w:val="20"/>
        </w:numPr>
        <w:pBdr>
          <w:top w:val="single" w:sz="4" w:space="1" w:color="auto"/>
          <w:left w:val="single" w:sz="4" w:space="4" w:color="auto"/>
          <w:bottom w:val="single" w:sz="4" w:space="1" w:color="auto"/>
          <w:right w:val="single" w:sz="4" w:space="4" w:color="auto"/>
        </w:pBdr>
        <w:ind w:left="357" w:hanging="357"/>
        <w:contextualSpacing w:val="0"/>
        <w:rPr>
          <w:rFonts w:ascii="Arial" w:hAnsi="Arial" w:cs="Arial"/>
        </w:rPr>
      </w:pPr>
      <w:r w:rsidRPr="00C32B6A">
        <w:rPr>
          <w:rFonts w:ascii="Arial" w:hAnsi="Arial" w:cs="Arial"/>
        </w:rPr>
        <w:t xml:space="preserve">support for developing understanding of and skills for engaging in differentiation and universal approaches to curriculum, pedagogy, the </w:t>
      </w:r>
      <w:proofErr w:type="gramStart"/>
      <w:r w:rsidRPr="00C32B6A">
        <w:rPr>
          <w:rFonts w:ascii="Arial" w:hAnsi="Arial" w:cs="Arial"/>
        </w:rPr>
        <w:t>environment</w:t>
      </w:r>
      <w:proofErr w:type="gramEnd"/>
      <w:r w:rsidRPr="00C32B6A">
        <w:rPr>
          <w:rFonts w:ascii="Arial" w:hAnsi="Arial" w:cs="Arial"/>
        </w:rPr>
        <w:t xml:space="preserve"> and assessment.</w:t>
      </w:r>
    </w:p>
    <w:p w14:paraId="41CFAF35" w14:textId="77777777" w:rsidR="00C32B6A" w:rsidRDefault="00C32B6A" w:rsidP="00C32B6A">
      <w:pPr>
        <w:rPr>
          <w:rFonts w:ascii="Arial" w:hAnsi="Arial" w:cs="Arial"/>
        </w:rPr>
      </w:pPr>
    </w:p>
    <w:p w14:paraId="1606F2CB" w14:textId="77777777" w:rsidR="00C32B6A" w:rsidRDefault="00C32B6A" w:rsidP="00C32B6A">
      <w:pPr>
        <w:rPr>
          <w:rFonts w:ascii="Arial" w:hAnsi="Arial" w:cs="Arial"/>
        </w:rPr>
      </w:pPr>
    </w:p>
    <w:p w14:paraId="24C49AF3" w14:textId="1C4DEF31" w:rsidR="003D0F72" w:rsidRDefault="00C5766F" w:rsidP="00B8119E">
      <w:pPr>
        <w:pStyle w:val="Heading1"/>
        <w:spacing w:before="120" w:after="240" w:line="276" w:lineRule="auto"/>
        <w:rPr>
          <w:rFonts w:cs="Arial"/>
        </w:rPr>
      </w:pPr>
      <w:bookmarkStart w:id="6" w:name="_Toc77952983"/>
      <w:r>
        <w:rPr>
          <w:rFonts w:cs="Arial"/>
        </w:rPr>
        <w:t xml:space="preserve">CYDA responses to the </w:t>
      </w:r>
      <w:r w:rsidR="007E1213" w:rsidRPr="007E1213">
        <w:rPr>
          <w:rFonts w:cs="Arial"/>
        </w:rPr>
        <w:t xml:space="preserve">Review </w:t>
      </w:r>
      <w:r w:rsidR="003D0F72">
        <w:rPr>
          <w:rFonts w:cs="Arial"/>
        </w:rPr>
        <w:t>questions</w:t>
      </w:r>
      <w:bookmarkEnd w:id="6"/>
    </w:p>
    <w:tbl>
      <w:tblPr>
        <w:tblStyle w:val="GridTable4-Accent6"/>
        <w:tblW w:w="9927" w:type="dxa"/>
        <w:tblLook w:val="0420" w:firstRow="1" w:lastRow="0" w:firstColumn="0" w:lastColumn="0" w:noHBand="0" w:noVBand="1"/>
      </w:tblPr>
      <w:tblGrid>
        <w:gridCol w:w="3964"/>
        <w:gridCol w:w="5963"/>
      </w:tblGrid>
      <w:tr w:rsidR="007E1213" w:rsidRPr="007E1213" w14:paraId="63288592" w14:textId="77777777" w:rsidTr="00764FE2">
        <w:trPr>
          <w:cnfStyle w:val="100000000000" w:firstRow="1" w:lastRow="0" w:firstColumn="0" w:lastColumn="0" w:oddVBand="0" w:evenVBand="0" w:oddHBand="0" w:evenHBand="0" w:firstRowFirstColumn="0" w:firstRowLastColumn="0" w:lastRowFirstColumn="0" w:lastRowLastColumn="0"/>
          <w:trHeight w:val="570"/>
          <w:tblHeader/>
        </w:trPr>
        <w:tc>
          <w:tcPr>
            <w:tcW w:w="3964" w:type="dxa"/>
            <w:vAlign w:val="center"/>
          </w:tcPr>
          <w:p w14:paraId="377B4EB5" w14:textId="77777777" w:rsidR="007E1213" w:rsidRPr="00926E08" w:rsidRDefault="007E1213" w:rsidP="00926E08">
            <w:pPr>
              <w:rPr>
                <w:rFonts w:ascii="Arial" w:hAnsi="Arial" w:cs="Arial"/>
                <w:sz w:val="28"/>
                <w:szCs w:val="28"/>
              </w:rPr>
            </w:pPr>
            <w:r w:rsidRPr="00926E08">
              <w:rPr>
                <w:rFonts w:ascii="Arial" w:hAnsi="Arial" w:cs="Arial"/>
                <w:sz w:val="28"/>
                <w:szCs w:val="28"/>
              </w:rPr>
              <w:t>Question</w:t>
            </w:r>
          </w:p>
        </w:tc>
        <w:tc>
          <w:tcPr>
            <w:tcW w:w="5963" w:type="dxa"/>
            <w:vAlign w:val="center"/>
          </w:tcPr>
          <w:p w14:paraId="30C07A81" w14:textId="79F16712" w:rsidR="007E1213" w:rsidRPr="00926E08" w:rsidRDefault="007E1213" w:rsidP="00926E08">
            <w:pPr>
              <w:rPr>
                <w:rFonts w:ascii="Arial" w:hAnsi="Arial" w:cs="Arial"/>
                <w:sz w:val="28"/>
                <w:szCs w:val="28"/>
              </w:rPr>
            </w:pPr>
            <w:r w:rsidRPr="00926E08">
              <w:rPr>
                <w:rFonts w:ascii="Arial" w:hAnsi="Arial" w:cs="Arial"/>
                <w:sz w:val="28"/>
                <w:szCs w:val="28"/>
              </w:rPr>
              <w:t>Recommendations</w:t>
            </w:r>
          </w:p>
        </w:tc>
      </w:tr>
      <w:tr w:rsidR="007E1213" w:rsidRPr="007E1213" w14:paraId="6C91180D" w14:textId="77777777" w:rsidTr="00764FE2">
        <w:trPr>
          <w:cnfStyle w:val="000000100000" w:firstRow="0" w:lastRow="0" w:firstColumn="0" w:lastColumn="0" w:oddVBand="0" w:evenVBand="0" w:oddHBand="1" w:evenHBand="0" w:firstRowFirstColumn="0" w:firstRowLastColumn="0" w:lastRowFirstColumn="0" w:lastRowLastColumn="0"/>
          <w:trHeight w:val="777"/>
        </w:trPr>
        <w:tc>
          <w:tcPr>
            <w:tcW w:w="3964" w:type="dxa"/>
          </w:tcPr>
          <w:p w14:paraId="1EFAA4D8" w14:textId="421CFB5F" w:rsidR="007E1213" w:rsidRPr="0099671B" w:rsidRDefault="00C5766F" w:rsidP="00C5766F">
            <w:pPr>
              <w:rPr>
                <w:rFonts w:ascii="Arial" w:hAnsi="Arial" w:cs="Arial"/>
              </w:rPr>
            </w:pPr>
            <w:r w:rsidRPr="0099671B">
              <w:rPr>
                <w:rFonts w:ascii="Arial" w:hAnsi="Arial" w:cs="Arial"/>
                <w:b/>
                <w:bCs/>
              </w:rPr>
              <w:t>4</w:t>
            </w:r>
            <w:r w:rsidRPr="0099671B">
              <w:rPr>
                <w:rFonts w:ascii="Arial" w:hAnsi="Arial" w:cs="Arial"/>
              </w:rPr>
              <w:t xml:space="preserve"> </w:t>
            </w:r>
            <w:r w:rsidR="007E1213" w:rsidRPr="0099671B">
              <w:rPr>
                <w:rFonts w:ascii="Arial" w:hAnsi="Arial" w:cs="Arial"/>
              </w:rPr>
              <w:t>How could more high-quality candidates from diverse backgrounds be encouraged to consider a career in teaching?</w:t>
            </w:r>
          </w:p>
        </w:tc>
        <w:tc>
          <w:tcPr>
            <w:tcW w:w="5963" w:type="dxa"/>
          </w:tcPr>
          <w:p w14:paraId="67EEC450" w14:textId="563565D3" w:rsidR="007E1213" w:rsidRPr="0099671B" w:rsidRDefault="00777FD9" w:rsidP="00C5766F">
            <w:pPr>
              <w:pStyle w:val="ListParagraph"/>
              <w:numPr>
                <w:ilvl w:val="0"/>
                <w:numId w:val="11"/>
              </w:numPr>
              <w:rPr>
                <w:rFonts w:ascii="Arial" w:hAnsi="Arial" w:cs="Arial"/>
              </w:rPr>
            </w:pPr>
            <w:r w:rsidRPr="0099671B">
              <w:rPr>
                <w:rFonts w:ascii="Arial" w:hAnsi="Arial" w:cs="Arial"/>
              </w:rPr>
              <w:t>Need for states and territories, and other educational structures to f</w:t>
            </w:r>
            <w:r w:rsidR="007E1213" w:rsidRPr="0099671B">
              <w:rPr>
                <w:rFonts w:ascii="Arial" w:hAnsi="Arial" w:cs="Arial"/>
              </w:rPr>
              <w:t>ormalise a commitment to recruitment of people with disability</w:t>
            </w:r>
          </w:p>
          <w:p w14:paraId="4DEE1EE8" w14:textId="36F3A9D9" w:rsidR="007E1213" w:rsidRPr="0099671B" w:rsidRDefault="00777FD9" w:rsidP="00C5766F">
            <w:pPr>
              <w:pStyle w:val="ListParagraph"/>
              <w:numPr>
                <w:ilvl w:val="0"/>
                <w:numId w:val="11"/>
              </w:numPr>
              <w:rPr>
                <w:rFonts w:ascii="Arial" w:hAnsi="Arial" w:cs="Arial"/>
              </w:rPr>
            </w:pPr>
            <w:r w:rsidRPr="0099671B">
              <w:rPr>
                <w:rFonts w:ascii="Arial" w:hAnsi="Arial" w:cs="Arial"/>
              </w:rPr>
              <w:t xml:space="preserve">All elements of </w:t>
            </w:r>
            <w:r w:rsidR="007E1213" w:rsidRPr="0099671B">
              <w:rPr>
                <w:rFonts w:ascii="Arial" w:hAnsi="Arial" w:cs="Arial"/>
              </w:rPr>
              <w:t xml:space="preserve">ITE </w:t>
            </w:r>
            <w:r w:rsidRPr="0099671B">
              <w:rPr>
                <w:rFonts w:ascii="Arial" w:hAnsi="Arial" w:cs="Arial"/>
              </w:rPr>
              <w:t>should be</w:t>
            </w:r>
            <w:r w:rsidR="007E1213" w:rsidRPr="0099671B">
              <w:rPr>
                <w:rFonts w:ascii="Arial" w:hAnsi="Arial" w:cs="Arial"/>
              </w:rPr>
              <w:t xml:space="preserve"> accessible </w:t>
            </w:r>
            <w:r w:rsidRPr="0099671B">
              <w:rPr>
                <w:rFonts w:ascii="Arial" w:hAnsi="Arial" w:cs="Arial"/>
              </w:rPr>
              <w:t>and inclusive</w:t>
            </w:r>
          </w:p>
          <w:p w14:paraId="43248F0F" w14:textId="5B9E36A2" w:rsidR="007E1213" w:rsidRPr="0099671B" w:rsidRDefault="00777FD9" w:rsidP="00C5766F">
            <w:pPr>
              <w:pStyle w:val="ListParagraph"/>
              <w:numPr>
                <w:ilvl w:val="0"/>
                <w:numId w:val="11"/>
              </w:numPr>
              <w:rPr>
                <w:rFonts w:ascii="Arial" w:hAnsi="Arial" w:cs="Arial"/>
              </w:rPr>
            </w:pPr>
            <w:r w:rsidRPr="0099671B">
              <w:rPr>
                <w:rFonts w:ascii="Arial" w:hAnsi="Arial" w:cs="Arial"/>
              </w:rPr>
              <w:t>Need for states and territories, and other educational structures to c</w:t>
            </w:r>
            <w:r w:rsidR="007E1213" w:rsidRPr="0099671B">
              <w:rPr>
                <w:rFonts w:ascii="Arial" w:hAnsi="Arial" w:cs="Arial"/>
              </w:rPr>
              <w:t>ommit to greater accessibility within schools</w:t>
            </w:r>
          </w:p>
        </w:tc>
      </w:tr>
      <w:tr w:rsidR="007E1213" w:rsidRPr="007E1213" w14:paraId="3990F0C8" w14:textId="77777777" w:rsidTr="00764FE2">
        <w:trPr>
          <w:trHeight w:val="925"/>
        </w:trPr>
        <w:tc>
          <w:tcPr>
            <w:tcW w:w="3964" w:type="dxa"/>
            <w:shd w:val="clear" w:color="auto" w:fill="FFFFFF" w:themeFill="background1"/>
          </w:tcPr>
          <w:p w14:paraId="1E38EF5F" w14:textId="10854884" w:rsidR="007E1213" w:rsidRPr="0099671B" w:rsidRDefault="00C5766F" w:rsidP="00C5766F">
            <w:pPr>
              <w:rPr>
                <w:rFonts w:ascii="Arial" w:hAnsi="Arial" w:cs="Arial"/>
              </w:rPr>
            </w:pPr>
            <w:r w:rsidRPr="0099671B">
              <w:rPr>
                <w:rFonts w:ascii="Arial" w:hAnsi="Arial" w:cs="Arial"/>
                <w:b/>
                <w:bCs/>
              </w:rPr>
              <w:t>11</w:t>
            </w:r>
            <w:r w:rsidRPr="0099671B">
              <w:rPr>
                <w:rFonts w:ascii="Arial" w:hAnsi="Arial" w:cs="Arial"/>
              </w:rPr>
              <w:t xml:space="preserve"> </w:t>
            </w:r>
            <w:r w:rsidR="007E1213" w:rsidRPr="0099671B">
              <w:rPr>
                <w:rFonts w:ascii="Arial" w:hAnsi="Arial" w:cs="Arial"/>
              </w:rPr>
              <w:t>Have you experienced teacher shortages? Has it been in a particular subject area or region?</w:t>
            </w:r>
          </w:p>
        </w:tc>
        <w:tc>
          <w:tcPr>
            <w:tcW w:w="5963" w:type="dxa"/>
            <w:shd w:val="clear" w:color="auto" w:fill="FFFFFF" w:themeFill="background1"/>
          </w:tcPr>
          <w:p w14:paraId="0AAA1269" w14:textId="77777777" w:rsidR="007E1213" w:rsidRPr="0099671B" w:rsidRDefault="007E1213" w:rsidP="00C5766F">
            <w:pPr>
              <w:pStyle w:val="ListParagraph"/>
              <w:numPr>
                <w:ilvl w:val="0"/>
                <w:numId w:val="11"/>
              </w:numPr>
              <w:rPr>
                <w:rFonts w:ascii="Arial" w:hAnsi="Arial" w:cs="Arial"/>
              </w:rPr>
            </w:pPr>
            <w:r w:rsidRPr="0099671B">
              <w:rPr>
                <w:rFonts w:ascii="Arial" w:hAnsi="Arial" w:cs="Arial"/>
              </w:rPr>
              <w:t>Often inclusion specialists and supporting teachers (not aides) are rationed across schools and limited in their ability to appropriately meet the needs of teachers and therefore students</w:t>
            </w:r>
          </w:p>
        </w:tc>
      </w:tr>
      <w:tr w:rsidR="007E1213" w:rsidRPr="007E1213" w14:paraId="49D2FA3E" w14:textId="77777777" w:rsidTr="00764FE2">
        <w:trPr>
          <w:cnfStyle w:val="000000100000" w:firstRow="0" w:lastRow="0" w:firstColumn="0" w:lastColumn="0" w:oddVBand="0" w:evenVBand="0" w:oddHBand="1" w:evenHBand="0" w:firstRowFirstColumn="0" w:firstRowLastColumn="0" w:lastRowFirstColumn="0" w:lastRowLastColumn="0"/>
          <w:trHeight w:val="1086"/>
        </w:trPr>
        <w:tc>
          <w:tcPr>
            <w:tcW w:w="3964" w:type="dxa"/>
          </w:tcPr>
          <w:p w14:paraId="0871E9B3" w14:textId="46CF3F4A" w:rsidR="007E1213" w:rsidRPr="0099671B" w:rsidRDefault="00C5766F" w:rsidP="00C5766F">
            <w:pPr>
              <w:rPr>
                <w:rFonts w:ascii="Arial" w:hAnsi="Arial" w:cs="Arial"/>
              </w:rPr>
            </w:pPr>
            <w:r w:rsidRPr="0099671B">
              <w:rPr>
                <w:rFonts w:ascii="Arial" w:hAnsi="Arial" w:cs="Arial"/>
                <w:b/>
                <w:bCs/>
              </w:rPr>
              <w:t>12</w:t>
            </w:r>
            <w:r w:rsidRPr="0099671B">
              <w:rPr>
                <w:rFonts w:ascii="Arial" w:hAnsi="Arial" w:cs="Arial"/>
              </w:rPr>
              <w:t xml:space="preserve"> </w:t>
            </w:r>
            <w:r w:rsidR="007E1213" w:rsidRPr="0099671B">
              <w:rPr>
                <w:rFonts w:ascii="Arial" w:hAnsi="Arial" w:cs="Arial"/>
              </w:rPr>
              <w:t>Should something be done to match the supply of teachers from ITE providers with the demands of jurisdictions and sectors? What would this look like?</w:t>
            </w:r>
          </w:p>
        </w:tc>
        <w:tc>
          <w:tcPr>
            <w:tcW w:w="5963" w:type="dxa"/>
          </w:tcPr>
          <w:p w14:paraId="65E65BC7" w14:textId="77777777" w:rsidR="007E1213" w:rsidRPr="0099671B" w:rsidRDefault="007E1213" w:rsidP="00C5766F">
            <w:pPr>
              <w:pStyle w:val="ListParagraph"/>
              <w:numPr>
                <w:ilvl w:val="0"/>
                <w:numId w:val="11"/>
              </w:numPr>
              <w:rPr>
                <w:rFonts w:ascii="Arial" w:hAnsi="Arial" w:cs="Arial"/>
              </w:rPr>
            </w:pPr>
            <w:r w:rsidRPr="0099671B">
              <w:rPr>
                <w:rFonts w:ascii="Arial" w:hAnsi="Arial" w:cs="Arial"/>
              </w:rPr>
              <w:t>Need to avoid any conflicts of interest that would be created between demand and supply that might risk quality</w:t>
            </w:r>
          </w:p>
          <w:p w14:paraId="515BCCF7" w14:textId="77777777" w:rsidR="007E1213" w:rsidRPr="0099671B" w:rsidRDefault="007E1213" w:rsidP="00C5766F">
            <w:pPr>
              <w:pStyle w:val="ListParagraph"/>
              <w:numPr>
                <w:ilvl w:val="0"/>
                <w:numId w:val="11"/>
              </w:numPr>
              <w:rPr>
                <w:rFonts w:ascii="Arial" w:hAnsi="Arial" w:cs="Arial"/>
              </w:rPr>
            </w:pPr>
            <w:r w:rsidRPr="0099671B">
              <w:rPr>
                <w:rFonts w:ascii="Arial" w:hAnsi="Arial" w:cs="Arial"/>
              </w:rPr>
              <w:t>Any commitments need to forward plan for inclusive education models not the current dual track segregated model seen across all jurisdictions in Australia</w:t>
            </w:r>
          </w:p>
        </w:tc>
      </w:tr>
      <w:tr w:rsidR="007E1213" w:rsidRPr="007E1213" w14:paraId="426BE7FE" w14:textId="77777777" w:rsidTr="00764FE2">
        <w:trPr>
          <w:trHeight w:val="777"/>
        </w:trPr>
        <w:tc>
          <w:tcPr>
            <w:tcW w:w="3964" w:type="dxa"/>
            <w:shd w:val="clear" w:color="auto" w:fill="FFFFFF" w:themeFill="background1"/>
          </w:tcPr>
          <w:p w14:paraId="72375426" w14:textId="7120BFE5" w:rsidR="007E1213" w:rsidRPr="0099671B" w:rsidRDefault="00C5766F" w:rsidP="00C5766F">
            <w:pPr>
              <w:rPr>
                <w:rFonts w:ascii="Arial" w:hAnsi="Arial" w:cs="Arial"/>
              </w:rPr>
            </w:pPr>
            <w:r w:rsidRPr="0099671B">
              <w:rPr>
                <w:rFonts w:ascii="Arial" w:hAnsi="Arial" w:cs="Arial"/>
                <w:b/>
                <w:bCs/>
              </w:rPr>
              <w:t>15</w:t>
            </w:r>
            <w:r w:rsidRPr="0099671B">
              <w:rPr>
                <w:rFonts w:ascii="Arial" w:hAnsi="Arial" w:cs="Arial"/>
              </w:rPr>
              <w:t xml:space="preserve"> </w:t>
            </w:r>
            <w:r w:rsidR="007E1213" w:rsidRPr="0099671B">
              <w:rPr>
                <w:rFonts w:ascii="Arial" w:hAnsi="Arial" w:cs="Arial"/>
              </w:rPr>
              <w:t xml:space="preserve">Are the Australian Professional Standards for Teachers (Teacher Standards) fit for purpose in identifying the key skills and knowledge pre-service teachers need to be ready for the classroom? Do the Teacher Standards adequately reflect the role of teachers in supporting pre-service and graduate teachers? </w:t>
            </w:r>
          </w:p>
        </w:tc>
        <w:tc>
          <w:tcPr>
            <w:tcW w:w="5963" w:type="dxa"/>
            <w:shd w:val="clear" w:color="auto" w:fill="FFFFFF" w:themeFill="background1"/>
          </w:tcPr>
          <w:p w14:paraId="7E94E025" w14:textId="5FA2CB94" w:rsidR="00777FD9" w:rsidRPr="0099671B" w:rsidRDefault="00777FD9" w:rsidP="00777FD9">
            <w:pPr>
              <w:pStyle w:val="ListParagraph"/>
              <w:numPr>
                <w:ilvl w:val="0"/>
                <w:numId w:val="11"/>
              </w:numPr>
              <w:spacing w:after="160" w:line="259" w:lineRule="auto"/>
              <w:rPr>
                <w:rFonts w:ascii="Arial" w:hAnsi="Arial" w:cs="Arial"/>
              </w:rPr>
            </w:pPr>
            <w:r w:rsidRPr="0099671B">
              <w:rPr>
                <w:rFonts w:ascii="Arial" w:hAnsi="Arial" w:cs="Arial"/>
              </w:rPr>
              <w:t>The Teacher Standards should support and align to the Disability Standards for Education 2005</w:t>
            </w:r>
          </w:p>
          <w:p w14:paraId="6643644E" w14:textId="50F7C54F" w:rsidR="003209CD" w:rsidRPr="0099671B" w:rsidRDefault="00777FD9" w:rsidP="00C5766F">
            <w:pPr>
              <w:pStyle w:val="ListParagraph"/>
              <w:numPr>
                <w:ilvl w:val="0"/>
                <w:numId w:val="11"/>
              </w:numPr>
              <w:rPr>
                <w:rFonts w:ascii="Arial" w:hAnsi="Arial" w:cs="Arial"/>
              </w:rPr>
            </w:pPr>
            <w:r w:rsidRPr="0099671B">
              <w:rPr>
                <w:rFonts w:ascii="Arial" w:hAnsi="Arial" w:cs="Arial"/>
              </w:rPr>
              <w:t xml:space="preserve">Please refer to </w:t>
            </w:r>
            <w:r w:rsidR="003209CD" w:rsidRPr="0099671B">
              <w:rPr>
                <w:rFonts w:ascii="Arial" w:hAnsi="Arial" w:cs="Arial"/>
              </w:rPr>
              <w:t xml:space="preserve">CYDA’s </w:t>
            </w:r>
            <w:hyperlink r:id="rId20" w:history="1">
              <w:r w:rsidR="003209CD" w:rsidRPr="0099671B">
                <w:rPr>
                  <w:rStyle w:val="Hyperlink"/>
                  <w:rFonts w:ascii="Arial" w:hAnsi="Arial" w:cs="Arial"/>
                </w:rPr>
                <w:t>submission</w:t>
              </w:r>
            </w:hyperlink>
            <w:r w:rsidR="003209CD" w:rsidRPr="0099671B">
              <w:rPr>
                <w:rFonts w:ascii="Arial" w:hAnsi="Arial" w:cs="Arial"/>
              </w:rPr>
              <w:t xml:space="preserve"> to the 2020 Disability Standards for Education 2005 Review</w:t>
            </w:r>
          </w:p>
        </w:tc>
      </w:tr>
      <w:tr w:rsidR="007E1213" w:rsidRPr="007E1213" w14:paraId="393701C6" w14:textId="77777777" w:rsidTr="00764FE2">
        <w:trPr>
          <w:cnfStyle w:val="000000100000" w:firstRow="0" w:lastRow="0" w:firstColumn="0" w:lastColumn="0" w:oddVBand="0" w:evenVBand="0" w:oddHBand="1" w:evenHBand="0" w:firstRowFirstColumn="0" w:firstRowLastColumn="0" w:lastRowFirstColumn="0" w:lastRowLastColumn="0"/>
          <w:trHeight w:val="80"/>
        </w:trPr>
        <w:tc>
          <w:tcPr>
            <w:tcW w:w="3964" w:type="dxa"/>
          </w:tcPr>
          <w:p w14:paraId="40AFC514" w14:textId="7E7B9937" w:rsidR="007E1213" w:rsidRPr="0099671B" w:rsidRDefault="00C5766F" w:rsidP="00C5766F">
            <w:pPr>
              <w:rPr>
                <w:rFonts w:ascii="Arial" w:hAnsi="Arial" w:cs="Arial"/>
              </w:rPr>
            </w:pPr>
            <w:r w:rsidRPr="0099671B">
              <w:rPr>
                <w:rFonts w:ascii="Arial" w:hAnsi="Arial" w:cs="Arial"/>
                <w:b/>
                <w:bCs/>
              </w:rPr>
              <w:t>16</w:t>
            </w:r>
            <w:r w:rsidRPr="0099671B">
              <w:rPr>
                <w:rFonts w:ascii="Arial" w:hAnsi="Arial" w:cs="Arial"/>
              </w:rPr>
              <w:t xml:space="preserve"> </w:t>
            </w:r>
            <w:r w:rsidR="007E1213" w:rsidRPr="0099671B">
              <w:rPr>
                <w:rFonts w:ascii="Arial" w:hAnsi="Arial" w:cs="Arial"/>
              </w:rPr>
              <w:t>Are ITE programs preparing graduates for teaching diverse student cohorts, including through cultural competency and inclusive education?</w:t>
            </w:r>
          </w:p>
        </w:tc>
        <w:tc>
          <w:tcPr>
            <w:tcW w:w="5963" w:type="dxa"/>
          </w:tcPr>
          <w:p w14:paraId="25FA7DCC" w14:textId="6971B680" w:rsidR="00777FD9" w:rsidRPr="0099671B" w:rsidRDefault="00777FD9" w:rsidP="00777FD9">
            <w:pPr>
              <w:pStyle w:val="ListParagraph"/>
              <w:numPr>
                <w:ilvl w:val="0"/>
                <w:numId w:val="11"/>
              </w:numPr>
              <w:rPr>
                <w:rFonts w:ascii="Arial" w:hAnsi="Arial" w:cs="Arial"/>
              </w:rPr>
            </w:pPr>
            <w:r w:rsidRPr="0099671B">
              <w:rPr>
                <w:rFonts w:ascii="Arial" w:hAnsi="Arial" w:cs="Arial"/>
              </w:rPr>
              <w:t>As noted in our executive summary, there are a variety of concerns and issues</w:t>
            </w:r>
          </w:p>
          <w:p w14:paraId="61598BB7" w14:textId="3EDAC2D8" w:rsidR="00777FD9" w:rsidRPr="0099671B" w:rsidRDefault="00777FD9" w:rsidP="004E2FB6">
            <w:pPr>
              <w:pStyle w:val="ListParagraph"/>
              <w:numPr>
                <w:ilvl w:val="0"/>
                <w:numId w:val="11"/>
              </w:numPr>
              <w:spacing w:before="240" w:after="120" w:line="240" w:lineRule="atLeast"/>
              <w:rPr>
                <w:rFonts w:ascii="Arial" w:eastAsiaTheme="majorEastAsia" w:hAnsi="Arial" w:cs="Arial"/>
                <w:color w:val="538135" w:themeColor="accent6" w:themeShade="BF"/>
              </w:rPr>
            </w:pPr>
            <w:r w:rsidRPr="0099671B">
              <w:rPr>
                <w:rFonts w:ascii="Arial" w:hAnsi="Arial" w:cs="Arial"/>
              </w:rPr>
              <w:t>Please refer to CYDA’s annual education survey - 2020 report </w:t>
            </w:r>
            <w:hyperlink r:id="rId21" w:history="1">
              <w:r w:rsidRPr="0099671B">
                <w:rPr>
                  <w:rStyle w:val="Hyperlink"/>
                  <w:rFonts w:ascii="Arial" w:hAnsi="Arial" w:cs="Arial"/>
                </w:rPr>
                <w:t>Not even remotely fair: Experiences of students with disability during COVID-19</w:t>
              </w:r>
            </w:hyperlink>
            <w:r w:rsidRPr="0099671B">
              <w:rPr>
                <w:rFonts w:ascii="Arial" w:hAnsi="Arial" w:cs="Arial"/>
              </w:rPr>
              <w:t>, we explore the experiences of students with disability in relation to the educational changes made necessary by the COVID-19 pandemic </w:t>
            </w:r>
          </w:p>
          <w:p w14:paraId="52FFC50A" w14:textId="4D1F24FC" w:rsidR="007E1213" w:rsidRPr="0099671B" w:rsidRDefault="00764FE2" w:rsidP="00777FD9">
            <w:pPr>
              <w:pStyle w:val="ListParagraph"/>
              <w:numPr>
                <w:ilvl w:val="0"/>
                <w:numId w:val="11"/>
              </w:numPr>
              <w:rPr>
                <w:rFonts w:ascii="Arial" w:hAnsi="Arial" w:cs="Arial"/>
                <w:color w:val="0563C1" w:themeColor="hyperlink"/>
                <w:u w:val="single"/>
              </w:rPr>
            </w:pPr>
            <w:hyperlink r:id="rId22" w:history="1">
              <w:r w:rsidR="00777FD9" w:rsidRPr="0099671B">
                <w:rPr>
                  <w:rStyle w:val="Hyperlink"/>
                  <w:rFonts w:ascii="Arial" w:hAnsi="Arial" w:cs="Arial"/>
                </w:rPr>
                <w:t>National Youth Disability Summit - What young people with disability said - Education Position Paper</w:t>
              </w:r>
            </w:hyperlink>
          </w:p>
        </w:tc>
      </w:tr>
      <w:tr w:rsidR="007E1213" w:rsidRPr="007E1213" w14:paraId="21FB83E1" w14:textId="77777777" w:rsidTr="00764FE2">
        <w:trPr>
          <w:trHeight w:val="80"/>
        </w:trPr>
        <w:tc>
          <w:tcPr>
            <w:tcW w:w="3964" w:type="dxa"/>
            <w:shd w:val="clear" w:color="auto" w:fill="FFFFFF" w:themeFill="background1"/>
          </w:tcPr>
          <w:p w14:paraId="281F119D" w14:textId="74301FC2" w:rsidR="007E1213" w:rsidRPr="0099671B" w:rsidRDefault="00C5766F" w:rsidP="00C5766F">
            <w:pPr>
              <w:rPr>
                <w:rFonts w:ascii="Arial" w:hAnsi="Arial" w:cs="Arial"/>
              </w:rPr>
            </w:pPr>
            <w:r w:rsidRPr="0099671B">
              <w:rPr>
                <w:rFonts w:ascii="Arial" w:hAnsi="Arial" w:cs="Arial"/>
                <w:b/>
                <w:bCs/>
              </w:rPr>
              <w:t>19</w:t>
            </w:r>
            <w:r w:rsidRPr="0099671B">
              <w:rPr>
                <w:rFonts w:ascii="Arial" w:hAnsi="Arial" w:cs="Arial"/>
              </w:rPr>
              <w:t xml:space="preserve"> </w:t>
            </w:r>
            <w:r w:rsidR="007E1213" w:rsidRPr="0099671B">
              <w:rPr>
                <w:rFonts w:ascii="Arial" w:hAnsi="Arial" w:cs="Arial"/>
              </w:rPr>
              <w:t>Do the current professional experience arrangements support the preparation of ITE students for the classroom and school environment? How could these be improved?</w:t>
            </w:r>
          </w:p>
        </w:tc>
        <w:tc>
          <w:tcPr>
            <w:tcW w:w="5963" w:type="dxa"/>
            <w:shd w:val="clear" w:color="auto" w:fill="FFFFFF" w:themeFill="background1"/>
          </w:tcPr>
          <w:p w14:paraId="087E1FF0" w14:textId="77777777" w:rsidR="00777FD9" w:rsidRPr="0099671B" w:rsidRDefault="007E1213" w:rsidP="00C5766F">
            <w:pPr>
              <w:pStyle w:val="ListParagraph"/>
              <w:numPr>
                <w:ilvl w:val="0"/>
                <w:numId w:val="11"/>
              </w:numPr>
              <w:rPr>
                <w:rFonts w:ascii="Arial" w:hAnsi="Arial" w:cs="Arial"/>
              </w:rPr>
            </w:pPr>
            <w:r w:rsidRPr="0099671B">
              <w:rPr>
                <w:rFonts w:ascii="Arial" w:hAnsi="Arial" w:cs="Arial"/>
              </w:rPr>
              <w:t>Need to limit or remove practical experience arrangements in segregated settings</w:t>
            </w:r>
          </w:p>
          <w:p w14:paraId="7877AB82" w14:textId="76150B0E" w:rsidR="007E1213" w:rsidRPr="0099671B" w:rsidRDefault="007E1213" w:rsidP="00C5766F">
            <w:pPr>
              <w:pStyle w:val="ListParagraph"/>
              <w:numPr>
                <w:ilvl w:val="0"/>
                <w:numId w:val="11"/>
              </w:numPr>
              <w:rPr>
                <w:rFonts w:ascii="Arial" w:hAnsi="Arial" w:cs="Arial"/>
              </w:rPr>
            </w:pPr>
            <w:r w:rsidRPr="0099671B">
              <w:rPr>
                <w:rFonts w:ascii="Arial" w:hAnsi="Arial" w:cs="Arial"/>
              </w:rPr>
              <w:t>Need to focus on inclusive education not special education as the key future subject</w:t>
            </w:r>
            <w:r w:rsidR="00777FD9" w:rsidRPr="0099671B">
              <w:rPr>
                <w:rFonts w:ascii="Arial" w:hAnsi="Arial" w:cs="Arial"/>
              </w:rPr>
              <w:t xml:space="preserve"> for ITE</w:t>
            </w:r>
          </w:p>
        </w:tc>
      </w:tr>
      <w:tr w:rsidR="007E1213" w:rsidRPr="007E1213" w14:paraId="14A403E1" w14:textId="77777777" w:rsidTr="00764FE2">
        <w:trPr>
          <w:cnfStyle w:val="000000100000" w:firstRow="0" w:lastRow="0" w:firstColumn="0" w:lastColumn="0" w:oddVBand="0" w:evenVBand="0" w:oddHBand="1" w:evenHBand="0" w:firstRowFirstColumn="0" w:firstRowLastColumn="0" w:lastRowFirstColumn="0" w:lastRowLastColumn="0"/>
          <w:trHeight w:val="777"/>
        </w:trPr>
        <w:tc>
          <w:tcPr>
            <w:tcW w:w="3964" w:type="dxa"/>
            <w:shd w:val="clear" w:color="auto" w:fill="FFFFFF" w:themeFill="background1"/>
          </w:tcPr>
          <w:p w14:paraId="6A7E98AF" w14:textId="54C78C95" w:rsidR="007E1213" w:rsidRPr="0099671B" w:rsidRDefault="00C5766F" w:rsidP="00C5766F">
            <w:pPr>
              <w:rPr>
                <w:rFonts w:ascii="Arial" w:hAnsi="Arial" w:cs="Arial"/>
              </w:rPr>
            </w:pPr>
            <w:r w:rsidRPr="0099671B">
              <w:rPr>
                <w:rFonts w:ascii="Arial" w:hAnsi="Arial" w:cs="Arial"/>
                <w:b/>
                <w:bCs/>
              </w:rPr>
              <w:t>21</w:t>
            </w:r>
            <w:r w:rsidRPr="0099671B">
              <w:rPr>
                <w:rFonts w:ascii="Arial" w:hAnsi="Arial" w:cs="Arial"/>
              </w:rPr>
              <w:t xml:space="preserve"> </w:t>
            </w:r>
            <w:r w:rsidR="007E1213" w:rsidRPr="0099671B">
              <w:rPr>
                <w:rFonts w:ascii="Arial" w:hAnsi="Arial" w:cs="Arial"/>
              </w:rPr>
              <w:t>Do the current course accreditation arrangements support ITE students being taught evidence-based high-impact teaching strategies? How could this be improved?</w:t>
            </w:r>
          </w:p>
        </w:tc>
        <w:tc>
          <w:tcPr>
            <w:tcW w:w="5963" w:type="dxa"/>
            <w:shd w:val="clear" w:color="auto" w:fill="FFFFFF" w:themeFill="background1"/>
          </w:tcPr>
          <w:p w14:paraId="4389B2FA" w14:textId="790FBFAB" w:rsidR="00871CD0" w:rsidRPr="0099671B" w:rsidRDefault="007E1213" w:rsidP="00871CD0">
            <w:pPr>
              <w:pStyle w:val="ListParagraph"/>
              <w:numPr>
                <w:ilvl w:val="0"/>
                <w:numId w:val="11"/>
              </w:numPr>
              <w:rPr>
                <w:rFonts w:ascii="Arial" w:hAnsi="Arial" w:cs="Arial"/>
              </w:rPr>
            </w:pPr>
            <w:r w:rsidRPr="0099671B">
              <w:rPr>
                <w:rFonts w:ascii="Arial" w:hAnsi="Arial" w:cs="Arial"/>
              </w:rPr>
              <w:t xml:space="preserve">Need to reference evidence-based research </w:t>
            </w:r>
            <w:r w:rsidR="00777FD9" w:rsidRPr="0099671B">
              <w:rPr>
                <w:rFonts w:ascii="Arial" w:hAnsi="Arial" w:cs="Arial"/>
              </w:rPr>
              <w:t>on inclusive education</w:t>
            </w:r>
          </w:p>
        </w:tc>
      </w:tr>
      <w:bookmarkEnd w:id="2"/>
    </w:tbl>
    <w:p w14:paraId="15364D18" w14:textId="77777777" w:rsidR="001C2262" w:rsidRPr="00B37D58" w:rsidRDefault="001C2262" w:rsidP="00764FE2">
      <w:pPr>
        <w:spacing w:before="120" w:after="240" w:line="276" w:lineRule="auto"/>
        <w:rPr>
          <w:rFonts w:ascii="Arial" w:hAnsi="Arial" w:cs="Arial"/>
          <w:sz w:val="24"/>
          <w:szCs w:val="24"/>
        </w:rPr>
      </w:pPr>
    </w:p>
    <w:sectPr w:rsidR="001C2262" w:rsidRPr="00B37D58" w:rsidSect="001B7E4D">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E369" w14:textId="77777777" w:rsidR="00FA797C" w:rsidRDefault="00FA797C" w:rsidP="00705F1E">
      <w:pPr>
        <w:spacing w:after="0" w:line="240" w:lineRule="auto"/>
      </w:pPr>
      <w:r>
        <w:separator/>
      </w:r>
    </w:p>
  </w:endnote>
  <w:endnote w:type="continuationSeparator" w:id="0">
    <w:p w14:paraId="3CE3A586" w14:textId="77777777" w:rsidR="00FA797C" w:rsidRDefault="00FA797C" w:rsidP="00705F1E">
      <w:pPr>
        <w:spacing w:after="0" w:line="240" w:lineRule="auto"/>
      </w:pPr>
      <w:r>
        <w:continuationSeparator/>
      </w:r>
    </w:p>
  </w:endnote>
  <w:endnote w:type="continuationNotice" w:id="1">
    <w:p w14:paraId="53212CB0" w14:textId="77777777" w:rsidR="00FA797C" w:rsidRDefault="00FA7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885F" w14:textId="4CE7D29C" w:rsidR="00FA797C" w:rsidRDefault="00FA797C" w:rsidP="0063415B">
    <w:pPr>
      <w:pStyle w:val="Footer"/>
      <w:jc w:val="center"/>
    </w:pPr>
  </w:p>
  <w:p w14:paraId="2A0F7B35" w14:textId="77777777" w:rsidR="00FA797C" w:rsidRDefault="00FA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FA797C" w14:paraId="6E359201" w14:textId="77777777" w:rsidTr="19B265B1">
      <w:tc>
        <w:tcPr>
          <w:tcW w:w="3249" w:type="dxa"/>
        </w:tcPr>
        <w:p w14:paraId="7FC2B11E" w14:textId="15260E0A" w:rsidR="00FA797C" w:rsidRDefault="00FA797C" w:rsidP="19B265B1">
          <w:pPr>
            <w:pStyle w:val="Header"/>
            <w:ind w:left="-115"/>
          </w:pPr>
        </w:p>
      </w:tc>
      <w:tc>
        <w:tcPr>
          <w:tcW w:w="3249" w:type="dxa"/>
        </w:tcPr>
        <w:p w14:paraId="2BCC24BF" w14:textId="241CDCDD" w:rsidR="00FA797C" w:rsidRDefault="00FA797C" w:rsidP="19B265B1">
          <w:pPr>
            <w:pStyle w:val="Header"/>
            <w:jc w:val="center"/>
          </w:pPr>
        </w:p>
      </w:tc>
      <w:tc>
        <w:tcPr>
          <w:tcW w:w="3249" w:type="dxa"/>
        </w:tcPr>
        <w:p w14:paraId="06D1E534" w14:textId="55D8C7D1" w:rsidR="00FA797C" w:rsidRDefault="00FA797C" w:rsidP="19B265B1">
          <w:pPr>
            <w:pStyle w:val="Header"/>
            <w:ind w:right="-115"/>
            <w:jc w:val="right"/>
          </w:pPr>
        </w:p>
      </w:tc>
    </w:tr>
  </w:tbl>
  <w:p w14:paraId="5C972CC7" w14:textId="77A14183" w:rsidR="00FA797C" w:rsidRDefault="00FA797C" w:rsidP="19B26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52253"/>
      <w:docPartObj>
        <w:docPartGallery w:val="Page Numbers (Bottom of Page)"/>
        <w:docPartUnique/>
      </w:docPartObj>
    </w:sdtPr>
    <w:sdtEndPr>
      <w:rPr>
        <w:noProof/>
      </w:rPr>
    </w:sdtEndPr>
    <w:sdtContent>
      <w:p w14:paraId="46C7F717" w14:textId="586D3D4B" w:rsidR="00C5766F" w:rsidRDefault="00C576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FB920" w14:textId="77777777" w:rsidR="00C5766F" w:rsidRDefault="00C57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FA797C" w14:paraId="7E35A6CD" w14:textId="77777777" w:rsidTr="19B265B1">
      <w:tc>
        <w:tcPr>
          <w:tcW w:w="3249" w:type="dxa"/>
        </w:tcPr>
        <w:p w14:paraId="39561341" w14:textId="040DC8A1" w:rsidR="00FA797C" w:rsidRDefault="00FA797C" w:rsidP="19B265B1">
          <w:pPr>
            <w:pStyle w:val="Header"/>
            <w:ind w:left="-115"/>
          </w:pPr>
        </w:p>
      </w:tc>
      <w:tc>
        <w:tcPr>
          <w:tcW w:w="3249" w:type="dxa"/>
        </w:tcPr>
        <w:p w14:paraId="395C0C9D" w14:textId="0D483C90" w:rsidR="00FA797C" w:rsidRDefault="00FA797C" w:rsidP="19B265B1">
          <w:pPr>
            <w:pStyle w:val="Header"/>
            <w:jc w:val="center"/>
          </w:pPr>
        </w:p>
      </w:tc>
      <w:tc>
        <w:tcPr>
          <w:tcW w:w="3249" w:type="dxa"/>
        </w:tcPr>
        <w:p w14:paraId="69651A4D" w14:textId="04116E5F" w:rsidR="00FA797C" w:rsidRDefault="00FA797C" w:rsidP="19B265B1">
          <w:pPr>
            <w:pStyle w:val="Header"/>
            <w:ind w:right="-115"/>
            <w:jc w:val="right"/>
          </w:pPr>
        </w:p>
      </w:tc>
    </w:tr>
  </w:tbl>
  <w:p w14:paraId="0D88DC04" w14:textId="3B779C7D" w:rsidR="00FA797C" w:rsidRDefault="00FA797C" w:rsidP="19B2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3626" w14:textId="77777777" w:rsidR="00FA797C" w:rsidRDefault="00FA797C" w:rsidP="00705F1E">
      <w:pPr>
        <w:spacing w:after="0" w:line="240" w:lineRule="auto"/>
      </w:pPr>
      <w:r>
        <w:separator/>
      </w:r>
    </w:p>
  </w:footnote>
  <w:footnote w:type="continuationSeparator" w:id="0">
    <w:p w14:paraId="4E17CBC5" w14:textId="77777777" w:rsidR="00FA797C" w:rsidRDefault="00FA797C" w:rsidP="00705F1E">
      <w:pPr>
        <w:spacing w:after="0" w:line="240" w:lineRule="auto"/>
      </w:pPr>
      <w:r>
        <w:continuationSeparator/>
      </w:r>
    </w:p>
  </w:footnote>
  <w:footnote w:type="continuationNotice" w:id="1">
    <w:p w14:paraId="1D4D293F" w14:textId="77777777" w:rsidR="00FA797C" w:rsidRDefault="00FA797C">
      <w:pPr>
        <w:spacing w:after="0" w:line="240" w:lineRule="auto"/>
      </w:pPr>
    </w:p>
  </w:footnote>
  <w:footnote w:id="2">
    <w:p w14:paraId="16486885" w14:textId="77777777" w:rsidR="005171E5" w:rsidRPr="005171E5" w:rsidRDefault="005171E5" w:rsidP="005171E5">
      <w:pPr>
        <w:pStyle w:val="EndnoteText"/>
        <w:rPr>
          <w:rFonts w:ascii="Arial" w:hAnsi="Arial" w:cs="Arial"/>
          <w:sz w:val="18"/>
          <w:szCs w:val="18"/>
        </w:rPr>
      </w:pPr>
      <w:r w:rsidRPr="005171E5">
        <w:rPr>
          <w:rStyle w:val="FootnoteReference"/>
          <w:rFonts w:ascii="Arial" w:hAnsi="Arial" w:cs="Arial"/>
          <w:sz w:val="18"/>
          <w:szCs w:val="18"/>
        </w:rPr>
        <w:footnoteRef/>
      </w:r>
      <w:r w:rsidRPr="005171E5">
        <w:rPr>
          <w:rFonts w:ascii="Arial" w:hAnsi="Arial" w:cs="Arial"/>
          <w:sz w:val="18"/>
          <w:szCs w:val="18"/>
        </w:rPr>
        <w:t xml:space="preserve"> Beginner teachers are NOT under prepared and NOT bad at managing behaviour. </w:t>
      </w:r>
      <w:proofErr w:type="gramStart"/>
      <w:r w:rsidRPr="005171E5">
        <w:rPr>
          <w:rFonts w:ascii="Arial" w:hAnsi="Arial" w:cs="Arial"/>
          <w:sz w:val="18"/>
          <w:szCs w:val="18"/>
        </w:rPr>
        <w:t>Here’s</w:t>
      </w:r>
      <w:proofErr w:type="gramEnd"/>
      <w:r w:rsidRPr="005171E5">
        <w:rPr>
          <w:rFonts w:ascii="Arial" w:hAnsi="Arial" w:cs="Arial"/>
          <w:sz w:val="18"/>
          <w:szCs w:val="18"/>
        </w:rPr>
        <w:t xml:space="preserve"> the evidence</w:t>
      </w:r>
    </w:p>
    <w:p w14:paraId="653D98D9" w14:textId="72DE7E65" w:rsidR="005171E5" w:rsidRDefault="005171E5" w:rsidP="005171E5">
      <w:pPr>
        <w:pStyle w:val="FootnoteText"/>
      </w:pPr>
      <w:r w:rsidRPr="005171E5">
        <w:rPr>
          <w:rFonts w:ascii="Arial" w:hAnsi="Arial" w:cs="Arial"/>
          <w:sz w:val="18"/>
          <w:szCs w:val="18"/>
        </w:rPr>
        <w:t xml:space="preserve">September 10, </w:t>
      </w:r>
      <w:proofErr w:type="gramStart"/>
      <w:r w:rsidRPr="005171E5">
        <w:rPr>
          <w:rFonts w:ascii="Arial" w:hAnsi="Arial" w:cs="Arial"/>
          <w:sz w:val="18"/>
          <w:szCs w:val="18"/>
        </w:rPr>
        <w:t>2020</w:t>
      </w:r>
      <w:proofErr w:type="gramEnd"/>
      <w:r w:rsidRPr="005171E5">
        <w:rPr>
          <w:rFonts w:ascii="Arial" w:hAnsi="Arial" w:cs="Arial"/>
          <w:sz w:val="18"/>
          <w:szCs w:val="18"/>
        </w:rPr>
        <w:t xml:space="preserve"> </w:t>
      </w:r>
      <w:hyperlink r:id="rId1" w:history="1">
        <w:r w:rsidRPr="005171E5">
          <w:rPr>
            <w:rStyle w:val="Hyperlink"/>
            <w:rFonts w:ascii="Arial" w:hAnsi="Arial" w:cs="Arial"/>
            <w:sz w:val="18"/>
            <w:szCs w:val="18"/>
          </w:rPr>
          <w:t>https://www.aare.edu.au/blog/?p=7428</w:t>
        </w:r>
      </w:hyperlink>
    </w:p>
  </w:footnote>
  <w:footnote w:id="3">
    <w:p w14:paraId="6D56D718" w14:textId="6B44D67C" w:rsidR="00C01891" w:rsidRPr="00C32B6A" w:rsidRDefault="00C01891" w:rsidP="00C01891">
      <w:pPr>
        <w:pStyle w:val="FootnoteText"/>
        <w:rPr>
          <w:rFonts w:ascii="Arial" w:hAnsi="Arial" w:cs="Arial"/>
          <w:sz w:val="18"/>
          <w:szCs w:val="18"/>
        </w:rPr>
      </w:pPr>
      <w:r>
        <w:rPr>
          <w:rStyle w:val="FootnoteReference"/>
        </w:rPr>
        <w:footnoteRef/>
      </w:r>
      <w:r>
        <w:t xml:space="preserve"> </w:t>
      </w:r>
      <w:r w:rsidRPr="00C01891">
        <w:rPr>
          <w:rFonts w:ascii="Arial" w:hAnsi="Arial" w:cs="Arial"/>
          <w:sz w:val="18"/>
          <w:szCs w:val="18"/>
        </w:rPr>
        <w:t xml:space="preserve">Cologon, K. (2019) Towards inclusive education: A necessary process of transformation. Report written by Dr Kathy </w:t>
      </w:r>
      <w:r w:rsidRPr="00C32B6A">
        <w:rPr>
          <w:rFonts w:ascii="Arial" w:hAnsi="Arial" w:cs="Arial"/>
          <w:sz w:val="18"/>
          <w:szCs w:val="18"/>
        </w:rPr>
        <w:t>Cologon, Macquarie University for Children and Young People with Disability Australia (CYDA)</w:t>
      </w:r>
    </w:p>
  </w:footnote>
  <w:footnote w:id="4">
    <w:p w14:paraId="50963D0F" w14:textId="1F568818" w:rsidR="00C01891" w:rsidRPr="00C32B6A" w:rsidRDefault="00C01891">
      <w:pPr>
        <w:pStyle w:val="FootnoteText"/>
        <w:rPr>
          <w:rFonts w:ascii="Arial" w:hAnsi="Arial" w:cs="Arial"/>
          <w:sz w:val="18"/>
          <w:szCs w:val="18"/>
          <w:lang w:val="en-US"/>
        </w:rPr>
      </w:pPr>
      <w:r w:rsidRPr="00C32B6A">
        <w:rPr>
          <w:rStyle w:val="FootnoteReference"/>
          <w:rFonts w:ascii="Arial" w:hAnsi="Arial" w:cs="Arial"/>
          <w:sz w:val="18"/>
          <w:szCs w:val="18"/>
        </w:rPr>
        <w:footnoteRef/>
      </w:r>
      <w:r w:rsidRPr="00C32B6A">
        <w:rPr>
          <w:rFonts w:ascii="Arial" w:hAnsi="Arial" w:cs="Arial"/>
          <w:sz w:val="18"/>
          <w:szCs w:val="18"/>
        </w:rPr>
        <w:t xml:space="preserve"> </w:t>
      </w:r>
      <w:r w:rsidRPr="00C32B6A">
        <w:rPr>
          <w:rFonts w:ascii="Arial" w:hAnsi="Arial" w:cs="Arial"/>
          <w:sz w:val="18"/>
          <w:szCs w:val="18"/>
          <w:lang w:val="en-US"/>
        </w:rPr>
        <w:t>Ibid.</w:t>
      </w:r>
    </w:p>
  </w:footnote>
  <w:footnote w:id="5">
    <w:p w14:paraId="49AE0023" w14:textId="140FEB49" w:rsidR="00C32B6A" w:rsidRPr="00C32B6A" w:rsidRDefault="00C32B6A">
      <w:pPr>
        <w:pStyle w:val="FootnoteText"/>
        <w:rPr>
          <w:lang w:val="en-US"/>
        </w:rPr>
      </w:pPr>
      <w:r w:rsidRPr="00C32B6A">
        <w:rPr>
          <w:rStyle w:val="FootnoteReference"/>
          <w:rFonts w:ascii="Arial" w:hAnsi="Arial" w:cs="Arial"/>
          <w:sz w:val="18"/>
          <w:szCs w:val="18"/>
        </w:rPr>
        <w:footnoteRef/>
      </w:r>
      <w:r w:rsidRPr="00C32B6A">
        <w:rPr>
          <w:rFonts w:ascii="Arial" w:hAnsi="Arial" w:cs="Arial"/>
          <w:sz w:val="18"/>
          <w:szCs w:val="18"/>
        </w:rPr>
        <w:t xml:space="preserve"> </w:t>
      </w:r>
      <w:r w:rsidRPr="00C32B6A">
        <w:rPr>
          <w:rFonts w:ascii="Arial" w:hAnsi="Arial" w:cs="Arial"/>
          <w:sz w:val="18"/>
          <w:szCs w:val="18"/>
          <w:lang w:val="en-US"/>
        </w:rPr>
        <w:t>Ibid., pp. 48-49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0EDF" w14:textId="77034E2C" w:rsidR="00FA797C" w:rsidRDefault="00FA797C">
    <w:pPr>
      <w:pStyle w:val="Header"/>
    </w:pPr>
  </w:p>
  <w:p w14:paraId="36316438" w14:textId="77777777" w:rsidR="00FA797C" w:rsidRDefault="00FA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494C" w14:textId="54DAEA84" w:rsidR="00FA797C" w:rsidRDefault="00FA797C">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3BDFD421" wp14:editId="004872DC">
          <wp:simplePos x="0" y="0"/>
          <wp:positionH relativeFrom="page">
            <wp:posOffset>-431165</wp:posOffset>
          </wp:positionH>
          <wp:positionV relativeFrom="paragraph">
            <wp:posOffset>-440055</wp:posOffset>
          </wp:positionV>
          <wp:extent cx="11109960" cy="1850390"/>
          <wp:effectExtent l="38100" t="57150" r="53340" b="54610"/>
          <wp:wrapTight wrapText="bothSides">
            <wp:wrapPolygon edited="0">
              <wp:start x="-74" y="-667"/>
              <wp:lineTo x="-74" y="22015"/>
              <wp:lineTo x="21667" y="22015"/>
              <wp:lineTo x="21667" y="-667"/>
              <wp:lineTo x="-74" y="-667"/>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109960" cy="185039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FA797C" w14:paraId="403EEE06" w14:textId="77777777" w:rsidTr="19B265B1">
      <w:tc>
        <w:tcPr>
          <w:tcW w:w="3249" w:type="dxa"/>
        </w:tcPr>
        <w:p w14:paraId="5056B1DA" w14:textId="082E4F31" w:rsidR="00FA797C" w:rsidRDefault="00FA797C" w:rsidP="19B265B1">
          <w:pPr>
            <w:pStyle w:val="Header"/>
            <w:ind w:left="-115"/>
          </w:pPr>
        </w:p>
      </w:tc>
      <w:tc>
        <w:tcPr>
          <w:tcW w:w="3249" w:type="dxa"/>
        </w:tcPr>
        <w:p w14:paraId="44C080FE" w14:textId="7C57C215" w:rsidR="00FA797C" w:rsidRDefault="00FA797C" w:rsidP="19B265B1">
          <w:pPr>
            <w:pStyle w:val="Header"/>
            <w:jc w:val="center"/>
          </w:pPr>
        </w:p>
      </w:tc>
      <w:tc>
        <w:tcPr>
          <w:tcW w:w="3249" w:type="dxa"/>
        </w:tcPr>
        <w:p w14:paraId="172D9405" w14:textId="068C7DF2" w:rsidR="00FA797C" w:rsidRDefault="00FA797C" w:rsidP="19B265B1">
          <w:pPr>
            <w:pStyle w:val="Header"/>
            <w:ind w:right="-115"/>
            <w:jc w:val="right"/>
          </w:pPr>
        </w:p>
      </w:tc>
    </w:tr>
  </w:tbl>
  <w:p w14:paraId="625A230F" w14:textId="51F89AA2" w:rsidR="00FA797C" w:rsidRDefault="00FA797C" w:rsidP="19B26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661B"/>
    <w:multiLevelType w:val="hybridMultilevel"/>
    <w:tmpl w:val="DB4A31C6"/>
    <w:lvl w:ilvl="0" w:tplc="7242A688">
      <w:start w:val="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E0964"/>
    <w:multiLevelType w:val="hybridMultilevel"/>
    <w:tmpl w:val="E144A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24844"/>
    <w:multiLevelType w:val="hybridMultilevel"/>
    <w:tmpl w:val="C5B40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BEF3B56"/>
    <w:multiLevelType w:val="hybridMultilevel"/>
    <w:tmpl w:val="4BC2B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31442D2"/>
    <w:multiLevelType w:val="hybridMultilevel"/>
    <w:tmpl w:val="84309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EA0068"/>
    <w:multiLevelType w:val="hybridMultilevel"/>
    <w:tmpl w:val="7F985D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9064C95"/>
    <w:multiLevelType w:val="hybridMultilevel"/>
    <w:tmpl w:val="81644446"/>
    <w:lvl w:ilvl="0" w:tplc="E1F0494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E140D4C"/>
    <w:multiLevelType w:val="hybridMultilevel"/>
    <w:tmpl w:val="81D64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C4E47"/>
    <w:multiLevelType w:val="hybridMultilevel"/>
    <w:tmpl w:val="15D4A79E"/>
    <w:lvl w:ilvl="0" w:tplc="9F3E80F0">
      <w:start w:val="7"/>
      <w:numFmt w:val="bullet"/>
      <w:lvlText w:val="•"/>
      <w:lvlJc w:val="left"/>
      <w:pPr>
        <w:ind w:left="720" w:hanging="360"/>
      </w:pPr>
      <w:rPr>
        <w:rFonts w:ascii="Calibri" w:eastAsiaTheme="minorHAnsi" w:hAnsi="Calibri" w:cs="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AA02A8"/>
    <w:multiLevelType w:val="hybridMultilevel"/>
    <w:tmpl w:val="09EE6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D15355"/>
    <w:multiLevelType w:val="hybridMultilevel"/>
    <w:tmpl w:val="75DAC63E"/>
    <w:lvl w:ilvl="0" w:tplc="D0B65BA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AE0822"/>
    <w:multiLevelType w:val="hybridMultilevel"/>
    <w:tmpl w:val="6714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6B4F5B"/>
    <w:multiLevelType w:val="hybridMultilevel"/>
    <w:tmpl w:val="59DE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583A5C"/>
    <w:multiLevelType w:val="hybridMultilevel"/>
    <w:tmpl w:val="4EB60C16"/>
    <w:lvl w:ilvl="0" w:tplc="9F3E80F0">
      <w:start w:val="7"/>
      <w:numFmt w:val="bullet"/>
      <w:lvlText w:val="•"/>
      <w:lvlJc w:val="left"/>
      <w:pPr>
        <w:ind w:left="360" w:hanging="360"/>
      </w:pPr>
      <w:rPr>
        <w:rFonts w:ascii="Calibri" w:eastAsiaTheme="minorHAnsi" w:hAnsi="Calibri" w:cs="Calibri"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8F13918"/>
    <w:multiLevelType w:val="hybridMultilevel"/>
    <w:tmpl w:val="18D29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8271E1"/>
    <w:multiLevelType w:val="hybridMultilevel"/>
    <w:tmpl w:val="4300EA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5076A7A"/>
    <w:multiLevelType w:val="hybridMultilevel"/>
    <w:tmpl w:val="264CA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3E2F4D"/>
    <w:multiLevelType w:val="hybridMultilevel"/>
    <w:tmpl w:val="9682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53D9E"/>
    <w:multiLevelType w:val="hybridMultilevel"/>
    <w:tmpl w:val="CA36F63C"/>
    <w:lvl w:ilvl="0" w:tplc="0C09000F">
      <w:start w:val="1"/>
      <w:numFmt w:val="decimal"/>
      <w:lvlText w:val="%1."/>
      <w:lvlJc w:val="left"/>
      <w:pPr>
        <w:ind w:left="360" w:hanging="360"/>
      </w:pPr>
    </w:lvl>
    <w:lvl w:ilvl="1" w:tplc="0262A93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11"/>
  </w:num>
  <w:num w:numId="3">
    <w:abstractNumId w:val="12"/>
  </w:num>
  <w:num w:numId="4">
    <w:abstractNumId w:val="17"/>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8"/>
  </w:num>
  <w:num w:numId="10">
    <w:abstractNumId w:val="0"/>
  </w:num>
  <w:num w:numId="11">
    <w:abstractNumId w:val="13"/>
  </w:num>
  <w:num w:numId="12">
    <w:abstractNumId w:val="5"/>
  </w:num>
  <w:num w:numId="13">
    <w:abstractNumId w:val="2"/>
  </w:num>
  <w:num w:numId="14">
    <w:abstractNumId w:val="15"/>
  </w:num>
  <w:num w:numId="15">
    <w:abstractNumId w:val="3"/>
  </w:num>
  <w:num w:numId="16">
    <w:abstractNumId w:val="16"/>
  </w:num>
  <w:num w:numId="17">
    <w:abstractNumId w:val="1"/>
  </w:num>
  <w:num w:numId="18">
    <w:abstractNumId w:val="9"/>
  </w:num>
  <w:num w:numId="19">
    <w:abstractNumId w:val="7"/>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tTQ1NzczM7cwMTFT0lEKTi0uzszPAymwrAUAb2UwCSwAAAA="/>
  </w:docVars>
  <w:rsids>
    <w:rsidRoot w:val="00796395"/>
    <w:rsid w:val="000014DE"/>
    <w:rsid w:val="00002B63"/>
    <w:rsid w:val="00002DFC"/>
    <w:rsid w:val="00006F47"/>
    <w:rsid w:val="00007015"/>
    <w:rsid w:val="00007B2F"/>
    <w:rsid w:val="00010B9B"/>
    <w:rsid w:val="000167C0"/>
    <w:rsid w:val="00016EC8"/>
    <w:rsid w:val="0002044B"/>
    <w:rsid w:val="00021DBF"/>
    <w:rsid w:val="0002302D"/>
    <w:rsid w:val="00023C80"/>
    <w:rsid w:val="00023F03"/>
    <w:rsid w:val="00027B2C"/>
    <w:rsid w:val="000312E7"/>
    <w:rsid w:val="00040705"/>
    <w:rsid w:val="00041AA2"/>
    <w:rsid w:val="00044EFC"/>
    <w:rsid w:val="00064382"/>
    <w:rsid w:val="00064761"/>
    <w:rsid w:val="00070B42"/>
    <w:rsid w:val="000711C6"/>
    <w:rsid w:val="000719C4"/>
    <w:rsid w:val="00074407"/>
    <w:rsid w:val="0007671E"/>
    <w:rsid w:val="0007698B"/>
    <w:rsid w:val="000771B4"/>
    <w:rsid w:val="00077E42"/>
    <w:rsid w:val="00083666"/>
    <w:rsid w:val="00083BBA"/>
    <w:rsid w:val="0009128C"/>
    <w:rsid w:val="00092439"/>
    <w:rsid w:val="0009403C"/>
    <w:rsid w:val="00094674"/>
    <w:rsid w:val="00096B78"/>
    <w:rsid w:val="000A2870"/>
    <w:rsid w:val="000A4ABD"/>
    <w:rsid w:val="000B12EC"/>
    <w:rsid w:val="000B1337"/>
    <w:rsid w:val="000B32E1"/>
    <w:rsid w:val="000B3B54"/>
    <w:rsid w:val="000B3E7C"/>
    <w:rsid w:val="000B42B2"/>
    <w:rsid w:val="000B65A9"/>
    <w:rsid w:val="000B6966"/>
    <w:rsid w:val="000C061F"/>
    <w:rsid w:val="000C0CD7"/>
    <w:rsid w:val="000C1A04"/>
    <w:rsid w:val="000C1C2A"/>
    <w:rsid w:val="000C2BEC"/>
    <w:rsid w:val="000D4FA6"/>
    <w:rsid w:val="000D6106"/>
    <w:rsid w:val="000E0946"/>
    <w:rsid w:val="000E2EB5"/>
    <w:rsid w:val="000E6BA8"/>
    <w:rsid w:val="000F29B1"/>
    <w:rsid w:val="000F333F"/>
    <w:rsid w:val="000F4F3F"/>
    <w:rsid w:val="000F5EA5"/>
    <w:rsid w:val="000F6022"/>
    <w:rsid w:val="000F6941"/>
    <w:rsid w:val="00100066"/>
    <w:rsid w:val="001038AC"/>
    <w:rsid w:val="00103EA4"/>
    <w:rsid w:val="001118AF"/>
    <w:rsid w:val="001122D7"/>
    <w:rsid w:val="0011360A"/>
    <w:rsid w:val="00113FE3"/>
    <w:rsid w:val="001150C9"/>
    <w:rsid w:val="00120291"/>
    <w:rsid w:val="0012384F"/>
    <w:rsid w:val="00124869"/>
    <w:rsid w:val="001256F0"/>
    <w:rsid w:val="00125C96"/>
    <w:rsid w:val="00126E62"/>
    <w:rsid w:val="00126ECB"/>
    <w:rsid w:val="0013059A"/>
    <w:rsid w:val="00132CE6"/>
    <w:rsid w:val="001343DE"/>
    <w:rsid w:val="001379C5"/>
    <w:rsid w:val="001402B0"/>
    <w:rsid w:val="001404BE"/>
    <w:rsid w:val="00141412"/>
    <w:rsid w:val="001432C1"/>
    <w:rsid w:val="0015356D"/>
    <w:rsid w:val="00153D6B"/>
    <w:rsid w:val="001567E9"/>
    <w:rsid w:val="00160610"/>
    <w:rsid w:val="0016585A"/>
    <w:rsid w:val="00167272"/>
    <w:rsid w:val="00171E3F"/>
    <w:rsid w:val="001814F6"/>
    <w:rsid w:val="001820CD"/>
    <w:rsid w:val="00184AF5"/>
    <w:rsid w:val="00186F99"/>
    <w:rsid w:val="00192B47"/>
    <w:rsid w:val="00195BC1"/>
    <w:rsid w:val="001A2088"/>
    <w:rsid w:val="001A7381"/>
    <w:rsid w:val="001B111B"/>
    <w:rsid w:val="001B1295"/>
    <w:rsid w:val="001B38D8"/>
    <w:rsid w:val="001B78F7"/>
    <w:rsid w:val="001B7E4D"/>
    <w:rsid w:val="001C0C56"/>
    <w:rsid w:val="001C1269"/>
    <w:rsid w:val="001C13F6"/>
    <w:rsid w:val="001C1E99"/>
    <w:rsid w:val="001C2262"/>
    <w:rsid w:val="001C6A18"/>
    <w:rsid w:val="001D1460"/>
    <w:rsid w:val="001D6380"/>
    <w:rsid w:val="001D7C83"/>
    <w:rsid w:val="001E2348"/>
    <w:rsid w:val="001E3CEA"/>
    <w:rsid w:val="001E3F00"/>
    <w:rsid w:val="001E430F"/>
    <w:rsid w:val="001E5C90"/>
    <w:rsid w:val="001F0CCF"/>
    <w:rsid w:val="001F1377"/>
    <w:rsid w:val="001F3EB4"/>
    <w:rsid w:val="002007DF"/>
    <w:rsid w:val="00201447"/>
    <w:rsid w:val="00202038"/>
    <w:rsid w:val="00202CD8"/>
    <w:rsid w:val="00206EBC"/>
    <w:rsid w:val="00210558"/>
    <w:rsid w:val="00213BDB"/>
    <w:rsid w:val="00214F79"/>
    <w:rsid w:val="002217DA"/>
    <w:rsid w:val="00222402"/>
    <w:rsid w:val="00223976"/>
    <w:rsid w:val="00225629"/>
    <w:rsid w:val="00234842"/>
    <w:rsid w:val="00240F92"/>
    <w:rsid w:val="00242F07"/>
    <w:rsid w:val="00243897"/>
    <w:rsid w:val="00244F1C"/>
    <w:rsid w:val="0025036A"/>
    <w:rsid w:val="00251779"/>
    <w:rsid w:val="00255FC2"/>
    <w:rsid w:val="002601B3"/>
    <w:rsid w:val="00262B63"/>
    <w:rsid w:val="00263304"/>
    <w:rsid w:val="00263A22"/>
    <w:rsid w:val="00264425"/>
    <w:rsid w:val="00264FCF"/>
    <w:rsid w:val="002665F6"/>
    <w:rsid w:val="002711CC"/>
    <w:rsid w:val="00274F3A"/>
    <w:rsid w:val="0027665C"/>
    <w:rsid w:val="0028315A"/>
    <w:rsid w:val="00284C05"/>
    <w:rsid w:val="00285FE5"/>
    <w:rsid w:val="00290708"/>
    <w:rsid w:val="00291B55"/>
    <w:rsid w:val="002934BF"/>
    <w:rsid w:val="002A381E"/>
    <w:rsid w:val="002A4E6C"/>
    <w:rsid w:val="002B06BE"/>
    <w:rsid w:val="002B150C"/>
    <w:rsid w:val="002B1C9A"/>
    <w:rsid w:val="002B1D6E"/>
    <w:rsid w:val="002B614F"/>
    <w:rsid w:val="002B6FDB"/>
    <w:rsid w:val="002D1B10"/>
    <w:rsid w:val="002D44AC"/>
    <w:rsid w:val="002E292C"/>
    <w:rsid w:val="002E5736"/>
    <w:rsid w:val="002E6AF5"/>
    <w:rsid w:val="002E7BF9"/>
    <w:rsid w:val="002F3956"/>
    <w:rsid w:val="002F48A7"/>
    <w:rsid w:val="002F5BAE"/>
    <w:rsid w:val="002F6A2B"/>
    <w:rsid w:val="0030097A"/>
    <w:rsid w:val="003060ED"/>
    <w:rsid w:val="00306A24"/>
    <w:rsid w:val="00306D74"/>
    <w:rsid w:val="003148B5"/>
    <w:rsid w:val="00316EA2"/>
    <w:rsid w:val="00317527"/>
    <w:rsid w:val="00317CE3"/>
    <w:rsid w:val="003209CD"/>
    <w:rsid w:val="00320F45"/>
    <w:rsid w:val="00322B6D"/>
    <w:rsid w:val="003230F0"/>
    <w:rsid w:val="00323363"/>
    <w:rsid w:val="003278B2"/>
    <w:rsid w:val="0033031B"/>
    <w:rsid w:val="00332118"/>
    <w:rsid w:val="0033248F"/>
    <w:rsid w:val="00332C4D"/>
    <w:rsid w:val="00343CED"/>
    <w:rsid w:val="003500D0"/>
    <w:rsid w:val="003519D9"/>
    <w:rsid w:val="0035441E"/>
    <w:rsid w:val="003568E1"/>
    <w:rsid w:val="0035728F"/>
    <w:rsid w:val="0036059D"/>
    <w:rsid w:val="00370696"/>
    <w:rsid w:val="00371DA6"/>
    <w:rsid w:val="00373F64"/>
    <w:rsid w:val="00375697"/>
    <w:rsid w:val="00375A7F"/>
    <w:rsid w:val="003806B9"/>
    <w:rsid w:val="0038098A"/>
    <w:rsid w:val="003818EB"/>
    <w:rsid w:val="00383923"/>
    <w:rsid w:val="00387F34"/>
    <w:rsid w:val="003944BF"/>
    <w:rsid w:val="003A00F6"/>
    <w:rsid w:val="003A5DED"/>
    <w:rsid w:val="003B007C"/>
    <w:rsid w:val="003B3D0A"/>
    <w:rsid w:val="003B5056"/>
    <w:rsid w:val="003C06AB"/>
    <w:rsid w:val="003D05F8"/>
    <w:rsid w:val="003D0F72"/>
    <w:rsid w:val="003D1E30"/>
    <w:rsid w:val="003D487B"/>
    <w:rsid w:val="003D6E8B"/>
    <w:rsid w:val="003D72B7"/>
    <w:rsid w:val="003E0269"/>
    <w:rsid w:val="003E2D6B"/>
    <w:rsid w:val="003F2138"/>
    <w:rsid w:val="003F29D5"/>
    <w:rsid w:val="003F3148"/>
    <w:rsid w:val="003F5329"/>
    <w:rsid w:val="003F735F"/>
    <w:rsid w:val="00402A5C"/>
    <w:rsid w:val="0041516E"/>
    <w:rsid w:val="00415A28"/>
    <w:rsid w:val="00417DBA"/>
    <w:rsid w:val="004232E5"/>
    <w:rsid w:val="00427CBB"/>
    <w:rsid w:val="0043065F"/>
    <w:rsid w:val="00431B07"/>
    <w:rsid w:val="00434A7F"/>
    <w:rsid w:val="004355F8"/>
    <w:rsid w:val="004379F2"/>
    <w:rsid w:val="00447C27"/>
    <w:rsid w:val="0045003F"/>
    <w:rsid w:val="0045082B"/>
    <w:rsid w:val="00450BBA"/>
    <w:rsid w:val="00451F65"/>
    <w:rsid w:val="004532B1"/>
    <w:rsid w:val="004640E1"/>
    <w:rsid w:val="0047028F"/>
    <w:rsid w:val="004709AD"/>
    <w:rsid w:val="004725E6"/>
    <w:rsid w:val="00475ACF"/>
    <w:rsid w:val="00480CBC"/>
    <w:rsid w:val="00487BF3"/>
    <w:rsid w:val="00490A07"/>
    <w:rsid w:val="00490E74"/>
    <w:rsid w:val="00491459"/>
    <w:rsid w:val="004A3DC2"/>
    <w:rsid w:val="004A43E2"/>
    <w:rsid w:val="004A5BC6"/>
    <w:rsid w:val="004A782F"/>
    <w:rsid w:val="004B1C63"/>
    <w:rsid w:val="004B6671"/>
    <w:rsid w:val="004B7102"/>
    <w:rsid w:val="004B7686"/>
    <w:rsid w:val="004C05D0"/>
    <w:rsid w:val="004C1F6E"/>
    <w:rsid w:val="004C3713"/>
    <w:rsid w:val="004C3BEA"/>
    <w:rsid w:val="004C4B6F"/>
    <w:rsid w:val="004C56C8"/>
    <w:rsid w:val="004D0E6A"/>
    <w:rsid w:val="004D3C2E"/>
    <w:rsid w:val="004D426F"/>
    <w:rsid w:val="004D4D61"/>
    <w:rsid w:val="004D52FE"/>
    <w:rsid w:val="004D7ADE"/>
    <w:rsid w:val="004E368F"/>
    <w:rsid w:val="004E3D05"/>
    <w:rsid w:val="004F00D9"/>
    <w:rsid w:val="004F241B"/>
    <w:rsid w:val="004F3B3B"/>
    <w:rsid w:val="004F52CE"/>
    <w:rsid w:val="00501B34"/>
    <w:rsid w:val="005031FC"/>
    <w:rsid w:val="00504FB0"/>
    <w:rsid w:val="00510173"/>
    <w:rsid w:val="0051020C"/>
    <w:rsid w:val="00512B31"/>
    <w:rsid w:val="00512EBB"/>
    <w:rsid w:val="00514336"/>
    <w:rsid w:val="00514F43"/>
    <w:rsid w:val="005171E5"/>
    <w:rsid w:val="00521518"/>
    <w:rsid w:val="00523A3B"/>
    <w:rsid w:val="0052597A"/>
    <w:rsid w:val="00532D8F"/>
    <w:rsid w:val="00535A9A"/>
    <w:rsid w:val="00536125"/>
    <w:rsid w:val="00543401"/>
    <w:rsid w:val="005469CA"/>
    <w:rsid w:val="00550006"/>
    <w:rsid w:val="0055002A"/>
    <w:rsid w:val="005507E3"/>
    <w:rsid w:val="005518C5"/>
    <w:rsid w:val="005537D0"/>
    <w:rsid w:val="00553B0C"/>
    <w:rsid w:val="00556A5E"/>
    <w:rsid w:val="0055700C"/>
    <w:rsid w:val="00570238"/>
    <w:rsid w:val="00580ECA"/>
    <w:rsid w:val="0058123C"/>
    <w:rsid w:val="00581808"/>
    <w:rsid w:val="005824C3"/>
    <w:rsid w:val="00582DBE"/>
    <w:rsid w:val="00583E35"/>
    <w:rsid w:val="0058563D"/>
    <w:rsid w:val="00587238"/>
    <w:rsid w:val="00590693"/>
    <w:rsid w:val="00592585"/>
    <w:rsid w:val="0059270F"/>
    <w:rsid w:val="005929C7"/>
    <w:rsid w:val="005A4CF0"/>
    <w:rsid w:val="005A4DFC"/>
    <w:rsid w:val="005A6AFE"/>
    <w:rsid w:val="005A7507"/>
    <w:rsid w:val="005B0939"/>
    <w:rsid w:val="005B45AE"/>
    <w:rsid w:val="005C14B4"/>
    <w:rsid w:val="005C2E4D"/>
    <w:rsid w:val="005C3C7F"/>
    <w:rsid w:val="005C47F8"/>
    <w:rsid w:val="005C5284"/>
    <w:rsid w:val="005C6705"/>
    <w:rsid w:val="005D5DBD"/>
    <w:rsid w:val="005E0523"/>
    <w:rsid w:val="005E5846"/>
    <w:rsid w:val="005F0FDD"/>
    <w:rsid w:val="005F4C19"/>
    <w:rsid w:val="005F6F4A"/>
    <w:rsid w:val="00600C8D"/>
    <w:rsid w:val="00604789"/>
    <w:rsid w:val="00604A69"/>
    <w:rsid w:val="00615CB8"/>
    <w:rsid w:val="00631CE4"/>
    <w:rsid w:val="00631E3D"/>
    <w:rsid w:val="00632B37"/>
    <w:rsid w:val="0063415B"/>
    <w:rsid w:val="00634787"/>
    <w:rsid w:val="006355F0"/>
    <w:rsid w:val="00635951"/>
    <w:rsid w:val="0063684F"/>
    <w:rsid w:val="00641F1D"/>
    <w:rsid w:val="00642D23"/>
    <w:rsid w:val="006441AF"/>
    <w:rsid w:val="00644AB7"/>
    <w:rsid w:val="00647226"/>
    <w:rsid w:val="00647D03"/>
    <w:rsid w:val="00650ED4"/>
    <w:rsid w:val="00653AEB"/>
    <w:rsid w:val="006541B6"/>
    <w:rsid w:val="00655ACB"/>
    <w:rsid w:val="00657952"/>
    <w:rsid w:val="0065795B"/>
    <w:rsid w:val="00665046"/>
    <w:rsid w:val="00670D9D"/>
    <w:rsid w:val="00672AC8"/>
    <w:rsid w:val="006735DF"/>
    <w:rsid w:val="00674032"/>
    <w:rsid w:val="006772CD"/>
    <w:rsid w:val="00677424"/>
    <w:rsid w:val="006778FC"/>
    <w:rsid w:val="00694980"/>
    <w:rsid w:val="00695219"/>
    <w:rsid w:val="006A3C62"/>
    <w:rsid w:val="006B011A"/>
    <w:rsid w:val="006B1599"/>
    <w:rsid w:val="006B1E73"/>
    <w:rsid w:val="006B3C3D"/>
    <w:rsid w:val="006B575B"/>
    <w:rsid w:val="006B75B3"/>
    <w:rsid w:val="006C06D0"/>
    <w:rsid w:val="006C254A"/>
    <w:rsid w:val="006C6539"/>
    <w:rsid w:val="006D0496"/>
    <w:rsid w:val="006D2D85"/>
    <w:rsid w:val="006D381B"/>
    <w:rsid w:val="006F09FD"/>
    <w:rsid w:val="006F167D"/>
    <w:rsid w:val="006F624C"/>
    <w:rsid w:val="007016C2"/>
    <w:rsid w:val="00701EAB"/>
    <w:rsid w:val="00704D7C"/>
    <w:rsid w:val="00705F1E"/>
    <w:rsid w:val="00707651"/>
    <w:rsid w:val="00710341"/>
    <w:rsid w:val="00710654"/>
    <w:rsid w:val="00710B94"/>
    <w:rsid w:val="00711098"/>
    <w:rsid w:val="00711BD4"/>
    <w:rsid w:val="0071448F"/>
    <w:rsid w:val="00714C0A"/>
    <w:rsid w:val="00717307"/>
    <w:rsid w:val="00717EE7"/>
    <w:rsid w:val="0072209B"/>
    <w:rsid w:val="007225AC"/>
    <w:rsid w:val="00722D50"/>
    <w:rsid w:val="00724464"/>
    <w:rsid w:val="007266B3"/>
    <w:rsid w:val="00727459"/>
    <w:rsid w:val="00737841"/>
    <w:rsid w:val="00740519"/>
    <w:rsid w:val="00740A9A"/>
    <w:rsid w:val="0074136D"/>
    <w:rsid w:val="00741AA6"/>
    <w:rsid w:val="00741BE0"/>
    <w:rsid w:val="00741E6E"/>
    <w:rsid w:val="007450AA"/>
    <w:rsid w:val="00746746"/>
    <w:rsid w:val="00746C8E"/>
    <w:rsid w:val="00753DD7"/>
    <w:rsid w:val="00757C67"/>
    <w:rsid w:val="00757D3E"/>
    <w:rsid w:val="007605F0"/>
    <w:rsid w:val="00760F35"/>
    <w:rsid w:val="00764FE2"/>
    <w:rsid w:val="007668EE"/>
    <w:rsid w:val="00767380"/>
    <w:rsid w:val="00770F18"/>
    <w:rsid w:val="00772C09"/>
    <w:rsid w:val="00772EDE"/>
    <w:rsid w:val="007737F1"/>
    <w:rsid w:val="00774B26"/>
    <w:rsid w:val="00777D5B"/>
    <w:rsid w:val="00777FD9"/>
    <w:rsid w:val="0078447B"/>
    <w:rsid w:val="00786A19"/>
    <w:rsid w:val="0078770A"/>
    <w:rsid w:val="00791492"/>
    <w:rsid w:val="00791DCF"/>
    <w:rsid w:val="00794430"/>
    <w:rsid w:val="007962C4"/>
    <w:rsid w:val="00796395"/>
    <w:rsid w:val="00797933"/>
    <w:rsid w:val="007A0C6D"/>
    <w:rsid w:val="007A4421"/>
    <w:rsid w:val="007A7969"/>
    <w:rsid w:val="007B3B4A"/>
    <w:rsid w:val="007C301E"/>
    <w:rsid w:val="007D0DEE"/>
    <w:rsid w:val="007D6853"/>
    <w:rsid w:val="007D7FCA"/>
    <w:rsid w:val="007E0259"/>
    <w:rsid w:val="007E0EA0"/>
    <w:rsid w:val="007E1213"/>
    <w:rsid w:val="007E2351"/>
    <w:rsid w:val="007E5FB5"/>
    <w:rsid w:val="007E64C9"/>
    <w:rsid w:val="007E746C"/>
    <w:rsid w:val="0080052A"/>
    <w:rsid w:val="00802737"/>
    <w:rsid w:val="008114D6"/>
    <w:rsid w:val="00813854"/>
    <w:rsid w:val="008165FB"/>
    <w:rsid w:val="00821BBC"/>
    <w:rsid w:val="00821F25"/>
    <w:rsid w:val="00822CF7"/>
    <w:rsid w:val="00827090"/>
    <w:rsid w:val="00831214"/>
    <w:rsid w:val="00834EDB"/>
    <w:rsid w:val="00840945"/>
    <w:rsid w:val="008454A0"/>
    <w:rsid w:val="0085167A"/>
    <w:rsid w:val="00862742"/>
    <w:rsid w:val="00862F2C"/>
    <w:rsid w:val="00864552"/>
    <w:rsid w:val="00871CD0"/>
    <w:rsid w:val="0087392B"/>
    <w:rsid w:val="00892372"/>
    <w:rsid w:val="00892F09"/>
    <w:rsid w:val="0089435C"/>
    <w:rsid w:val="008972FF"/>
    <w:rsid w:val="008A1643"/>
    <w:rsid w:val="008A4BC3"/>
    <w:rsid w:val="008A60F8"/>
    <w:rsid w:val="008A6D93"/>
    <w:rsid w:val="008B03EF"/>
    <w:rsid w:val="008B0698"/>
    <w:rsid w:val="008B3990"/>
    <w:rsid w:val="008B5AEB"/>
    <w:rsid w:val="008B71E2"/>
    <w:rsid w:val="008C0D30"/>
    <w:rsid w:val="008C3848"/>
    <w:rsid w:val="008C6A87"/>
    <w:rsid w:val="008D3DA3"/>
    <w:rsid w:val="008E133B"/>
    <w:rsid w:val="008E2740"/>
    <w:rsid w:val="008E591E"/>
    <w:rsid w:val="008F05AD"/>
    <w:rsid w:val="008F1E60"/>
    <w:rsid w:val="008F43AC"/>
    <w:rsid w:val="00901B34"/>
    <w:rsid w:val="00912803"/>
    <w:rsid w:val="00913916"/>
    <w:rsid w:val="00926E08"/>
    <w:rsid w:val="00927A2E"/>
    <w:rsid w:val="00927F1C"/>
    <w:rsid w:val="00927F8D"/>
    <w:rsid w:val="0093190F"/>
    <w:rsid w:val="0093321D"/>
    <w:rsid w:val="00937E48"/>
    <w:rsid w:val="00943580"/>
    <w:rsid w:val="00944427"/>
    <w:rsid w:val="00947D69"/>
    <w:rsid w:val="00953E31"/>
    <w:rsid w:val="00956D11"/>
    <w:rsid w:val="00960125"/>
    <w:rsid w:val="00961BF0"/>
    <w:rsid w:val="009628E7"/>
    <w:rsid w:val="00963762"/>
    <w:rsid w:val="0096495C"/>
    <w:rsid w:val="00974205"/>
    <w:rsid w:val="00976475"/>
    <w:rsid w:val="00976740"/>
    <w:rsid w:val="00980431"/>
    <w:rsid w:val="0098297F"/>
    <w:rsid w:val="00985368"/>
    <w:rsid w:val="00985E31"/>
    <w:rsid w:val="0098674E"/>
    <w:rsid w:val="00992694"/>
    <w:rsid w:val="009936DC"/>
    <w:rsid w:val="009936F8"/>
    <w:rsid w:val="00993C6F"/>
    <w:rsid w:val="00993E95"/>
    <w:rsid w:val="0099671B"/>
    <w:rsid w:val="00997D4B"/>
    <w:rsid w:val="009A1EAC"/>
    <w:rsid w:val="009A3C45"/>
    <w:rsid w:val="009B75EE"/>
    <w:rsid w:val="009C0CA2"/>
    <w:rsid w:val="009C53B6"/>
    <w:rsid w:val="009C6A5F"/>
    <w:rsid w:val="009D3759"/>
    <w:rsid w:val="009D5BE9"/>
    <w:rsid w:val="009E3370"/>
    <w:rsid w:val="009E34E9"/>
    <w:rsid w:val="009E3994"/>
    <w:rsid w:val="009E5476"/>
    <w:rsid w:val="009E584A"/>
    <w:rsid w:val="009E6374"/>
    <w:rsid w:val="009E7FC5"/>
    <w:rsid w:val="009F0B1B"/>
    <w:rsid w:val="009F3EC2"/>
    <w:rsid w:val="00A01599"/>
    <w:rsid w:val="00A02622"/>
    <w:rsid w:val="00A0435B"/>
    <w:rsid w:val="00A059EF"/>
    <w:rsid w:val="00A07616"/>
    <w:rsid w:val="00A07E80"/>
    <w:rsid w:val="00A14527"/>
    <w:rsid w:val="00A15525"/>
    <w:rsid w:val="00A20E71"/>
    <w:rsid w:val="00A22E6F"/>
    <w:rsid w:val="00A2708C"/>
    <w:rsid w:val="00A3762B"/>
    <w:rsid w:val="00A4007A"/>
    <w:rsid w:val="00A41143"/>
    <w:rsid w:val="00A42516"/>
    <w:rsid w:val="00A43D1E"/>
    <w:rsid w:val="00A458B0"/>
    <w:rsid w:val="00A50CAA"/>
    <w:rsid w:val="00A54535"/>
    <w:rsid w:val="00A60AC2"/>
    <w:rsid w:val="00A63FE9"/>
    <w:rsid w:val="00A774D6"/>
    <w:rsid w:val="00A905C5"/>
    <w:rsid w:val="00A90EB9"/>
    <w:rsid w:val="00A9211E"/>
    <w:rsid w:val="00A934AB"/>
    <w:rsid w:val="00A94B0F"/>
    <w:rsid w:val="00A957B1"/>
    <w:rsid w:val="00A9746F"/>
    <w:rsid w:val="00A975B9"/>
    <w:rsid w:val="00AA0D2F"/>
    <w:rsid w:val="00AA5792"/>
    <w:rsid w:val="00AA5FB7"/>
    <w:rsid w:val="00AA6020"/>
    <w:rsid w:val="00AA70BF"/>
    <w:rsid w:val="00AB2E86"/>
    <w:rsid w:val="00AB32C6"/>
    <w:rsid w:val="00AB751F"/>
    <w:rsid w:val="00AC41F7"/>
    <w:rsid w:val="00AD4677"/>
    <w:rsid w:val="00AD52A6"/>
    <w:rsid w:val="00AE002C"/>
    <w:rsid w:val="00AE5272"/>
    <w:rsid w:val="00AE5420"/>
    <w:rsid w:val="00AE623B"/>
    <w:rsid w:val="00AF128A"/>
    <w:rsid w:val="00AF24B5"/>
    <w:rsid w:val="00AF52BB"/>
    <w:rsid w:val="00B01F8F"/>
    <w:rsid w:val="00B02361"/>
    <w:rsid w:val="00B07AC9"/>
    <w:rsid w:val="00B07EAD"/>
    <w:rsid w:val="00B12C15"/>
    <w:rsid w:val="00B1535A"/>
    <w:rsid w:val="00B25414"/>
    <w:rsid w:val="00B30D47"/>
    <w:rsid w:val="00B37054"/>
    <w:rsid w:val="00B37D58"/>
    <w:rsid w:val="00B46D20"/>
    <w:rsid w:val="00B46DFD"/>
    <w:rsid w:val="00B47342"/>
    <w:rsid w:val="00B53B91"/>
    <w:rsid w:val="00B57BCD"/>
    <w:rsid w:val="00B61A90"/>
    <w:rsid w:val="00B65291"/>
    <w:rsid w:val="00B659FA"/>
    <w:rsid w:val="00B7173C"/>
    <w:rsid w:val="00B77870"/>
    <w:rsid w:val="00B8119E"/>
    <w:rsid w:val="00B8138E"/>
    <w:rsid w:val="00B8226D"/>
    <w:rsid w:val="00B8267A"/>
    <w:rsid w:val="00B85CDE"/>
    <w:rsid w:val="00B9018B"/>
    <w:rsid w:val="00B91BBD"/>
    <w:rsid w:val="00B93255"/>
    <w:rsid w:val="00B94FD6"/>
    <w:rsid w:val="00B9549A"/>
    <w:rsid w:val="00BB0F6E"/>
    <w:rsid w:val="00BB146F"/>
    <w:rsid w:val="00BB6C62"/>
    <w:rsid w:val="00BC16D1"/>
    <w:rsid w:val="00BC267C"/>
    <w:rsid w:val="00BC378D"/>
    <w:rsid w:val="00BC38F4"/>
    <w:rsid w:val="00BC396A"/>
    <w:rsid w:val="00BC3E60"/>
    <w:rsid w:val="00BC52E2"/>
    <w:rsid w:val="00BD2A1E"/>
    <w:rsid w:val="00BD3411"/>
    <w:rsid w:val="00BD4AA1"/>
    <w:rsid w:val="00BD602C"/>
    <w:rsid w:val="00BE1527"/>
    <w:rsid w:val="00BF0596"/>
    <w:rsid w:val="00BF375C"/>
    <w:rsid w:val="00BF701F"/>
    <w:rsid w:val="00BF7C5A"/>
    <w:rsid w:val="00C01045"/>
    <w:rsid w:val="00C01891"/>
    <w:rsid w:val="00C07BDA"/>
    <w:rsid w:val="00C11A99"/>
    <w:rsid w:val="00C12AB5"/>
    <w:rsid w:val="00C138A0"/>
    <w:rsid w:val="00C17336"/>
    <w:rsid w:val="00C2160B"/>
    <w:rsid w:val="00C22DFB"/>
    <w:rsid w:val="00C23810"/>
    <w:rsid w:val="00C24526"/>
    <w:rsid w:val="00C279A1"/>
    <w:rsid w:val="00C30249"/>
    <w:rsid w:val="00C32B6A"/>
    <w:rsid w:val="00C342BF"/>
    <w:rsid w:val="00C3469B"/>
    <w:rsid w:val="00C3534B"/>
    <w:rsid w:val="00C36D6C"/>
    <w:rsid w:val="00C3710D"/>
    <w:rsid w:val="00C43FED"/>
    <w:rsid w:val="00C464CF"/>
    <w:rsid w:val="00C5155E"/>
    <w:rsid w:val="00C516DC"/>
    <w:rsid w:val="00C5766F"/>
    <w:rsid w:val="00C604A5"/>
    <w:rsid w:val="00C66B58"/>
    <w:rsid w:val="00C6718A"/>
    <w:rsid w:val="00C67C33"/>
    <w:rsid w:val="00C725EB"/>
    <w:rsid w:val="00C725FA"/>
    <w:rsid w:val="00C736E0"/>
    <w:rsid w:val="00C758CC"/>
    <w:rsid w:val="00C85094"/>
    <w:rsid w:val="00C9011E"/>
    <w:rsid w:val="00C94D41"/>
    <w:rsid w:val="00C96D93"/>
    <w:rsid w:val="00CA65F2"/>
    <w:rsid w:val="00CA7577"/>
    <w:rsid w:val="00CB002A"/>
    <w:rsid w:val="00CB5A4E"/>
    <w:rsid w:val="00CC2C44"/>
    <w:rsid w:val="00CC38A9"/>
    <w:rsid w:val="00CC3C0A"/>
    <w:rsid w:val="00CC6CA8"/>
    <w:rsid w:val="00CC7884"/>
    <w:rsid w:val="00CD13C3"/>
    <w:rsid w:val="00CD162F"/>
    <w:rsid w:val="00CD2646"/>
    <w:rsid w:val="00CD376B"/>
    <w:rsid w:val="00CD4EAA"/>
    <w:rsid w:val="00CD528E"/>
    <w:rsid w:val="00CD7C56"/>
    <w:rsid w:val="00CE06D2"/>
    <w:rsid w:val="00CE4FDB"/>
    <w:rsid w:val="00CE67E3"/>
    <w:rsid w:val="00CE6DCD"/>
    <w:rsid w:val="00CF0E47"/>
    <w:rsid w:val="00CF1FD5"/>
    <w:rsid w:val="00CF791A"/>
    <w:rsid w:val="00D01CC4"/>
    <w:rsid w:val="00D01FD7"/>
    <w:rsid w:val="00D025A5"/>
    <w:rsid w:val="00D04206"/>
    <w:rsid w:val="00D07348"/>
    <w:rsid w:val="00D10A63"/>
    <w:rsid w:val="00D1210B"/>
    <w:rsid w:val="00D145AC"/>
    <w:rsid w:val="00D16DA3"/>
    <w:rsid w:val="00D178BB"/>
    <w:rsid w:val="00D17B1A"/>
    <w:rsid w:val="00D24094"/>
    <w:rsid w:val="00D26654"/>
    <w:rsid w:val="00D31731"/>
    <w:rsid w:val="00D33357"/>
    <w:rsid w:val="00D40836"/>
    <w:rsid w:val="00D41663"/>
    <w:rsid w:val="00D417E0"/>
    <w:rsid w:val="00D41CB3"/>
    <w:rsid w:val="00D44EA5"/>
    <w:rsid w:val="00D50EC4"/>
    <w:rsid w:val="00D53A93"/>
    <w:rsid w:val="00D60DDB"/>
    <w:rsid w:val="00D62C2C"/>
    <w:rsid w:val="00D7009C"/>
    <w:rsid w:val="00D751E3"/>
    <w:rsid w:val="00D76408"/>
    <w:rsid w:val="00D81A3D"/>
    <w:rsid w:val="00D863B7"/>
    <w:rsid w:val="00D90AB2"/>
    <w:rsid w:val="00D9208B"/>
    <w:rsid w:val="00D93100"/>
    <w:rsid w:val="00D93F11"/>
    <w:rsid w:val="00DA382B"/>
    <w:rsid w:val="00DA3BA5"/>
    <w:rsid w:val="00DA3CEC"/>
    <w:rsid w:val="00DA5AC7"/>
    <w:rsid w:val="00DA7E7F"/>
    <w:rsid w:val="00DB23BD"/>
    <w:rsid w:val="00DB5541"/>
    <w:rsid w:val="00DB57F4"/>
    <w:rsid w:val="00DC2C3E"/>
    <w:rsid w:val="00DC5D73"/>
    <w:rsid w:val="00DC78B1"/>
    <w:rsid w:val="00DC7EE6"/>
    <w:rsid w:val="00DD0607"/>
    <w:rsid w:val="00DD46A9"/>
    <w:rsid w:val="00DF02F2"/>
    <w:rsid w:val="00DF35EF"/>
    <w:rsid w:val="00DF4D59"/>
    <w:rsid w:val="00DF5EE4"/>
    <w:rsid w:val="00DF6C61"/>
    <w:rsid w:val="00E03BE6"/>
    <w:rsid w:val="00E05641"/>
    <w:rsid w:val="00E11E86"/>
    <w:rsid w:val="00E123CF"/>
    <w:rsid w:val="00E14FB2"/>
    <w:rsid w:val="00E16BBF"/>
    <w:rsid w:val="00E2488C"/>
    <w:rsid w:val="00E24CAC"/>
    <w:rsid w:val="00E25011"/>
    <w:rsid w:val="00E26E5A"/>
    <w:rsid w:val="00E31BDC"/>
    <w:rsid w:val="00E31E4C"/>
    <w:rsid w:val="00E363EB"/>
    <w:rsid w:val="00E3795E"/>
    <w:rsid w:val="00E52520"/>
    <w:rsid w:val="00E55CAC"/>
    <w:rsid w:val="00E627D1"/>
    <w:rsid w:val="00E70644"/>
    <w:rsid w:val="00E7177F"/>
    <w:rsid w:val="00E728CC"/>
    <w:rsid w:val="00E769FA"/>
    <w:rsid w:val="00E826B2"/>
    <w:rsid w:val="00E86635"/>
    <w:rsid w:val="00E86774"/>
    <w:rsid w:val="00E87D5F"/>
    <w:rsid w:val="00E916A7"/>
    <w:rsid w:val="00E91F8D"/>
    <w:rsid w:val="00E979D1"/>
    <w:rsid w:val="00EA4242"/>
    <w:rsid w:val="00EA7732"/>
    <w:rsid w:val="00EB39BE"/>
    <w:rsid w:val="00EB5D24"/>
    <w:rsid w:val="00EB6A6F"/>
    <w:rsid w:val="00EC0BB0"/>
    <w:rsid w:val="00EC1C9D"/>
    <w:rsid w:val="00EC4687"/>
    <w:rsid w:val="00EC5CF4"/>
    <w:rsid w:val="00EC7C81"/>
    <w:rsid w:val="00ED14AC"/>
    <w:rsid w:val="00ED287B"/>
    <w:rsid w:val="00EE17E0"/>
    <w:rsid w:val="00EE3E52"/>
    <w:rsid w:val="00EF35B3"/>
    <w:rsid w:val="00EF4414"/>
    <w:rsid w:val="00EF53FD"/>
    <w:rsid w:val="00EF78C3"/>
    <w:rsid w:val="00F049D9"/>
    <w:rsid w:val="00F120E9"/>
    <w:rsid w:val="00F2415A"/>
    <w:rsid w:val="00F30F44"/>
    <w:rsid w:val="00F31B82"/>
    <w:rsid w:val="00F357AA"/>
    <w:rsid w:val="00F366A1"/>
    <w:rsid w:val="00F41659"/>
    <w:rsid w:val="00F42DF6"/>
    <w:rsid w:val="00F43655"/>
    <w:rsid w:val="00F45F21"/>
    <w:rsid w:val="00F5319B"/>
    <w:rsid w:val="00F56594"/>
    <w:rsid w:val="00F60A81"/>
    <w:rsid w:val="00F60B9C"/>
    <w:rsid w:val="00F67F9A"/>
    <w:rsid w:val="00F7367C"/>
    <w:rsid w:val="00F76F1A"/>
    <w:rsid w:val="00F776D2"/>
    <w:rsid w:val="00F826E6"/>
    <w:rsid w:val="00F85694"/>
    <w:rsid w:val="00F90356"/>
    <w:rsid w:val="00F92827"/>
    <w:rsid w:val="00FA2C10"/>
    <w:rsid w:val="00FA36E8"/>
    <w:rsid w:val="00FA3E10"/>
    <w:rsid w:val="00FA416E"/>
    <w:rsid w:val="00FA4279"/>
    <w:rsid w:val="00FA4AA1"/>
    <w:rsid w:val="00FA6D07"/>
    <w:rsid w:val="00FA6D89"/>
    <w:rsid w:val="00FA734E"/>
    <w:rsid w:val="00FA797C"/>
    <w:rsid w:val="00FB3A4A"/>
    <w:rsid w:val="00FB3FB9"/>
    <w:rsid w:val="00FB539A"/>
    <w:rsid w:val="00FB5BB8"/>
    <w:rsid w:val="00FB62FE"/>
    <w:rsid w:val="00FC6568"/>
    <w:rsid w:val="00FC687D"/>
    <w:rsid w:val="00FD41EA"/>
    <w:rsid w:val="00FD4847"/>
    <w:rsid w:val="00FE07F0"/>
    <w:rsid w:val="00FE6554"/>
    <w:rsid w:val="00FF078D"/>
    <w:rsid w:val="00FF16A4"/>
    <w:rsid w:val="00FF5403"/>
    <w:rsid w:val="00FF6187"/>
    <w:rsid w:val="00FF6444"/>
    <w:rsid w:val="1220D021"/>
    <w:rsid w:val="19B2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A856C3"/>
  <w15:chartTrackingRefBased/>
  <w15:docId w15:val="{90525883-EBC7-443F-A79F-8D910428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13"/>
  </w:style>
  <w:style w:type="paragraph" w:styleId="Heading1">
    <w:name w:val="heading 1"/>
    <w:basedOn w:val="Normal"/>
    <w:next w:val="Normal"/>
    <w:link w:val="Heading1Char"/>
    <w:uiPriority w:val="9"/>
    <w:qFormat/>
    <w:rsid w:val="00E728CC"/>
    <w:pPr>
      <w:keepNext/>
      <w:keepLines/>
      <w:spacing w:before="240" w:after="0"/>
      <w:outlineLvl w:val="0"/>
    </w:pPr>
    <w:rPr>
      <w:rFonts w:ascii="Arial" w:eastAsiaTheme="majorEastAsia" w:hAnsi="Arial"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D24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5ACF"/>
    <w:pPr>
      <w:keepNext/>
      <w:keepLines/>
      <w:spacing w:before="120" w:after="120"/>
      <w:outlineLvl w:val="2"/>
    </w:pPr>
    <w:rPr>
      <w:rFonts w:ascii="Arial" w:eastAsiaTheme="majorEastAsia" w:hAnsi="Arial" w:cstheme="majorBidi"/>
      <w:b/>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rsid w:val="00705F1E"/>
    <w:rPr>
      <w:sz w:val="20"/>
      <w:szCs w:val="20"/>
    </w:rPr>
  </w:style>
  <w:style w:type="character" w:styleId="FootnoteReference">
    <w:name w:val="footnote reference"/>
    <w:basedOn w:val="DefaultParagraphFont"/>
    <w:uiPriority w:val="99"/>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 w:type="character" w:customStyle="1" w:styleId="UnresolvedMention1">
    <w:name w:val="Unresolved Mention1"/>
    <w:basedOn w:val="DefaultParagraphFont"/>
    <w:uiPriority w:val="99"/>
    <w:semiHidden/>
    <w:unhideWhenUsed/>
    <w:rsid w:val="00007B2F"/>
    <w:rPr>
      <w:color w:val="605E5C"/>
      <w:shd w:val="clear" w:color="auto" w:fill="E1DFDD"/>
    </w:rPr>
  </w:style>
  <w:style w:type="paragraph" w:styleId="Header">
    <w:name w:val="header"/>
    <w:basedOn w:val="Normal"/>
    <w:link w:val="HeaderChar"/>
    <w:uiPriority w:val="99"/>
    <w:unhideWhenUsed/>
    <w:rsid w:val="009A1E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EAC"/>
  </w:style>
  <w:style w:type="paragraph" w:styleId="Footer">
    <w:name w:val="footer"/>
    <w:basedOn w:val="Normal"/>
    <w:link w:val="FooterChar"/>
    <w:uiPriority w:val="99"/>
    <w:unhideWhenUsed/>
    <w:rsid w:val="009A1E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EAC"/>
  </w:style>
  <w:style w:type="character" w:styleId="CommentReference">
    <w:name w:val="annotation reference"/>
    <w:basedOn w:val="DefaultParagraphFont"/>
    <w:uiPriority w:val="99"/>
    <w:semiHidden/>
    <w:unhideWhenUsed/>
    <w:rsid w:val="005A4CF0"/>
    <w:rPr>
      <w:sz w:val="16"/>
      <w:szCs w:val="16"/>
    </w:rPr>
  </w:style>
  <w:style w:type="paragraph" w:styleId="CommentText">
    <w:name w:val="annotation text"/>
    <w:basedOn w:val="Normal"/>
    <w:link w:val="CommentTextChar"/>
    <w:uiPriority w:val="99"/>
    <w:unhideWhenUsed/>
    <w:rsid w:val="005A4CF0"/>
    <w:pPr>
      <w:spacing w:line="240" w:lineRule="auto"/>
    </w:pPr>
    <w:rPr>
      <w:sz w:val="20"/>
      <w:szCs w:val="20"/>
    </w:rPr>
  </w:style>
  <w:style w:type="character" w:customStyle="1" w:styleId="CommentTextChar">
    <w:name w:val="Comment Text Char"/>
    <w:basedOn w:val="DefaultParagraphFont"/>
    <w:link w:val="CommentText"/>
    <w:uiPriority w:val="99"/>
    <w:rsid w:val="005A4CF0"/>
    <w:rPr>
      <w:sz w:val="20"/>
      <w:szCs w:val="20"/>
    </w:rPr>
  </w:style>
  <w:style w:type="paragraph" w:styleId="CommentSubject">
    <w:name w:val="annotation subject"/>
    <w:basedOn w:val="CommentText"/>
    <w:next w:val="CommentText"/>
    <w:link w:val="CommentSubjectChar"/>
    <w:uiPriority w:val="99"/>
    <w:semiHidden/>
    <w:unhideWhenUsed/>
    <w:rsid w:val="005A4CF0"/>
    <w:rPr>
      <w:b/>
      <w:bCs/>
    </w:rPr>
  </w:style>
  <w:style w:type="character" w:customStyle="1" w:styleId="CommentSubjectChar">
    <w:name w:val="Comment Subject Char"/>
    <w:basedOn w:val="CommentTextChar"/>
    <w:link w:val="CommentSubject"/>
    <w:uiPriority w:val="99"/>
    <w:semiHidden/>
    <w:rsid w:val="005A4CF0"/>
    <w:rPr>
      <w:b/>
      <w:bCs/>
      <w:sz w:val="20"/>
      <w:szCs w:val="20"/>
    </w:rPr>
  </w:style>
  <w:style w:type="character" w:styleId="FollowedHyperlink">
    <w:name w:val="FollowedHyperlink"/>
    <w:basedOn w:val="DefaultParagraphFont"/>
    <w:uiPriority w:val="99"/>
    <w:semiHidden/>
    <w:unhideWhenUsed/>
    <w:rsid w:val="00740A9A"/>
    <w:rPr>
      <w:color w:val="954F72" w:themeColor="followedHyperlink"/>
      <w:u w:val="single"/>
    </w:rPr>
  </w:style>
  <w:style w:type="character" w:customStyle="1" w:styleId="UnresolvedMention2">
    <w:name w:val="Unresolved Mention2"/>
    <w:basedOn w:val="DefaultParagraphFont"/>
    <w:uiPriority w:val="99"/>
    <w:semiHidden/>
    <w:unhideWhenUsed/>
    <w:rsid w:val="00740A9A"/>
    <w:rPr>
      <w:color w:val="605E5C"/>
      <w:shd w:val="clear" w:color="auto" w:fill="E1DFDD"/>
    </w:rPr>
  </w:style>
  <w:style w:type="table" w:styleId="TableGrid">
    <w:name w:val="Table Grid"/>
    <w:basedOn w:val="TableNormal"/>
    <w:uiPriority w:val="39"/>
    <w:rsid w:val="009E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8CC"/>
    <w:rPr>
      <w:rFonts w:ascii="Arial" w:eastAsiaTheme="majorEastAsia" w:hAnsi="Arial" w:cstheme="majorBidi"/>
      <w:color w:val="538135" w:themeColor="accent6" w:themeShade="BF"/>
      <w:sz w:val="32"/>
      <w:szCs w:val="32"/>
    </w:rPr>
  </w:style>
  <w:style w:type="paragraph" w:styleId="TOCHeading">
    <w:name w:val="TOC Heading"/>
    <w:basedOn w:val="Heading1"/>
    <w:next w:val="Normal"/>
    <w:uiPriority w:val="39"/>
    <w:unhideWhenUsed/>
    <w:qFormat/>
    <w:rsid w:val="00E728CC"/>
    <w:pPr>
      <w:outlineLvl w:val="9"/>
    </w:pPr>
    <w:rPr>
      <w:lang w:val="en-US"/>
    </w:rPr>
  </w:style>
  <w:style w:type="paragraph" w:styleId="TOC1">
    <w:name w:val="toc 1"/>
    <w:basedOn w:val="Normal"/>
    <w:next w:val="Normal"/>
    <w:autoRedefine/>
    <w:uiPriority w:val="39"/>
    <w:unhideWhenUsed/>
    <w:rsid w:val="00695219"/>
    <w:pPr>
      <w:tabs>
        <w:tab w:val="right" w:leader="dot" w:pos="9016"/>
      </w:tabs>
      <w:spacing w:before="240" w:after="240"/>
    </w:pPr>
    <w:rPr>
      <w:rFonts w:ascii="Arial" w:hAnsi="Arial"/>
      <w:sz w:val="24"/>
    </w:rPr>
  </w:style>
  <w:style w:type="character" w:customStyle="1" w:styleId="Heading2Char">
    <w:name w:val="Heading 2 Char"/>
    <w:basedOn w:val="DefaultParagraphFont"/>
    <w:link w:val="Heading2"/>
    <w:uiPriority w:val="9"/>
    <w:rsid w:val="00D2409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92694"/>
    <w:pPr>
      <w:spacing w:after="100"/>
      <w:ind w:left="220"/>
    </w:pPr>
  </w:style>
  <w:style w:type="character" w:customStyle="1" w:styleId="Heading3Char">
    <w:name w:val="Heading 3 Char"/>
    <w:basedOn w:val="DefaultParagraphFont"/>
    <w:link w:val="Heading3"/>
    <w:uiPriority w:val="9"/>
    <w:rsid w:val="00475ACF"/>
    <w:rPr>
      <w:rFonts w:ascii="Arial" w:eastAsiaTheme="majorEastAsia" w:hAnsi="Arial" w:cstheme="majorBidi"/>
      <w:b/>
      <w:color w:val="538135" w:themeColor="accent6" w:themeShade="BF"/>
      <w:sz w:val="24"/>
      <w:szCs w:val="24"/>
    </w:rPr>
  </w:style>
  <w:style w:type="paragraph" w:styleId="TOC3">
    <w:name w:val="toc 3"/>
    <w:basedOn w:val="Normal"/>
    <w:next w:val="Normal"/>
    <w:autoRedefine/>
    <w:uiPriority w:val="39"/>
    <w:unhideWhenUsed/>
    <w:rsid w:val="00D41663"/>
    <w:pPr>
      <w:tabs>
        <w:tab w:val="right" w:leader="dot" w:pos="9016"/>
      </w:tabs>
      <w:spacing w:after="100"/>
      <w:ind w:left="440"/>
    </w:pPr>
    <w:rPr>
      <w:rFonts w:ascii="Arial" w:hAnsi="Arial" w:cs="Arial"/>
      <w:noProof/>
    </w:rPr>
  </w:style>
  <w:style w:type="paragraph" w:styleId="Quote">
    <w:name w:val="Quote"/>
    <w:basedOn w:val="Normal"/>
    <w:next w:val="Normal"/>
    <w:link w:val="QuoteChar"/>
    <w:uiPriority w:val="29"/>
    <w:qFormat/>
    <w:rsid w:val="00C90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9011E"/>
    <w:rPr>
      <w:i/>
      <w:iCs/>
      <w:color w:val="404040" w:themeColor="text1" w:themeTint="BF"/>
    </w:rPr>
  </w:style>
  <w:style w:type="paragraph" w:styleId="NormalWeb">
    <w:name w:val="Normal (Web)"/>
    <w:basedOn w:val="Normal"/>
    <w:uiPriority w:val="99"/>
    <w:semiHidden/>
    <w:unhideWhenUsed/>
    <w:rsid w:val="00C67C33"/>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979D1"/>
    <w:rPr>
      <w:color w:val="605E5C"/>
      <w:shd w:val="clear" w:color="auto" w:fill="E1DFDD"/>
    </w:rPr>
  </w:style>
  <w:style w:type="paragraph" w:customStyle="1" w:styleId="Default">
    <w:name w:val="Default"/>
    <w:rsid w:val="007668EE"/>
    <w:pPr>
      <w:autoSpaceDE w:val="0"/>
      <w:autoSpaceDN w:val="0"/>
      <w:adjustRightInd w:val="0"/>
      <w:spacing w:after="0" w:line="240" w:lineRule="auto"/>
    </w:pPr>
    <w:rPr>
      <w:rFonts w:ascii="Calibri" w:hAnsi="Calibri" w:cs="Calibri"/>
      <w:color w:val="000000"/>
      <w:sz w:val="24"/>
      <w:szCs w:val="24"/>
    </w:rPr>
  </w:style>
  <w:style w:type="table" w:styleId="GridTable4-Accent6">
    <w:name w:val="Grid Table 4 Accent 6"/>
    <w:basedOn w:val="TableNormal"/>
    <w:uiPriority w:val="49"/>
    <w:rsid w:val="003D0F7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871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543">
      <w:bodyDiv w:val="1"/>
      <w:marLeft w:val="0"/>
      <w:marRight w:val="0"/>
      <w:marTop w:val="0"/>
      <w:marBottom w:val="0"/>
      <w:divBdr>
        <w:top w:val="none" w:sz="0" w:space="0" w:color="auto"/>
        <w:left w:val="none" w:sz="0" w:space="0" w:color="auto"/>
        <w:bottom w:val="none" w:sz="0" w:space="0" w:color="auto"/>
        <w:right w:val="none" w:sz="0" w:space="0" w:color="auto"/>
      </w:divBdr>
    </w:div>
    <w:div w:id="255133394">
      <w:bodyDiv w:val="1"/>
      <w:marLeft w:val="0"/>
      <w:marRight w:val="0"/>
      <w:marTop w:val="0"/>
      <w:marBottom w:val="0"/>
      <w:divBdr>
        <w:top w:val="none" w:sz="0" w:space="0" w:color="auto"/>
        <w:left w:val="none" w:sz="0" w:space="0" w:color="auto"/>
        <w:bottom w:val="none" w:sz="0" w:space="0" w:color="auto"/>
        <w:right w:val="none" w:sz="0" w:space="0" w:color="auto"/>
      </w:divBdr>
    </w:div>
    <w:div w:id="406340744">
      <w:bodyDiv w:val="1"/>
      <w:marLeft w:val="0"/>
      <w:marRight w:val="0"/>
      <w:marTop w:val="0"/>
      <w:marBottom w:val="0"/>
      <w:divBdr>
        <w:top w:val="none" w:sz="0" w:space="0" w:color="auto"/>
        <w:left w:val="none" w:sz="0" w:space="0" w:color="auto"/>
        <w:bottom w:val="none" w:sz="0" w:space="0" w:color="auto"/>
        <w:right w:val="none" w:sz="0" w:space="0" w:color="auto"/>
      </w:divBdr>
    </w:div>
    <w:div w:id="533738382">
      <w:bodyDiv w:val="1"/>
      <w:marLeft w:val="0"/>
      <w:marRight w:val="0"/>
      <w:marTop w:val="0"/>
      <w:marBottom w:val="0"/>
      <w:divBdr>
        <w:top w:val="none" w:sz="0" w:space="0" w:color="auto"/>
        <w:left w:val="none" w:sz="0" w:space="0" w:color="auto"/>
        <w:bottom w:val="none" w:sz="0" w:space="0" w:color="auto"/>
        <w:right w:val="none" w:sz="0" w:space="0" w:color="auto"/>
      </w:divBdr>
    </w:div>
    <w:div w:id="638416142">
      <w:bodyDiv w:val="1"/>
      <w:marLeft w:val="0"/>
      <w:marRight w:val="0"/>
      <w:marTop w:val="0"/>
      <w:marBottom w:val="0"/>
      <w:divBdr>
        <w:top w:val="none" w:sz="0" w:space="0" w:color="auto"/>
        <w:left w:val="none" w:sz="0" w:space="0" w:color="auto"/>
        <w:bottom w:val="none" w:sz="0" w:space="0" w:color="auto"/>
        <w:right w:val="none" w:sz="0" w:space="0" w:color="auto"/>
      </w:divBdr>
    </w:div>
    <w:div w:id="671418579">
      <w:bodyDiv w:val="1"/>
      <w:marLeft w:val="0"/>
      <w:marRight w:val="0"/>
      <w:marTop w:val="0"/>
      <w:marBottom w:val="0"/>
      <w:divBdr>
        <w:top w:val="none" w:sz="0" w:space="0" w:color="auto"/>
        <w:left w:val="none" w:sz="0" w:space="0" w:color="auto"/>
        <w:bottom w:val="none" w:sz="0" w:space="0" w:color="auto"/>
        <w:right w:val="none" w:sz="0" w:space="0" w:color="auto"/>
      </w:divBdr>
    </w:div>
    <w:div w:id="756171672">
      <w:bodyDiv w:val="1"/>
      <w:marLeft w:val="0"/>
      <w:marRight w:val="0"/>
      <w:marTop w:val="0"/>
      <w:marBottom w:val="0"/>
      <w:divBdr>
        <w:top w:val="none" w:sz="0" w:space="0" w:color="auto"/>
        <w:left w:val="none" w:sz="0" w:space="0" w:color="auto"/>
        <w:bottom w:val="none" w:sz="0" w:space="0" w:color="auto"/>
        <w:right w:val="none" w:sz="0" w:space="0" w:color="auto"/>
      </w:divBdr>
    </w:div>
    <w:div w:id="842861007">
      <w:bodyDiv w:val="1"/>
      <w:marLeft w:val="0"/>
      <w:marRight w:val="0"/>
      <w:marTop w:val="0"/>
      <w:marBottom w:val="0"/>
      <w:divBdr>
        <w:top w:val="none" w:sz="0" w:space="0" w:color="auto"/>
        <w:left w:val="none" w:sz="0" w:space="0" w:color="auto"/>
        <w:bottom w:val="none" w:sz="0" w:space="0" w:color="auto"/>
        <w:right w:val="none" w:sz="0" w:space="0" w:color="auto"/>
      </w:divBdr>
    </w:div>
    <w:div w:id="939484757">
      <w:bodyDiv w:val="1"/>
      <w:marLeft w:val="0"/>
      <w:marRight w:val="0"/>
      <w:marTop w:val="0"/>
      <w:marBottom w:val="0"/>
      <w:divBdr>
        <w:top w:val="none" w:sz="0" w:space="0" w:color="auto"/>
        <w:left w:val="none" w:sz="0" w:space="0" w:color="auto"/>
        <w:bottom w:val="none" w:sz="0" w:space="0" w:color="auto"/>
        <w:right w:val="none" w:sz="0" w:space="0" w:color="auto"/>
      </w:divBdr>
    </w:div>
    <w:div w:id="967661067">
      <w:bodyDiv w:val="1"/>
      <w:marLeft w:val="0"/>
      <w:marRight w:val="0"/>
      <w:marTop w:val="0"/>
      <w:marBottom w:val="0"/>
      <w:divBdr>
        <w:top w:val="none" w:sz="0" w:space="0" w:color="auto"/>
        <w:left w:val="none" w:sz="0" w:space="0" w:color="auto"/>
        <w:bottom w:val="none" w:sz="0" w:space="0" w:color="auto"/>
        <w:right w:val="none" w:sz="0" w:space="0" w:color="auto"/>
      </w:divBdr>
    </w:div>
    <w:div w:id="1055204835">
      <w:bodyDiv w:val="1"/>
      <w:marLeft w:val="0"/>
      <w:marRight w:val="0"/>
      <w:marTop w:val="0"/>
      <w:marBottom w:val="0"/>
      <w:divBdr>
        <w:top w:val="none" w:sz="0" w:space="0" w:color="auto"/>
        <w:left w:val="none" w:sz="0" w:space="0" w:color="auto"/>
        <w:bottom w:val="none" w:sz="0" w:space="0" w:color="auto"/>
        <w:right w:val="none" w:sz="0" w:space="0" w:color="auto"/>
      </w:divBdr>
    </w:div>
    <w:div w:id="1067605408">
      <w:bodyDiv w:val="1"/>
      <w:marLeft w:val="0"/>
      <w:marRight w:val="0"/>
      <w:marTop w:val="0"/>
      <w:marBottom w:val="0"/>
      <w:divBdr>
        <w:top w:val="none" w:sz="0" w:space="0" w:color="auto"/>
        <w:left w:val="none" w:sz="0" w:space="0" w:color="auto"/>
        <w:bottom w:val="none" w:sz="0" w:space="0" w:color="auto"/>
        <w:right w:val="none" w:sz="0" w:space="0" w:color="auto"/>
      </w:divBdr>
    </w:div>
    <w:div w:id="1097403929">
      <w:bodyDiv w:val="1"/>
      <w:marLeft w:val="0"/>
      <w:marRight w:val="0"/>
      <w:marTop w:val="0"/>
      <w:marBottom w:val="0"/>
      <w:divBdr>
        <w:top w:val="none" w:sz="0" w:space="0" w:color="auto"/>
        <w:left w:val="none" w:sz="0" w:space="0" w:color="auto"/>
        <w:bottom w:val="none" w:sz="0" w:space="0" w:color="auto"/>
        <w:right w:val="none" w:sz="0" w:space="0" w:color="auto"/>
      </w:divBdr>
    </w:div>
    <w:div w:id="1383288460">
      <w:bodyDiv w:val="1"/>
      <w:marLeft w:val="0"/>
      <w:marRight w:val="0"/>
      <w:marTop w:val="0"/>
      <w:marBottom w:val="0"/>
      <w:divBdr>
        <w:top w:val="none" w:sz="0" w:space="0" w:color="auto"/>
        <w:left w:val="none" w:sz="0" w:space="0" w:color="auto"/>
        <w:bottom w:val="none" w:sz="0" w:space="0" w:color="auto"/>
        <w:right w:val="none" w:sz="0" w:space="0" w:color="auto"/>
      </w:divBdr>
    </w:div>
    <w:div w:id="1403064586">
      <w:bodyDiv w:val="1"/>
      <w:marLeft w:val="0"/>
      <w:marRight w:val="0"/>
      <w:marTop w:val="0"/>
      <w:marBottom w:val="0"/>
      <w:divBdr>
        <w:top w:val="none" w:sz="0" w:space="0" w:color="auto"/>
        <w:left w:val="none" w:sz="0" w:space="0" w:color="auto"/>
        <w:bottom w:val="none" w:sz="0" w:space="0" w:color="auto"/>
        <w:right w:val="none" w:sz="0" w:space="0" w:color="auto"/>
      </w:divBdr>
    </w:div>
    <w:div w:id="1462764065">
      <w:bodyDiv w:val="1"/>
      <w:marLeft w:val="0"/>
      <w:marRight w:val="0"/>
      <w:marTop w:val="0"/>
      <w:marBottom w:val="0"/>
      <w:divBdr>
        <w:top w:val="none" w:sz="0" w:space="0" w:color="auto"/>
        <w:left w:val="none" w:sz="0" w:space="0" w:color="auto"/>
        <w:bottom w:val="none" w:sz="0" w:space="0" w:color="auto"/>
        <w:right w:val="none" w:sz="0" w:space="0" w:color="auto"/>
      </w:divBdr>
    </w:div>
    <w:div w:id="1480197255">
      <w:bodyDiv w:val="1"/>
      <w:marLeft w:val="0"/>
      <w:marRight w:val="0"/>
      <w:marTop w:val="0"/>
      <w:marBottom w:val="0"/>
      <w:divBdr>
        <w:top w:val="none" w:sz="0" w:space="0" w:color="auto"/>
        <w:left w:val="none" w:sz="0" w:space="0" w:color="auto"/>
        <w:bottom w:val="none" w:sz="0" w:space="0" w:color="auto"/>
        <w:right w:val="none" w:sz="0" w:space="0" w:color="auto"/>
      </w:divBdr>
    </w:div>
    <w:div w:id="1493065254">
      <w:bodyDiv w:val="1"/>
      <w:marLeft w:val="0"/>
      <w:marRight w:val="0"/>
      <w:marTop w:val="0"/>
      <w:marBottom w:val="0"/>
      <w:divBdr>
        <w:top w:val="none" w:sz="0" w:space="0" w:color="auto"/>
        <w:left w:val="none" w:sz="0" w:space="0" w:color="auto"/>
        <w:bottom w:val="none" w:sz="0" w:space="0" w:color="auto"/>
        <w:right w:val="none" w:sz="0" w:space="0" w:color="auto"/>
      </w:divBdr>
    </w:div>
    <w:div w:id="1509057527">
      <w:bodyDiv w:val="1"/>
      <w:marLeft w:val="0"/>
      <w:marRight w:val="0"/>
      <w:marTop w:val="0"/>
      <w:marBottom w:val="0"/>
      <w:divBdr>
        <w:top w:val="none" w:sz="0" w:space="0" w:color="auto"/>
        <w:left w:val="none" w:sz="0" w:space="0" w:color="auto"/>
        <w:bottom w:val="none" w:sz="0" w:space="0" w:color="auto"/>
        <w:right w:val="none" w:sz="0" w:space="0" w:color="auto"/>
      </w:divBdr>
    </w:div>
    <w:div w:id="1558394836">
      <w:bodyDiv w:val="1"/>
      <w:marLeft w:val="0"/>
      <w:marRight w:val="0"/>
      <w:marTop w:val="0"/>
      <w:marBottom w:val="0"/>
      <w:divBdr>
        <w:top w:val="none" w:sz="0" w:space="0" w:color="auto"/>
        <w:left w:val="none" w:sz="0" w:space="0" w:color="auto"/>
        <w:bottom w:val="none" w:sz="0" w:space="0" w:color="auto"/>
        <w:right w:val="none" w:sz="0" w:space="0" w:color="auto"/>
      </w:divBdr>
    </w:div>
    <w:div w:id="1584686063">
      <w:bodyDiv w:val="1"/>
      <w:marLeft w:val="0"/>
      <w:marRight w:val="0"/>
      <w:marTop w:val="0"/>
      <w:marBottom w:val="0"/>
      <w:divBdr>
        <w:top w:val="none" w:sz="0" w:space="0" w:color="auto"/>
        <w:left w:val="none" w:sz="0" w:space="0" w:color="auto"/>
        <w:bottom w:val="none" w:sz="0" w:space="0" w:color="auto"/>
        <w:right w:val="none" w:sz="0" w:space="0" w:color="auto"/>
      </w:divBdr>
    </w:div>
    <w:div w:id="1730569994">
      <w:bodyDiv w:val="1"/>
      <w:marLeft w:val="0"/>
      <w:marRight w:val="0"/>
      <w:marTop w:val="0"/>
      <w:marBottom w:val="0"/>
      <w:divBdr>
        <w:top w:val="none" w:sz="0" w:space="0" w:color="auto"/>
        <w:left w:val="none" w:sz="0" w:space="0" w:color="auto"/>
        <w:bottom w:val="none" w:sz="0" w:space="0" w:color="auto"/>
        <w:right w:val="none" w:sz="0" w:space="0" w:color="auto"/>
      </w:divBdr>
    </w:div>
    <w:div w:id="1830365553">
      <w:bodyDiv w:val="1"/>
      <w:marLeft w:val="0"/>
      <w:marRight w:val="0"/>
      <w:marTop w:val="0"/>
      <w:marBottom w:val="0"/>
      <w:divBdr>
        <w:top w:val="none" w:sz="0" w:space="0" w:color="auto"/>
        <w:left w:val="none" w:sz="0" w:space="0" w:color="auto"/>
        <w:bottom w:val="none" w:sz="0" w:space="0" w:color="auto"/>
        <w:right w:val="none" w:sz="0" w:space="0" w:color="auto"/>
      </w:divBdr>
    </w:div>
    <w:div w:id="1911889570">
      <w:bodyDiv w:val="1"/>
      <w:marLeft w:val="0"/>
      <w:marRight w:val="0"/>
      <w:marTop w:val="0"/>
      <w:marBottom w:val="0"/>
      <w:divBdr>
        <w:top w:val="none" w:sz="0" w:space="0" w:color="auto"/>
        <w:left w:val="none" w:sz="0" w:space="0" w:color="auto"/>
        <w:bottom w:val="none" w:sz="0" w:space="0" w:color="auto"/>
        <w:right w:val="none" w:sz="0" w:space="0" w:color="auto"/>
      </w:divBdr>
    </w:div>
    <w:div w:id="2025402928">
      <w:bodyDiv w:val="1"/>
      <w:marLeft w:val="0"/>
      <w:marRight w:val="0"/>
      <w:marTop w:val="0"/>
      <w:marBottom w:val="0"/>
      <w:divBdr>
        <w:top w:val="none" w:sz="0" w:space="0" w:color="auto"/>
        <w:left w:val="none" w:sz="0" w:space="0" w:color="auto"/>
        <w:bottom w:val="none" w:sz="0" w:space="0" w:color="auto"/>
        <w:right w:val="none" w:sz="0" w:space="0" w:color="auto"/>
      </w:divBdr>
    </w:div>
    <w:div w:id="2053923186">
      <w:bodyDiv w:val="1"/>
      <w:marLeft w:val="0"/>
      <w:marRight w:val="0"/>
      <w:marTop w:val="0"/>
      <w:marBottom w:val="0"/>
      <w:divBdr>
        <w:top w:val="none" w:sz="0" w:space="0" w:color="auto"/>
        <w:left w:val="none" w:sz="0" w:space="0" w:color="auto"/>
        <w:bottom w:val="none" w:sz="0" w:space="0" w:color="auto"/>
        <w:right w:val="none" w:sz="0" w:space="0" w:color="auto"/>
      </w:divBdr>
    </w:div>
    <w:div w:id="2080782357">
      <w:bodyDiv w:val="1"/>
      <w:marLeft w:val="0"/>
      <w:marRight w:val="0"/>
      <w:marTop w:val="0"/>
      <w:marBottom w:val="0"/>
      <w:divBdr>
        <w:top w:val="none" w:sz="0" w:space="0" w:color="auto"/>
        <w:left w:val="none" w:sz="0" w:space="0" w:color="auto"/>
        <w:bottom w:val="none" w:sz="0" w:space="0" w:color="auto"/>
        <w:right w:val="none" w:sz="0" w:space="0" w:color="auto"/>
      </w:divBdr>
    </w:div>
    <w:div w:id="21226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sayers@cyda.org.a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cyda.org.au/resources/details/172/not-even-remotely-fair-experiences-of-students-with-disability-during-covid-19-full-repor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yda.org.au/resources/details/209/2020-review-of-the-disability-standards-for-education-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ie.org.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yda.org.au" TargetMode="External"/><Relationship Id="rId22" Type="http://schemas.openxmlformats.org/officeDocument/2006/relationships/hyperlink" Target="https://www.cyda.org.au/resources/details/236/national-youth-disability-summit-what-young-people-with-disability-said-education-position-pap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are.edu.au/blog/?p=7428"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E652-2082-4FD7-AD5B-6E8FFB9C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Links>
    <vt:vector size="54" baseType="variant">
      <vt:variant>
        <vt:i4>2818081</vt:i4>
      </vt:variant>
      <vt:variant>
        <vt:i4>36</vt:i4>
      </vt:variant>
      <vt:variant>
        <vt:i4>0</vt:i4>
      </vt:variant>
      <vt:variant>
        <vt:i4>5</vt:i4>
      </vt:variant>
      <vt:variant>
        <vt:lpwstr>http://www.cyda.org.au/</vt:lpwstr>
      </vt:variant>
      <vt:variant>
        <vt:lpwstr/>
      </vt:variant>
      <vt:variant>
        <vt:i4>3407952</vt:i4>
      </vt:variant>
      <vt:variant>
        <vt:i4>33</vt:i4>
      </vt:variant>
      <vt:variant>
        <vt:i4>0</vt:i4>
      </vt:variant>
      <vt:variant>
        <vt:i4>5</vt:i4>
      </vt:variant>
      <vt:variant>
        <vt:lpwstr>mailto:marysayers@cyda.org.au</vt:lpwstr>
      </vt:variant>
      <vt:variant>
        <vt:lpwstr/>
      </vt:variant>
      <vt:variant>
        <vt:i4>2031679</vt:i4>
      </vt:variant>
      <vt:variant>
        <vt:i4>26</vt:i4>
      </vt:variant>
      <vt:variant>
        <vt:i4>0</vt:i4>
      </vt:variant>
      <vt:variant>
        <vt:i4>5</vt:i4>
      </vt:variant>
      <vt:variant>
        <vt:lpwstr/>
      </vt:variant>
      <vt:variant>
        <vt:lpwstr>_Toc51598979</vt:lpwstr>
      </vt:variant>
      <vt:variant>
        <vt:i4>1966143</vt:i4>
      </vt:variant>
      <vt:variant>
        <vt:i4>20</vt:i4>
      </vt:variant>
      <vt:variant>
        <vt:i4>0</vt:i4>
      </vt:variant>
      <vt:variant>
        <vt:i4>5</vt:i4>
      </vt:variant>
      <vt:variant>
        <vt:lpwstr/>
      </vt:variant>
      <vt:variant>
        <vt:lpwstr>_Toc51598978</vt:lpwstr>
      </vt:variant>
      <vt:variant>
        <vt:i4>1114175</vt:i4>
      </vt:variant>
      <vt:variant>
        <vt:i4>14</vt:i4>
      </vt:variant>
      <vt:variant>
        <vt:i4>0</vt:i4>
      </vt:variant>
      <vt:variant>
        <vt:i4>5</vt:i4>
      </vt:variant>
      <vt:variant>
        <vt:lpwstr/>
      </vt:variant>
      <vt:variant>
        <vt:lpwstr>_Toc51598977</vt:lpwstr>
      </vt:variant>
      <vt:variant>
        <vt:i4>1048639</vt:i4>
      </vt:variant>
      <vt:variant>
        <vt:i4>8</vt:i4>
      </vt:variant>
      <vt:variant>
        <vt:i4>0</vt:i4>
      </vt:variant>
      <vt:variant>
        <vt:i4>5</vt:i4>
      </vt:variant>
      <vt:variant>
        <vt:lpwstr/>
      </vt:variant>
      <vt:variant>
        <vt:lpwstr>_Toc51598976</vt:lpwstr>
      </vt:variant>
      <vt:variant>
        <vt:i4>1245247</vt:i4>
      </vt:variant>
      <vt:variant>
        <vt:i4>2</vt:i4>
      </vt:variant>
      <vt:variant>
        <vt:i4>0</vt:i4>
      </vt:variant>
      <vt:variant>
        <vt:i4>5</vt:i4>
      </vt:variant>
      <vt:variant>
        <vt:lpwstr/>
      </vt:variant>
      <vt:variant>
        <vt:lpwstr>_Toc51598975</vt:lpwstr>
      </vt:variant>
      <vt:variant>
        <vt:i4>5439509</vt:i4>
      </vt:variant>
      <vt:variant>
        <vt:i4>3</vt:i4>
      </vt:variant>
      <vt:variant>
        <vt:i4>0</vt:i4>
      </vt:variant>
      <vt:variant>
        <vt:i4>5</vt:i4>
      </vt:variant>
      <vt:variant>
        <vt:lpwstr>http://www.ohchr.org/EN/HRBodies/CRPD/Pages/ConventionRightsPersonsWithDisabilities.aspx</vt:lpwstr>
      </vt:variant>
      <vt:variant>
        <vt:lpwstr/>
      </vt:variant>
      <vt:variant>
        <vt:i4>7602301</vt:i4>
      </vt:variant>
      <vt:variant>
        <vt:i4>0</vt:i4>
      </vt:variant>
      <vt:variant>
        <vt:i4>0</vt:i4>
      </vt:variant>
      <vt:variant>
        <vt:i4>5</vt:i4>
      </vt:variant>
      <vt:variant>
        <vt:lpwstr>http://www.ohchr.org/en/professionalinterest/pages/crc.aspx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Susan Tape</cp:lastModifiedBy>
  <cp:revision>7</cp:revision>
  <cp:lastPrinted>2020-09-28T12:00:00Z</cp:lastPrinted>
  <dcterms:created xsi:type="dcterms:W3CDTF">2021-07-23T03:35:00Z</dcterms:created>
  <dcterms:modified xsi:type="dcterms:W3CDTF">2021-07-23T07:51:00Z</dcterms:modified>
</cp:coreProperties>
</file>