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C4EB" w14:textId="78EFE00B" w:rsidR="00E728CC" w:rsidRPr="00C67C33" w:rsidRDefault="00E728CC" w:rsidP="00E728CC">
      <w:pPr>
        <w:rPr>
          <w:rFonts w:ascii="Arial" w:hAnsi="Arial" w:cs="Arial"/>
          <w:b/>
          <w:sz w:val="28"/>
          <w:szCs w:val="28"/>
        </w:rPr>
      </w:pPr>
      <w:r w:rsidRPr="00C67C33">
        <w:rPr>
          <w:rFonts w:ascii="Arial" w:hAnsi="Arial" w:cs="Arial"/>
          <w:b/>
          <w:noProof/>
          <w:lang w:eastAsia="en-AU"/>
        </w:rPr>
        <w:drawing>
          <wp:anchor distT="0" distB="0" distL="114300" distR="114300" simplePos="0" relativeHeight="251659264" behindDoc="1" locked="0" layoutInCell="1" allowOverlap="1" wp14:anchorId="2E4834D8" wp14:editId="0A34CE74">
            <wp:simplePos x="0" y="0"/>
            <wp:positionH relativeFrom="margin">
              <wp:posOffset>1812290</wp:posOffset>
            </wp:positionH>
            <wp:positionV relativeFrom="paragraph">
              <wp:posOffset>0</wp:posOffset>
            </wp:positionV>
            <wp:extent cx="2188210" cy="1644650"/>
            <wp:effectExtent l="0" t="0" r="2540" b="0"/>
            <wp:wrapTight wrapText="bothSides">
              <wp:wrapPolygon edited="0">
                <wp:start x="0" y="0"/>
                <wp:lineTo x="0" y="21266"/>
                <wp:lineTo x="21437" y="21266"/>
                <wp:lineTo x="21437"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2188210" cy="164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EF2F2E" w14:textId="77777777" w:rsidR="00E728CC" w:rsidRPr="00C67C33" w:rsidRDefault="00E728CC" w:rsidP="00E728CC">
      <w:pPr>
        <w:rPr>
          <w:rFonts w:ascii="Arial" w:hAnsi="Arial" w:cs="Arial"/>
          <w:b/>
          <w:sz w:val="28"/>
          <w:szCs w:val="28"/>
        </w:rPr>
      </w:pPr>
    </w:p>
    <w:p w14:paraId="77F1E04F" w14:textId="0F5CDF51" w:rsidR="00E728CC" w:rsidRPr="00C67C33" w:rsidRDefault="00E728CC" w:rsidP="00E728CC">
      <w:pPr>
        <w:jc w:val="center"/>
        <w:rPr>
          <w:rFonts w:ascii="Arial" w:hAnsi="Arial" w:cs="Arial"/>
          <w:b/>
          <w:sz w:val="28"/>
          <w:szCs w:val="28"/>
        </w:rPr>
      </w:pPr>
    </w:p>
    <w:p w14:paraId="153731E2" w14:textId="77777777" w:rsidR="00E728CC" w:rsidRPr="00C67C33" w:rsidRDefault="00E728CC" w:rsidP="00E728CC">
      <w:pPr>
        <w:rPr>
          <w:rFonts w:ascii="Arial" w:hAnsi="Arial" w:cs="Arial"/>
          <w:b/>
          <w:sz w:val="28"/>
          <w:szCs w:val="28"/>
        </w:rPr>
      </w:pPr>
    </w:p>
    <w:p w14:paraId="01817642" w14:textId="77777777" w:rsidR="00E728CC" w:rsidRPr="00C67C33" w:rsidRDefault="00E728CC" w:rsidP="00E728CC">
      <w:pPr>
        <w:rPr>
          <w:rFonts w:ascii="Arial" w:hAnsi="Arial" w:cs="Arial"/>
          <w:b/>
          <w:sz w:val="28"/>
          <w:szCs w:val="28"/>
        </w:rPr>
      </w:pPr>
    </w:p>
    <w:p w14:paraId="4B58ABC2" w14:textId="77777777" w:rsidR="0033031B" w:rsidRPr="00C67C33" w:rsidRDefault="0033031B" w:rsidP="00E728CC">
      <w:pPr>
        <w:rPr>
          <w:rFonts w:ascii="Arial" w:hAnsi="Arial" w:cs="Arial"/>
          <w:b/>
          <w:sz w:val="40"/>
          <w:szCs w:val="40"/>
        </w:rPr>
      </w:pPr>
    </w:p>
    <w:p w14:paraId="23C211B0" w14:textId="77777777" w:rsidR="0033031B" w:rsidRPr="00C67C33" w:rsidRDefault="0033031B" w:rsidP="00E728CC">
      <w:pPr>
        <w:rPr>
          <w:rFonts w:ascii="Arial" w:hAnsi="Arial" w:cs="Arial"/>
          <w:b/>
          <w:sz w:val="40"/>
          <w:szCs w:val="40"/>
        </w:rPr>
      </w:pPr>
    </w:p>
    <w:p w14:paraId="1A91C888" w14:textId="4913C66A" w:rsidR="00E728CC" w:rsidRPr="008F05AD" w:rsidRDefault="008F05AD" w:rsidP="00E728CC">
      <w:pPr>
        <w:rPr>
          <w:rFonts w:ascii="Arial" w:hAnsi="Arial" w:cs="Arial"/>
          <w:b/>
          <w:sz w:val="24"/>
          <w:szCs w:val="24"/>
        </w:rPr>
      </w:pPr>
      <w:r>
        <w:rPr>
          <w:rFonts w:ascii="Arial" w:hAnsi="Arial" w:cs="Arial"/>
          <w:b/>
          <w:sz w:val="40"/>
          <w:szCs w:val="40"/>
        </w:rPr>
        <w:t xml:space="preserve">Response to Disability Royal Commission </w:t>
      </w:r>
      <w:r>
        <w:rPr>
          <w:rFonts w:ascii="Arial" w:hAnsi="Arial" w:cs="Arial"/>
          <w:b/>
          <w:sz w:val="40"/>
          <w:szCs w:val="40"/>
        </w:rPr>
        <w:br/>
      </w:r>
      <w:r>
        <w:rPr>
          <w:rFonts w:ascii="Arial" w:hAnsi="Arial" w:cs="Arial"/>
          <w:b/>
          <w:i/>
          <w:iCs/>
          <w:sz w:val="40"/>
          <w:szCs w:val="40"/>
        </w:rPr>
        <w:t xml:space="preserve">Criminal justice system </w:t>
      </w:r>
      <w:r>
        <w:rPr>
          <w:rFonts w:ascii="Arial" w:hAnsi="Arial" w:cs="Arial"/>
          <w:b/>
          <w:sz w:val="40"/>
          <w:szCs w:val="40"/>
        </w:rPr>
        <w:t>issues paper</w:t>
      </w:r>
    </w:p>
    <w:p w14:paraId="65C6C007" w14:textId="77777777" w:rsidR="00E728CC" w:rsidRPr="00C67C33" w:rsidRDefault="00E728CC" w:rsidP="00E728CC">
      <w:pPr>
        <w:rPr>
          <w:rFonts w:ascii="Arial" w:hAnsi="Arial" w:cs="Arial"/>
          <w:b/>
          <w:sz w:val="24"/>
          <w:szCs w:val="24"/>
        </w:rPr>
      </w:pPr>
    </w:p>
    <w:p w14:paraId="14C1B658" w14:textId="77777777" w:rsidR="00E728CC" w:rsidRPr="00C67C33" w:rsidRDefault="00E728CC" w:rsidP="00E728CC">
      <w:pPr>
        <w:rPr>
          <w:rFonts w:ascii="Arial" w:hAnsi="Arial" w:cs="Arial"/>
          <w:b/>
          <w:sz w:val="24"/>
          <w:szCs w:val="24"/>
        </w:rPr>
      </w:pPr>
    </w:p>
    <w:p w14:paraId="26E10000" w14:textId="77777777" w:rsidR="0033031B" w:rsidRPr="00C67C33" w:rsidRDefault="0033031B" w:rsidP="00E728CC">
      <w:pPr>
        <w:rPr>
          <w:rFonts w:ascii="Arial" w:hAnsi="Arial" w:cs="Arial"/>
          <w:b/>
          <w:sz w:val="36"/>
          <w:szCs w:val="24"/>
        </w:rPr>
      </w:pPr>
    </w:p>
    <w:p w14:paraId="219F990E" w14:textId="04A9B07F" w:rsidR="00371DA6" w:rsidRPr="00C67C33" w:rsidRDefault="00E728CC" w:rsidP="00E728CC">
      <w:pPr>
        <w:rPr>
          <w:rFonts w:ascii="Arial" w:hAnsi="Arial" w:cs="Arial"/>
          <w:b/>
          <w:sz w:val="36"/>
          <w:szCs w:val="24"/>
        </w:rPr>
      </w:pPr>
      <w:r w:rsidRPr="00C67C33">
        <w:rPr>
          <w:rFonts w:ascii="Arial" w:hAnsi="Arial" w:cs="Arial"/>
          <w:b/>
          <w:sz w:val="36"/>
          <w:szCs w:val="24"/>
        </w:rPr>
        <w:t xml:space="preserve">Children and Young People with Disability Australia </w:t>
      </w:r>
    </w:p>
    <w:p w14:paraId="667D13BA" w14:textId="7F52E61E" w:rsidR="00E728CC" w:rsidRPr="00C67C33" w:rsidRDefault="00737841" w:rsidP="00E728CC">
      <w:pPr>
        <w:rPr>
          <w:rFonts w:ascii="Arial" w:hAnsi="Arial" w:cs="Arial"/>
          <w:b/>
          <w:sz w:val="36"/>
          <w:szCs w:val="24"/>
        </w:rPr>
      </w:pPr>
      <w:r w:rsidRPr="00C67C33">
        <w:rPr>
          <w:rFonts w:ascii="Arial" w:hAnsi="Arial" w:cs="Arial"/>
          <w:b/>
          <w:sz w:val="36"/>
          <w:szCs w:val="24"/>
        </w:rPr>
        <w:t>July</w:t>
      </w:r>
      <w:r w:rsidR="00E728CC" w:rsidRPr="00C67C33">
        <w:rPr>
          <w:rFonts w:ascii="Arial" w:hAnsi="Arial" w:cs="Arial"/>
          <w:b/>
          <w:sz w:val="36"/>
          <w:szCs w:val="24"/>
        </w:rPr>
        <w:t xml:space="preserve"> 2020 </w:t>
      </w:r>
    </w:p>
    <w:p w14:paraId="0136C6B5" w14:textId="5D58B8CB" w:rsidR="00E728CC" w:rsidRPr="00C67C33" w:rsidRDefault="00E728CC" w:rsidP="00E728CC">
      <w:pPr>
        <w:tabs>
          <w:tab w:val="left" w:pos="5445"/>
        </w:tabs>
        <w:rPr>
          <w:rFonts w:ascii="Arial" w:hAnsi="Arial" w:cs="Arial"/>
          <w:b/>
          <w:sz w:val="36"/>
          <w:szCs w:val="24"/>
        </w:rPr>
      </w:pPr>
    </w:p>
    <w:p w14:paraId="2D71C44E" w14:textId="77777777" w:rsidR="00E728CC" w:rsidRPr="00C67C33" w:rsidRDefault="00E728CC" w:rsidP="00E728CC">
      <w:pPr>
        <w:rPr>
          <w:rFonts w:ascii="Arial" w:hAnsi="Arial" w:cs="Arial"/>
          <w:sz w:val="24"/>
          <w:szCs w:val="24"/>
        </w:rPr>
      </w:pPr>
    </w:p>
    <w:p w14:paraId="0084A0CF" w14:textId="77777777" w:rsidR="00E728CC" w:rsidRPr="00C67C33" w:rsidRDefault="00E728CC" w:rsidP="00E728CC">
      <w:pPr>
        <w:rPr>
          <w:rFonts w:ascii="Arial" w:hAnsi="Arial" w:cs="Arial"/>
          <w:sz w:val="24"/>
          <w:szCs w:val="24"/>
        </w:rPr>
      </w:pPr>
    </w:p>
    <w:p w14:paraId="7B19D437" w14:textId="77777777" w:rsidR="00E728CC" w:rsidRPr="00C67C33" w:rsidRDefault="00E728CC" w:rsidP="00E728CC">
      <w:pPr>
        <w:rPr>
          <w:rFonts w:ascii="Arial" w:hAnsi="Arial" w:cs="Arial"/>
          <w:sz w:val="24"/>
          <w:szCs w:val="24"/>
        </w:rPr>
      </w:pPr>
    </w:p>
    <w:p w14:paraId="28EF2E38" w14:textId="77777777" w:rsidR="00E728CC" w:rsidRPr="00C67C33" w:rsidRDefault="00E728CC" w:rsidP="00E728CC">
      <w:pPr>
        <w:rPr>
          <w:rFonts w:ascii="Arial" w:hAnsi="Arial" w:cs="Arial"/>
          <w:sz w:val="24"/>
          <w:szCs w:val="24"/>
        </w:rPr>
      </w:pPr>
    </w:p>
    <w:p w14:paraId="7ACCD4B6" w14:textId="77777777" w:rsidR="00E728CC" w:rsidRPr="00C67C33" w:rsidRDefault="00E728CC" w:rsidP="00E728CC">
      <w:pPr>
        <w:rPr>
          <w:rFonts w:ascii="Arial" w:hAnsi="Arial" w:cs="Arial"/>
          <w:sz w:val="24"/>
          <w:szCs w:val="24"/>
        </w:rPr>
      </w:pPr>
    </w:p>
    <w:p w14:paraId="1F093711" w14:textId="77777777" w:rsidR="00E728CC" w:rsidRPr="00C67C33" w:rsidRDefault="00E728CC" w:rsidP="00E728CC">
      <w:pPr>
        <w:tabs>
          <w:tab w:val="center" w:pos="4873"/>
        </w:tabs>
        <w:rPr>
          <w:rFonts w:ascii="Arial" w:hAnsi="Arial" w:cs="Arial"/>
          <w:sz w:val="24"/>
          <w:szCs w:val="24"/>
        </w:rPr>
        <w:sectPr w:rsidR="00E728CC" w:rsidRPr="00C67C33" w:rsidSect="0063415B">
          <w:headerReference w:type="default" r:id="rId9"/>
          <w:footerReference w:type="default" r:id="rId10"/>
          <w:pgSz w:w="11906" w:h="16838"/>
          <w:pgMar w:top="1440" w:right="1080" w:bottom="1440" w:left="1080" w:header="708" w:footer="708" w:gutter="0"/>
          <w:cols w:space="708"/>
          <w:docGrid w:linePitch="360"/>
        </w:sectPr>
      </w:pPr>
      <w:r w:rsidRPr="00C67C33">
        <w:rPr>
          <w:rFonts w:ascii="Arial" w:hAnsi="Arial" w:cs="Arial"/>
          <w:sz w:val="24"/>
          <w:szCs w:val="24"/>
        </w:rPr>
        <w:tab/>
      </w:r>
    </w:p>
    <w:p w14:paraId="7761E80F" w14:textId="0FE13411" w:rsidR="00E728CC" w:rsidRPr="00C67C33" w:rsidRDefault="00E728CC" w:rsidP="00514F43">
      <w:pPr>
        <w:spacing w:before="120" w:line="280" w:lineRule="atLeast"/>
        <w:rPr>
          <w:rFonts w:ascii="Arial" w:eastAsiaTheme="majorEastAsia" w:hAnsi="Arial" w:cs="Arial"/>
          <w:color w:val="538135" w:themeColor="accent6" w:themeShade="BF"/>
          <w:sz w:val="32"/>
          <w:szCs w:val="32"/>
        </w:rPr>
      </w:pPr>
      <w:r w:rsidRPr="00C67C33">
        <w:rPr>
          <w:rFonts w:ascii="Arial" w:eastAsiaTheme="majorEastAsia" w:hAnsi="Arial" w:cs="Arial"/>
          <w:color w:val="538135" w:themeColor="accent6" w:themeShade="BF"/>
          <w:sz w:val="32"/>
          <w:szCs w:val="32"/>
        </w:rPr>
        <w:lastRenderedPageBreak/>
        <w:t>Table of contents</w:t>
      </w:r>
    </w:p>
    <w:sdt>
      <w:sdtPr>
        <w:rPr>
          <w:rFonts w:asciiTheme="minorHAnsi" w:eastAsiaTheme="minorHAnsi" w:hAnsiTheme="minorHAnsi" w:cs="Arial"/>
          <w:color w:val="auto"/>
          <w:sz w:val="22"/>
          <w:szCs w:val="22"/>
          <w:lang w:val="en-AU"/>
        </w:rPr>
        <w:id w:val="-609346039"/>
        <w:docPartObj>
          <w:docPartGallery w:val="Table of Contents"/>
          <w:docPartUnique/>
        </w:docPartObj>
      </w:sdtPr>
      <w:sdtEndPr>
        <w:rPr>
          <w:b/>
          <w:bCs/>
          <w:noProof/>
        </w:rPr>
      </w:sdtEndPr>
      <w:sdtContent>
        <w:p w14:paraId="18142895" w14:textId="48311C3F" w:rsidR="00E728CC" w:rsidRPr="00C67C33" w:rsidRDefault="00E728CC">
          <w:pPr>
            <w:pStyle w:val="TOCHeading"/>
            <w:rPr>
              <w:rFonts w:cs="Arial"/>
            </w:rPr>
          </w:pPr>
        </w:p>
        <w:p w14:paraId="38BFA616" w14:textId="4100142E" w:rsidR="00264FCF" w:rsidRDefault="00C67C33">
          <w:pPr>
            <w:pStyle w:val="TOC1"/>
            <w:rPr>
              <w:rFonts w:asciiTheme="minorHAnsi" w:eastAsiaTheme="minorEastAsia" w:hAnsiTheme="minorHAnsi"/>
              <w:noProof/>
              <w:sz w:val="22"/>
              <w:lang w:eastAsia="en-AU"/>
            </w:rPr>
          </w:pPr>
          <w:r>
            <w:rPr>
              <w:rFonts w:cs="Arial"/>
              <w:b/>
              <w:bCs/>
              <w:noProof/>
            </w:rPr>
            <w:fldChar w:fldCharType="begin"/>
          </w:r>
          <w:r>
            <w:rPr>
              <w:rFonts w:cs="Arial"/>
              <w:b/>
              <w:bCs/>
              <w:noProof/>
            </w:rPr>
            <w:instrText xml:space="preserve"> TOC \o "1-1" \h \z \u </w:instrText>
          </w:r>
          <w:r>
            <w:rPr>
              <w:rFonts w:cs="Arial"/>
              <w:b/>
              <w:bCs/>
              <w:noProof/>
            </w:rPr>
            <w:fldChar w:fldCharType="separate"/>
          </w:r>
          <w:hyperlink w:anchor="_Toc49719185" w:history="1">
            <w:r w:rsidR="00264FCF" w:rsidRPr="007308C4">
              <w:rPr>
                <w:rStyle w:val="Hyperlink"/>
                <w:rFonts w:cs="Arial"/>
                <w:noProof/>
              </w:rPr>
              <w:t>Introduction</w:t>
            </w:r>
            <w:r w:rsidR="00264FCF">
              <w:rPr>
                <w:noProof/>
                <w:webHidden/>
              </w:rPr>
              <w:tab/>
            </w:r>
            <w:r w:rsidR="00264FCF">
              <w:rPr>
                <w:noProof/>
                <w:webHidden/>
              </w:rPr>
              <w:fldChar w:fldCharType="begin"/>
            </w:r>
            <w:r w:rsidR="00264FCF">
              <w:rPr>
                <w:noProof/>
                <w:webHidden/>
              </w:rPr>
              <w:instrText xml:space="preserve"> PAGEREF _Toc49719185 \h </w:instrText>
            </w:r>
            <w:r w:rsidR="00264FCF">
              <w:rPr>
                <w:noProof/>
                <w:webHidden/>
              </w:rPr>
            </w:r>
            <w:r w:rsidR="00264FCF">
              <w:rPr>
                <w:noProof/>
                <w:webHidden/>
              </w:rPr>
              <w:fldChar w:fldCharType="separate"/>
            </w:r>
            <w:r w:rsidR="0013059A">
              <w:rPr>
                <w:noProof/>
                <w:webHidden/>
              </w:rPr>
              <w:t>1</w:t>
            </w:r>
            <w:r w:rsidR="00264FCF">
              <w:rPr>
                <w:noProof/>
                <w:webHidden/>
              </w:rPr>
              <w:fldChar w:fldCharType="end"/>
            </w:r>
          </w:hyperlink>
        </w:p>
        <w:p w14:paraId="2B53654C" w14:textId="7F269DF2" w:rsidR="00264FCF" w:rsidRDefault="0013059A">
          <w:pPr>
            <w:pStyle w:val="TOC1"/>
            <w:rPr>
              <w:rFonts w:asciiTheme="minorHAnsi" w:eastAsiaTheme="minorEastAsia" w:hAnsiTheme="minorHAnsi"/>
              <w:noProof/>
              <w:sz w:val="22"/>
              <w:lang w:eastAsia="en-AU"/>
            </w:rPr>
          </w:pPr>
          <w:hyperlink w:anchor="_Toc49719186" w:history="1">
            <w:r w:rsidR="00264FCF" w:rsidRPr="007308C4">
              <w:rPr>
                <w:rStyle w:val="Hyperlink"/>
                <w:rFonts w:cs="Arial"/>
                <w:noProof/>
              </w:rPr>
              <w:t>Our recommendations</w:t>
            </w:r>
            <w:r w:rsidR="00264FCF">
              <w:rPr>
                <w:noProof/>
                <w:webHidden/>
              </w:rPr>
              <w:tab/>
            </w:r>
            <w:r w:rsidR="00264FCF">
              <w:rPr>
                <w:noProof/>
                <w:webHidden/>
              </w:rPr>
              <w:fldChar w:fldCharType="begin"/>
            </w:r>
            <w:r w:rsidR="00264FCF">
              <w:rPr>
                <w:noProof/>
                <w:webHidden/>
              </w:rPr>
              <w:instrText xml:space="preserve"> PAGEREF _Toc49719186 \h </w:instrText>
            </w:r>
            <w:r w:rsidR="00264FCF">
              <w:rPr>
                <w:noProof/>
                <w:webHidden/>
              </w:rPr>
            </w:r>
            <w:r w:rsidR="00264FCF">
              <w:rPr>
                <w:noProof/>
                <w:webHidden/>
              </w:rPr>
              <w:fldChar w:fldCharType="separate"/>
            </w:r>
            <w:r>
              <w:rPr>
                <w:noProof/>
                <w:webHidden/>
              </w:rPr>
              <w:t>2</w:t>
            </w:r>
            <w:r w:rsidR="00264FCF">
              <w:rPr>
                <w:noProof/>
                <w:webHidden/>
              </w:rPr>
              <w:fldChar w:fldCharType="end"/>
            </w:r>
          </w:hyperlink>
        </w:p>
        <w:p w14:paraId="3961DD24" w14:textId="445ADFE4" w:rsidR="00264FCF" w:rsidRDefault="0013059A">
          <w:pPr>
            <w:pStyle w:val="TOC1"/>
            <w:rPr>
              <w:rFonts w:asciiTheme="minorHAnsi" w:eastAsiaTheme="minorEastAsia" w:hAnsiTheme="minorHAnsi"/>
              <w:noProof/>
              <w:sz w:val="22"/>
              <w:lang w:eastAsia="en-AU"/>
            </w:rPr>
          </w:pPr>
          <w:hyperlink w:anchor="_Toc49719187" w:history="1">
            <w:r w:rsidR="00264FCF" w:rsidRPr="007308C4">
              <w:rPr>
                <w:rStyle w:val="Hyperlink"/>
                <w:rFonts w:cs="Arial"/>
                <w:noProof/>
              </w:rPr>
              <w:t>Improving outcomes: better data, appropriate support, and early intervention</w:t>
            </w:r>
            <w:r w:rsidR="00264FCF">
              <w:rPr>
                <w:noProof/>
                <w:webHidden/>
              </w:rPr>
              <w:tab/>
            </w:r>
            <w:r w:rsidR="00264FCF">
              <w:rPr>
                <w:noProof/>
                <w:webHidden/>
              </w:rPr>
              <w:fldChar w:fldCharType="begin"/>
            </w:r>
            <w:r w:rsidR="00264FCF">
              <w:rPr>
                <w:noProof/>
                <w:webHidden/>
              </w:rPr>
              <w:instrText xml:space="preserve"> PAGEREF _Toc49719187 \h </w:instrText>
            </w:r>
            <w:r w:rsidR="00264FCF">
              <w:rPr>
                <w:noProof/>
                <w:webHidden/>
              </w:rPr>
            </w:r>
            <w:r w:rsidR="00264FCF">
              <w:rPr>
                <w:noProof/>
                <w:webHidden/>
              </w:rPr>
              <w:fldChar w:fldCharType="separate"/>
            </w:r>
            <w:r>
              <w:rPr>
                <w:noProof/>
                <w:webHidden/>
              </w:rPr>
              <w:t>3</w:t>
            </w:r>
            <w:r w:rsidR="00264FCF">
              <w:rPr>
                <w:noProof/>
                <w:webHidden/>
              </w:rPr>
              <w:fldChar w:fldCharType="end"/>
            </w:r>
          </w:hyperlink>
        </w:p>
        <w:p w14:paraId="5865A76E" w14:textId="7A6D8152" w:rsidR="00E728CC" w:rsidRPr="00C67C33" w:rsidRDefault="00C67C33">
          <w:pPr>
            <w:rPr>
              <w:rFonts w:ascii="Arial" w:hAnsi="Arial" w:cs="Arial"/>
            </w:rPr>
          </w:pPr>
          <w:r>
            <w:rPr>
              <w:rFonts w:ascii="Arial" w:hAnsi="Arial" w:cs="Arial"/>
              <w:b/>
              <w:bCs/>
              <w:noProof/>
              <w:sz w:val="24"/>
            </w:rPr>
            <w:fldChar w:fldCharType="end"/>
          </w:r>
        </w:p>
      </w:sdtContent>
    </w:sdt>
    <w:p w14:paraId="02108E40" w14:textId="77777777" w:rsidR="00E728CC" w:rsidRPr="00C67C33" w:rsidRDefault="00E728CC" w:rsidP="00514F43">
      <w:pPr>
        <w:spacing w:before="120" w:line="280" w:lineRule="atLeast"/>
        <w:rPr>
          <w:rFonts w:ascii="Arial" w:eastAsiaTheme="majorEastAsia" w:hAnsi="Arial" w:cs="Arial"/>
          <w:sz w:val="24"/>
          <w:szCs w:val="24"/>
        </w:rPr>
      </w:pPr>
    </w:p>
    <w:p w14:paraId="25F8FA9C" w14:textId="77777777" w:rsidR="00695219" w:rsidRPr="00C67C33" w:rsidRDefault="00695219" w:rsidP="00514F43">
      <w:pPr>
        <w:spacing w:before="120" w:line="280" w:lineRule="atLeast"/>
        <w:rPr>
          <w:rFonts w:ascii="Arial" w:eastAsiaTheme="majorEastAsia" w:hAnsi="Arial" w:cs="Arial"/>
          <w:sz w:val="24"/>
          <w:szCs w:val="24"/>
        </w:rPr>
      </w:pPr>
    </w:p>
    <w:p w14:paraId="18EEBA12" w14:textId="77777777" w:rsidR="00695219" w:rsidRPr="00C67C33" w:rsidRDefault="00695219" w:rsidP="00695219">
      <w:pPr>
        <w:spacing w:before="120" w:line="280" w:lineRule="atLeast"/>
        <w:rPr>
          <w:rFonts w:ascii="Arial" w:hAnsi="Arial" w:cs="Arial"/>
          <w:sz w:val="24"/>
          <w:szCs w:val="24"/>
        </w:rPr>
      </w:pPr>
    </w:p>
    <w:p w14:paraId="1964FB2A" w14:textId="17E90DFF" w:rsidR="00695219" w:rsidRPr="00C67C33" w:rsidRDefault="00695219" w:rsidP="00695219">
      <w:pPr>
        <w:spacing w:before="120" w:line="280" w:lineRule="atLeast"/>
        <w:rPr>
          <w:rFonts w:ascii="Arial" w:hAnsi="Arial" w:cs="Arial"/>
          <w:sz w:val="24"/>
          <w:szCs w:val="24"/>
        </w:rPr>
      </w:pPr>
    </w:p>
    <w:p w14:paraId="45F0F653" w14:textId="48269BA1" w:rsidR="00C3534B" w:rsidRPr="00C67C33" w:rsidRDefault="00C3534B" w:rsidP="00695219">
      <w:pPr>
        <w:spacing w:before="120" w:line="280" w:lineRule="atLeast"/>
        <w:rPr>
          <w:rFonts w:ascii="Arial" w:hAnsi="Arial" w:cs="Arial"/>
          <w:sz w:val="24"/>
          <w:szCs w:val="24"/>
        </w:rPr>
      </w:pPr>
    </w:p>
    <w:p w14:paraId="0C2D424A" w14:textId="7AA838DA" w:rsidR="00C3534B" w:rsidRDefault="00C3534B" w:rsidP="00695219">
      <w:pPr>
        <w:spacing w:before="120" w:line="280" w:lineRule="atLeast"/>
        <w:rPr>
          <w:rFonts w:ascii="Arial" w:hAnsi="Arial" w:cs="Arial"/>
          <w:sz w:val="24"/>
          <w:szCs w:val="24"/>
        </w:rPr>
      </w:pPr>
    </w:p>
    <w:p w14:paraId="2299FD08" w14:textId="2F1F2F24" w:rsidR="00642D23" w:rsidRDefault="00642D23" w:rsidP="00695219">
      <w:pPr>
        <w:spacing w:before="120" w:line="280" w:lineRule="atLeast"/>
        <w:rPr>
          <w:rFonts w:ascii="Arial" w:hAnsi="Arial" w:cs="Arial"/>
          <w:sz w:val="24"/>
          <w:szCs w:val="24"/>
        </w:rPr>
      </w:pPr>
    </w:p>
    <w:p w14:paraId="3CD42F61" w14:textId="77777777" w:rsidR="006D381B" w:rsidRPr="00C67C33" w:rsidRDefault="006D381B" w:rsidP="00695219">
      <w:pPr>
        <w:spacing w:before="120" w:line="280" w:lineRule="atLeast"/>
        <w:rPr>
          <w:rFonts w:ascii="Arial" w:hAnsi="Arial" w:cs="Arial"/>
          <w:sz w:val="24"/>
          <w:szCs w:val="24"/>
        </w:rPr>
      </w:pPr>
    </w:p>
    <w:p w14:paraId="6E7E7FEB" w14:textId="77777777" w:rsidR="00C3534B" w:rsidRPr="00C67C33" w:rsidRDefault="00C3534B" w:rsidP="00695219">
      <w:pPr>
        <w:spacing w:before="120" w:line="280" w:lineRule="atLeast"/>
        <w:rPr>
          <w:rFonts w:ascii="Arial" w:hAnsi="Arial" w:cs="Arial"/>
          <w:sz w:val="24"/>
          <w:szCs w:val="24"/>
        </w:rPr>
      </w:pPr>
    </w:p>
    <w:p w14:paraId="7AADF690" w14:textId="77777777" w:rsidR="00C3534B" w:rsidRPr="00C67C33" w:rsidRDefault="00C3534B" w:rsidP="00695219">
      <w:pPr>
        <w:spacing w:before="120" w:line="280" w:lineRule="atLeast"/>
        <w:rPr>
          <w:rFonts w:ascii="Arial" w:hAnsi="Arial" w:cs="Arial"/>
        </w:rPr>
      </w:pPr>
    </w:p>
    <w:p w14:paraId="5499540B" w14:textId="77777777" w:rsidR="00490A07" w:rsidRDefault="00490A07" w:rsidP="00695219">
      <w:pPr>
        <w:spacing w:before="120" w:line="280" w:lineRule="atLeast"/>
        <w:rPr>
          <w:rFonts w:ascii="Arial" w:hAnsi="Arial" w:cs="Arial"/>
          <w:b/>
        </w:rPr>
      </w:pPr>
    </w:p>
    <w:p w14:paraId="6105822C" w14:textId="77777777" w:rsidR="00490A07" w:rsidRDefault="00490A07" w:rsidP="00695219">
      <w:pPr>
        <w:spacing w:before="120" w:line="280" w:lineRule="atLeast"/>
        <w:rPr>
          <w:rFonts w:ascii="Arial" w:hAnsi="Arial" w:cs="Arial"/>
          <w:b/>
        </w:rPr>
      </w:pPr>
    </w:p>
    <w:p w14:paraId="12CDB29E" w14:textId="77777777" w:rsidR="00490A07" w:rsidRDefault="00490A07" w:rsidP="00695219">
      <w:pPr>
        <w:spacing w:before="120" w:line="280" w:lineRule="atLeast"/>
        <w:rPr>
          <w:rFonts w:ascii="Arial" w:hAnsi="Arial" w:cs="Arial"/>
          <w:b/>
        </w:rPr>
      </w:pPr>
    </w:p>
    <w:p w14:paraId="4C5EFBBC" w14:textId="77777777" w:rsidR="00490A07" w:rsidRDefault="00490A07" w:rsidP="00695219">
      <w:pPr>
        <w:spacing w:before="120" w:line="280" w:lineRule="atLeast"/>
        <w:rPr>
          <w:rFonts w:ascii="Arial" w:hAnsi="Arial" w:cs="Arial"/>
          <w:b/>
        </w:rPr>
      </w:pPr>
    </w:p>
    <w:p w14:paraId="6C3AC050" w14:textId="77777777" w:rsidR="00490A07" w:rsidRDefault="00490A07" w:rsidP="00695219">
      <w:pPr>
        <w:spacing w:before="120" w:line="280" w:lineRule="atLeast"/>
        <w:rPr>
          <w:rFonts w:ascii="Arial" w:hAnsi="Arial" w:cs="Arial"/>
          <w:b/>
        </w:rPr>
      </w:pPr>
    </w:p>
    <w:p w14:paraId="4185B7DE" w14:textId="77777777" w:rsidR="00490A07" w:rsidRDefault="00490A07" w:rsidP="00695219">
      <w:pPr>
        <w:spacing w:before="120" w:line="280" w:lineRule="atLeast"/>
        <w:rPr>
          <w:rFonts w:ascii="Arial" w:hAnsi="Arial" w:cs="Arial"/>
          <w:b/>
        </w:rPr>
      </w:pPr>
    </w:p>
    <w:p w14:paraId="0372645B" w14:textId="77777777" w:rsidR="00490A07" w:rsidRDefault="00490A07" w:rsidP="00695219">
      <w:pPr>
        <w:spacing w:before="120" w:line="280" w:lineRule="atLeast"/>
        <w:rPr>
          <w:rFonts w:ascii="Arial" w:hAnsi="Arial" w:cs="Arial"/>
          <w:b/>
        </w:rPr>
      </w:pPr>
    </w:p>
    <w:p w14:paraId="23B8DD4F" w14:textId="77777777" w:rsidR="00490A07" w:rsidRDefault="00490A07" w:rsidP="00695219">
      <w:pPr>
        <w:spacing w:before="120" w:line="280" w:lineRule="atLeast"/>
        <w:rPr>
          <w:rFonts w:ascii="Arial" w:hAnsi="Arial" w:cs="Arial"/>
          <w:b/>
        </w:rPr>
      </w:pPr>
    </w:p>
    <w:p w14:paraId="333AD6AF" w14:textId="5680BBFE" w:rsidR="00695219" w:rsidRPr="00F76F1A" w:rsidRDefault="00695219" w:rsidP="00695219">
      <w:pPr>
        <w:spacing w:before="120" w:line="280" w:lineRule="atLeast"/>
        <w:rPr>
          <w:rFonts w:ascii="Arial" w:hAnsi="Arial" w:cs="Arial"/>
          <w:b/>
          <w:sz w:val="24"/>
          <w:szCs w:val="24"/>
        </w:rPr>
      </w:pPr>
      <w:r w:rsidRPr="00F76F1A">
        <w:rPr>
          <w:rFonts w:ascii="Arial" w:hAnsi="Arial" w:cs="Arial"/>
          <w:b/>
          <w:sz w:val="24"/>
          <w:szCs w:val="24"/>
        </w:rPr>
        <w:t xml:space="preserve">Authorised by: </w:t>
      </w:r>
      <w:r w:rsidRPr="00F76F1A">
        <w:rPr>
          <w:rFonts w:ascii="Arial" w:hAnsi="Arial" w:cs="Arial"/>
          <w:b/>
          <w:sz w:val="24"/>
          <w:szCs w:val="24"/>
        </w:rPr>
        <w:br/>
      </w:r>
      <w:r w:rsidRPr="00F76F1A">
        <w:rPr>
          <w:rFonts w:ascii="Arial" w:hAnsi="Arial" w:cs="Arial"/>
          <w:sz w:val="24"/>
          <w:szCs w:val="24"/>
        </w:rPr>
        <w:t>Mary Sayers, Chief Executive Officer</w:t>
      </w:r>
    </w:p>
    <w:p w14:paraId="734AD588" w14:textId="3F54B958" w:rsidR="00695219" w:rsidRPr="00F76F1A" w:rsidRDefault="00695219" w:rsidP="00695219">
      <w:pPr>
        <w:spacing w:before="120" w:line="280" w:lineRule="atLeast"/>
        <w:rPr>
          <w:rFonts w:ascii="Arial" w:hAnsi="Arial" w:cs="Arial"/>
          <w:sz w:val="24"/>
          <w:szCs w:val="24"/>
        </w:rPr>
      </w:pPr>
      <w:r w:rsidRPr="00F76F1A">
        <w:rPr>
          <w:rFonts w:ascii="Arial" w:hAnsi="Arial" w:cs="Arial"/>
          <w:b/>
          <w:sz w:val="24"/>
          <w:szCs w:val="24"/>
        </w:rPr>
        <w:t xml:space="preserve">Contact details: </w:t>
      </w:r>
      <w:r w:rsidRPr="00F76F1A">
        <w:rPr>
          <w:rFonts w:ascii="Arial" w:hAnsi="Arial" w:cs="Arial"/>
          <w:b/>
          <w:sz w:val="24"/>
          <w:szCs w:val="24"/>
        </w:rPr>
        <w:br/>
      </w:r>
      <w:r w:rsidRPr="00F76F1A">
        <w:rPr>
          <w:rFonts w:ascii="Arial" w:hAnsi="Arial" w:cs="Arial"/>
          <w:sz w:val="24"/>
          <w:szCs w:val="24"/>
        </w:rPr>
        <w:t>Children and Young People with Disability Australia</w:t>
      </w:r>
      <w:r w:rsidRPr="00F76F1A">
        <w:rPr>
          <w:rFonts w:ascii="Arial" w:hAnsi="Arial" w:cs="Arial"/>
          <w:sz w:val="24"/>
          <w:szCs w:val="24"/>
        </w:rPr>
        <w:br/>
        <w:t xml:space="preserve">E. </w:t>
      </w:r>
      <w:hyperlink r:id="rId11" w:history="1">
        <w:r w:rsidRPr="00F76F1A">
          <w:rPr>
            <w:rFonts w:ascii="Arial" w:hAnsi="Arial" w:cs="Arial"/>
            <w:color w:val="0563C1" w:themeColor="hyperlink"/>
            <w:sz w:val="24"/>
            <w:szCs w:val="24"/>
            <w:u w:val="single"/>
          </w:rPr>
          <w:t>marysayers@cyda.org.au</w:t>
        </w:r>
      </w:hyperlink>
      <w:r w:rsidRPr="00F76F1A">
        <w:rPr>
          <w:rFonts w:ascii="Arial" w:hAnsi="Arial" w:cs="Arial"/>
          <w:sz w:val="24"/>
          <w:szCs w:val="24"/>
        </w:rPr>
        <w:br/>
        <w:t>P. 03 9417 1025</w:t>
      </w:r>
      <w:r w:rsidRPr="00F76F1A">
        <w:rPr>
          <w:rFonts w:ascii="Arial" w:hAnsi="Arial" w:cs="Arial"/>
          <w:sz w:val="24"/>
          <w:szCs w:val="24"/>
        </w:rPr>
        <w:br/>
        <w:t xml:space="preserve">W. </w:t>
      </w:r>
      <w:hyperlink r:id="rId12" w:history="1">
        <w:r w:rsidRPr="00F76F1A">
          <w:rPr>
            <w:rFonts w:ascii="Arial" w:hAnsi="Arial" w:cs="Arial"/>
            <w:color w:val="0563C1" w:themeColor="hyperlink"/>
            <w:sz w:val="24"/>
            <w:szCs w:val="24"/>
            <w:u w:val="single"/>
          </w:rPr>
          <w:t>www.cyda.org.au</w:t>
        </w:r>
      </w:hyperlink>
    </w:p>
    <w:p w14:paraId="5B94514A" w14:textId="77777777" w:rsidR="00695219" w:rsidRPr="00C67C33" w:rsidRDefault="00695219" w:rsidP="00514F43">
      <w:pPr>
        <w:spacing w:before="120" w:line="280" w:lineRule="atLeast"/>
        <w:rPr>
          <w:rFonts w:ascii="Arial" w:eastAsiaTheme="majorEastAsia" w:hAnsi="Arial" w:cs="Arial"/>
          <w:color w:val="538135" w:themeColor="accent6" w:themeShade="BF"/>
          <w:sz w:val="32"/>
          <w:szCs w:val="32"/>
        </w:rPr>
      </w:pPr>
    </w:p>
    <w:p w14:paraId="7DA16C98" w14:textId="77777777" w:rsidR="00E728CC" w:rsidRPr="00C67C33" w:rsidRDefault="00E728CC" w:rsidP="00514F43">
      <w:pPr>
        <w:spacing w:before="120" w:line="280" w:lineRule="atLeast"/>
        <w:rPr>
          <w:rFonts w:ascii="Arial" w:eastAsiaTheme="majorEastAsia" w:hAnsi="Arial" w:cs="Arial"/>
          <w:color w:val="538135" w:themeColor="accent6" w:themeShade="BF"/>
          <w:sz w:val="32"/>
          <w:szCs w:val="32"/>
        </w:rPr>
        <w:sectPr w:rsidR="00E728CC" w:rsidRPr="00C67C33">
          <w:headerReference w:type="default" r:id="rId13"/>
          <w:footerReference w:type="default" r:id="rId14"/>
          <w:pgSz w:w="11906" w:h="16838"/>
          <w:pgMar w:top="1440" w:right="1440" w:bottom="1440" w:left="1440" w:header="708" w:footer="708" w:gutter="0"/>
          <w:cols w:space="708"/>
          <w:docGrid w:linePitch="360"/>
        </w:sectPr>
      </w:pPr>
    </w:p>
    <w:p w14:paraId="789C71B5" w14:textId="2C354196" w:rsidR="00092439" w:rsidRPr="00C67C33" w:rsidRDefault="00C3534B" w:rsidP="00C01045">
      <w:pPr>
        <w:pStyle w:val="Heading1"/>
        <w:rPr>
          <w:rFonts w:cs="Arial"/>
        </w:rPr>
      </w:pPr>
      <w:bookmarkStart w:id="0" w:name="_Toc49719185"/>
      <w:r w:rsidRPr="00C67C33">
        <w:rPr>
          <w:rFonts w:cs="Arial"/>
        </w:rPr>
        <w:lastRenderedPageBreak/>
        <w:t>Introduction</w:t>
      </w:r>
      <w:bookmarkEnd w:id="0"/>
    </w:p>
    <w:p w14:paraId="6ACA459E" w14:textId="137F5AD7" w:rsidR="003F2138" w:rsidRPr="00490A07" w:rsidRDefault="003F2138" w:rsidP="00490A07">
      <w:pPr>
        <w:spacing w:before="240" w:after="120" w:line="276" w:lineRule="auto"/>
        <w:rPr>
          <w:rFonts w:ascii="Arial" w:hAnsi="Arial" w:cs="Arial"/>
          <w:sz w:val="24"/>
          <w:szCs w:val="24"/>
        </w:rPr>
      </w:pPr>
      <w:r w:rsidRPr="00490A07">
        <w:rPr>
          <w:rFonts w:ascii="Arial" w:hAnsi="Arial" w:cs="Arial"/>
          <w:sz w:val="24"/>
          <w:szCs w:val="24"/>
        </w:rPr>
        <w:t xml:space="preserve">Children and Young People with Disability Australia (CYDA) is the national representative organisation for children and young people with disability aged 0-25 years. CYDA has an extensive national membership of over 5,000 young people with disability, families and caregivers of children with disability, with the majority of our members being families. </w:t>
      </w:r>
    </w:p>
    <w:p w14:paraId="6CDDBD66" w14:textId="77777777" w:rsidR="003F2138" w:rsidRPr="00490A07" w:rsidRDefault="003F2138" w:rsidP="00490A07">
      <w:pPr>
        <w:spacing w:before="240" w:after="120" w:line="276" w:lineRule="auto"/>
        <w:rPr>
          <w:rFonts w:ascii="Arial" w:hAnsi="Arial" w:cs="Arial"/>
          <w:sz w:val="24"/>
          <w:szCs w:val="24"/>
        </w:rPr>
      </w:pPr>
      <w:r w:rsidRPr="00490A07">
        <w:rPr>
          <w:rFonts w:ascii="Arial" w:hAnsi="Arial" w:cs="Arial"/>
          <w:sz w:val="24"/>
          <w:szCs w:val="24"/>
        </w:rPr>
        <w:t>CYDA’s purpose is to advocate systemically at the national level for the rights and interests of all children and young people with disability living in Australia. To do this, we focus on the following:</w:t>
      </w:r>
    </w:p>
    <w:p w14:paraId="11B7EDC4" w14:textId="77777777" w:rsidR="003F2138" w:rsidRPr="00490A07" w:rsidRDefault="003F2138" w:rsidP="00490A07">
      <w:pPr>
        <w:numPr>
          <w:ilvl w:val="0"/>
          <w:numId w:val="34"/>
        </w:numPr>
        <w:spacing w:before="240" w:after="120" w:line="276" w:lineRule="auto"/>
        <w:ind w:left="714" w:hanging="357"/>
        <w:rPr>
          <w:rFonts w:ascii="Arial" w:hAnsi="Arial" w:cs="Arial"/>
          <w:sz w:val="24"/>
          <w:szCs w:val="24"/>
        </w:rPr>
      </w:pPr>
      <w:r w:rsidRPr="00490A07">
        <w:rPr>
          <w:rFonts w:ascii="Arial" w:hAnsi="Arial" w:cs="Arial"/>
          <w:sz w:val="24"/>
          <w:szCs w:val="24"/>
        </w:rPr>
        <w:t>Listening and responding to the voices and experiences of children and young people with disability</w:t>
      </w:r>
    </w:p>
    <w:p w14:paraId="5829277B" w14:textId="77777777" w:rsidR="003F2138" w:rsidRPr="00490A07" w:rsidRDefault="003F2138" w:rsidP="00490A07">
      <w:pPr>
        <w:numPr>
          <w:ilvl w:val="0"/>
          <w:numId w:val="34"/>
        </w:numPr>
        <w:spacing w:before="240" w:after="120" w:line="276" w:lineRule="auto"/>
        <w:ind w:left="714" w:hanging="357"/>
        <w:rPr>
          <w:rFonts w:ascii="Arial" w:hAnsi="Arial" w:cs="Arial"/>
          <w:sz w:val="24"/>
          <w:szCs w:val="24"/>
        </w:rPr>
      </w:pPr>
      <w:r w:rsidRPr="00490A07">
        <w:rPr>
          <w:rFonts w:ascii="Arial" w:hAnsi="Arial" w:cs="Arial"/>
          <w:sz w:val="24"/>
          <w:szCs w:val="24"/>
        </w:rPr>
        <w:t>Advocating for children and young people with disability for equal opportunities, participation and inclusion in the Australian community</w:t>
      </w:r>
    </w:p>
    <w:p w14:paraId="3DDC8B20" w14:textId="77777777" w:rsidR="003F2138" w:rsidRPr="00490A07" w:rsidRDefault="003F2138" w:rsidP="00490A07">
      <w:pPr>
        <w:numPr>
          <w:ilvl w:val="0"/>
          <w:numId w:val="34"/>
        </w:numPr>
        <w:spacing w:before="240" w:after="120" w:line="276" w:lineRule="auto"/>
        <w:ind w:left="714" w:hanging="357"/>
        <w:rPr>
          <w:rFonts w:ascii="Arial" w:hAnsi="Arial" w:cs="Arial"/>
          <w:sz w:val="24"/>
          <w:szCs w:val="24"/>
        </w:rPr>
      </w:pPr>
      <w:r w:rsidRPr="00490A07">
        <w:rPr>
          <w:rFonts w:ascii="Arial" w:hAnsi="Arial" w:cs="Arial"/>
          <w:sz w:val="24"/>
          <w:szCs w:val="24"/>
        </w:rPr>
        <w:t>Educating national public policy-makers and the broader community about the experiences of children and young people with disability</w:t>
      </w:r>
    </w:p>
    <w:p w14:paraId="50D2249D" w14:textId="77777777" w:rsidR="003F2138" w:rsidRPr="00490A07" w:rsidRDefault="003F2138" w:rsidP="00490A07">
      <w:pPr>
        <w:numPr>
          <w:ilvl w:val="0"/>
          <w:numId w:val="34"/>
        </w:numPr>
        <w:spacing w:before="240" w:after="120" w:line="276" w:lineRule="auto"/>
        <w:ind w:left="714" w:hanging="357"/>
        <w:rPr>
          <w:rFonts w:ascii="Arial" w:hAnsi="Arial" w:cs="Arial"/>
          <w:sz w:val="24"/>
          <w:szCs w:val="24"/>
        </w:rPr>
      </w:pPr>
      <w:r w:rsidRPr="00490A07">
        <w:rPr>
          <w:rFonts w:ascii="Arial" w:hAnsi="Arial" w:cs="Arial"/>
          <w:sz w:val="24"/>
          <w:szCs w:val="24"/>
        </w:rPr>
        <w:t>Informing children and young people with disability, their families and caregivers about their citizenship rights and entitlements</w:t>
      </w:r>
    </w:p>
    <w:p w14:paraId="28D37AA5" w14:textId="77777777" w:rsidR="003F2138" w:rsidRPr="00490A07" w:rsidRDefault="003F2138" w:rsidP="00490A07">
      <w:pPr>
        <w:numPr>
          <w:ilvl w:val="0"/>
          <w:numId w:val="34"/>
        </w:numPr>
        <w:spacing w:before="240" w:after="120" w:line="276" w:lineRule="auto"/>
        <w:ind w:left="714" w:hanging="357"/>
        <w:rPr>
          <w:rFonts w:ascii="Arial" w:hAnsi="Arial" w:cs="Arial"/>
          <w:sz w:val="24"/>
          <w:szCs w:val="24"/>
        </w:rPr>
      </w:pPr>
      <w:r w:rsidRPr="00490A07">
        <w:rPr>
          <w:rFonts w:ascii="Arial" w:hAnsi="Arial" w:cs="Arial"/>
          <w:sz w:val="24"/>
          <w:szCs w:val="24"/>
        </w:rPr>
        <w:t>Celebrating the successes and achievements of children and young people with disability.</w:t>
      </w:r>
    </w:p>
    <w:p w14:paraId="31AD0298" w14:textId="77777777" w:rsidR="00490A07" w:rsidRPr="00490A07" w:rsidRDefault="00490A07" w:rsidP="00490A07">
      <w:pPr>
        <w:spacing w:before="240" w:after="120" w:line="276" w:lineRule="auto"/>
        <w:rPr>
          <w:rFonts w:ascii="Arial" w:hAnsi="Arial" w:cs="Arial"/>
          <w:sz w:val="24"/>
          <w:szCs w:val="24"/>
        </w:rPr>
      </w:pPr>
      <w:r w:rsidRPr="00490A07">
        <w:rPr>
          <w:rFonts w:ascii="Arial" w:hAnsi="Arial" w:cs="Arial"/>
          <w:sz w:val="24"/>
          <w:szCs w:val="24"/>
        </w:rPr>
        <w:t xml:space="preserve">CYDA appreciates the opportunity to respond to the Disability Royal Commission’s </w:t>
      </w:r>
      <w:r w:rsidRPr="00490A07">
        <w:rPr>
          <w:rFonts w:ascii="Arial" w:hAnsi="Arial" w:cs="Arial"/>
          <w:i/>
          <w:iCs/>
          <w:sz w:val="24"/>
          <w:szCs w:val="24"/>
        </w:rPr>
        <w:t>Criminal Justice System Issues Paper</w:t>
      </w:r>
      <w:r w:rsidRPr="00490A07">
        <w:rPr>
          <w:rFonts w:ascii="Arial" w:hAnsi="Arial" w:cs="Arial"/>
          <w:sz w:val="24"/>
          <w:szCs w:val="24"/>
        </w:rPr>
        <w:t>, highlighting the over-representation of children and young people with disability in Australia’s criminal justice systems and the significant barriers facing children and young people with disability in their interactions with these systems.</w:t>
      </w:r>
    </w:p>
    <w:p w14:paraId="554952E4" w14:textId="77777777" w:rsidR="00490A07" w:rsidRPr="00490A07" w:rsidRDefault="00490A07" w:rsidP="00490A07">
      <w:pPr>
        <w:spacing w:before="240" w:after="120" w:line="276" w:lineRule="auto"/>
        <w:rPr>
          <w:rFonts w:ascii="Arial" w:hAnsi="Arial" w:cs="Arial"/>
          <w:sz w:val="24"/>
          <w:szCs w:val="24"/>
        </w:rPr>
      </w:pPr>
      <w:r w:rsidRPr="00490A07">
        <w:rPr>
          <w:rFonts w:ascii="Arial" w:hAnsi="Arial" w:cs="Arial"/>
          <w:sz w:val="24"/>
          <w:szCs w:val="24"/>
        </w:rPr>
        <w:t xml:space="preserve">We welcome the Commission’s interest in, and understanding of, the significant barriers facing people with disability in contact with criminal justice systems, and their contact with these systems “at disproportionately high rates.” We note the Commission’s recognition of the rights of people with disability to have equal access to justice and equal recognition before the law. </w:t>
      </w:r>
    </w:p>
    <w:p w14:paraId="567ACCBC" w14:textId="139B0474" w:rsidR="002F48A7" w:rsidRPr="00490A07" w:rsidRDefault="00490A07" w:rsidP="00490A07">
      <w:pPr>
        <w:spacing w:before="240" w:after="120" w:line="276" w:lineRule="auto"/>
        <w:rPr>
          <w:rFonts w:ascii="Arial" w:hAnsi="Arial" w:cs="Arial"/>
          <w:sz w:val="24"/>
          <w:szCs w:val="24"/>
        </w:rPr>
      </w:pPr>
      <w:r w:rsidRPr="00490A07">
        <w:rPr>
          <w:rFonts w:ascii="Arial" w:hAnsi="Arial" w:cs="Arial"/>
          <w:sz w:val="24"/>
          <w:szCs w:val="24"/>
        </w:rPr>
        <w:t>In our response to the Issues Paper, we would like to draw the Commission’s attention to the particular challenges facing children and young people with disability in their contact with criminal justice systems, and the structural elements that contribute to their entry into these systems and lack of appropriate support once within. CYDA’s view is that these issues warrant specific examination by the Commission, including proactive outreach with detained children and young people.</w:t>
      </w:r>
    </w:p>
    <w:p w14:paraId="7B400F54" w14:textId="77777777" w:rsidR="008F05AD" w:rsidRDefault="008F05AD">
      <w:pPr>
        <w:rPr>
          <w:rFonts w:ascii="Arial" w:eastAsiaTheme="majorEastAsia" w:hAnsi="Arial" w:cs="Arial"/>
          <w:color w:val="538135" w:themeColor="accent6" w:themeShade="BF"/>
          <w:sz w:val="32"/>
          <w:szCs w:val="32"/>
        </w:rPr>
      </w:pPr>
      <w:r>
        <w:rPr>
          <w:rFonts w:cs="Arial"/>
        </w:rPr>
        <w:br w:type="page"/>
      </w:r>
    </w:p>
    <w:p w14:paraId="01581B2C" w14:textId="27E79B5D" w:rsidR="001F3EB4" w:rsidRPr="00C67C33" w:rsidRDefault="0041516E" w:rsidP="008972FF">
      <w:pPr>
        <w:pStyle w:val="Heading1"/>
        <w:rPr>
          <w:rFonts w:cs="Arial"/>
        </w:rPr>
      </w:pPr>
      <w:bookmarkStart w:id="1" w:name="_Toc49719186"/>
      <w:r w:rsidRPr="005F6F4A">
        <w:rPr>
          <w:rFonts w:cs="Arial"/>
        </w:rPr>
        <w:lastRenderedPageBreak/>
        <w:t>Our r</w:t>
      </w:r>
      <w:r w:rsidR="000711C6" w:rsidRPr="005F6F4A">
        <w:rPr>
          <w:rFonts w:cs="Arial"/>
        </w:rPr>
        <w:t>ecommendations</w:t>
      </w:r>
      <w:bookmarkEnd w:id="1"/>
    </w:p>
    <w:p w14:paraId="4ADC6F87" w14:textId="5E4C0A65" w:rsidR="00490A07" w:rsidRPr="006F5E0B" w:rsidRDefault="00490A07" w:rsidP="00490A07">
      <w:pPr>
        <w:spacing w:before="240" w:after="120" w:line="276" w:lineRule="auto"/>
        <w:rPr>
          <w:rFonts w:ascii="Arial" w:hAnsi="Arial" w:cs="Arial"/>
          <w:bCs/>
          <w:sz w:val="24"/>
          <w:szCs w:val="24"/>
        </w:rPr>
      </w:pPr>
      <w:r w:rsidRPr="006F5E0B">
        <w:rPr>
          <w:rFonts w:ascii="Arial" w:hAnsi="Arial" w:cs="Arial"/>
          <w:bCs/>
          <w:sz w:val="24"/>
          <w:szCs w:val="24"/>
        </w:rPr>
        <w:t>That the Royal Commission:</w:t>
      </w:r>
    </w:p>
    <w:p w14:paraId="728389CF" w14:textId="77777777" w:rsidR="000F29B1" w:rsidRDefault="00490A07" w:rsidP="00490A07">
      <w:pPr>
        <w:pStyle w:val="ListParagraph"/>
        <w:numPr>
          <w:ilvl w:val="0"/>
          <w:numId w:val="36"/>
        </w:numPr>
        <w:spacing w:before="240" w:after="120" w:line="276" w:lineRule="auto"/>
        <w:rPr>
          <w:rFonts w:ascii="Arial" w:hAnsi="Arial" w:cs="Arial"/>
          <w:bCs/>
          <w:sz w:val="24"/>
          <w:szCs w:val="24"/>
        </w:rPr>
      </w:pPr>
      <w:r>
        <w:rPr>
          <w:rFonts w:ascii="Arial" w:hAnsi="Arial" w:cs="Arial"/>
          <w:bCs/>
          <w:sz w:val="24"/>
          <w:szCs w:val="24"/>
        </w:rPr>
        <w:t xml:space="preserve">specifically examines </w:t>
      </w:r>
    </w:p>
    <w:p w14:paraId="7BB72FC7" w14:textId="77777777" w:rsidR="000F29B1" w:rsidRDefault="00490A07" w:rsidP="000F29B1">
      <w:pPr>
        <w:pStyle w:val="ListParagraph"/>
        <w:numPr>
          <w:ilvl w:val="1"/>
          <w:numId w:val="36"/>
        </w:numPr>
        <w:spacing w:before="240" w:after="120" w:line="276" w:lineRule="auto"/>
        <w:rPr>
          <w:rFonts w:ascii="Arial" w:hAnsi="Arial" w:cs="Arial"/>
          <w:bCs/>
          <w:sz w:val="24"/>
          <w:szCs w:val="24"/>
        </w:rPr>
      </w:pPr>
      <w:r>
        <w:rPr>
          <w:rFonts w:ascii="Arial" w:hAnsi="Arial" w:cs="Arial"/>
          <w:bCs/>
          <w:sz w:val="24"/>
          <w:szCs w:val="24"/>
        </w:rPr>
        <w:t>the issues faced by children and young people with disability in youth justice systems, including coordination with other government systems</w:t>
      </w:r>
    </w:p>
    <w:p w14:paraId="05AF57ED" w14:textId="6F350B42" w:rsidR="00490A07" w:rsidRDefault="000F29B1" w:rsidP="000F29B1">
      <w:pPr>
        <w:pStyle w:val="ListParagraph"/>
        <w:numPr>
          <w:ilvl w:val="1"/>
          <w:numId w:val="36"/>
        </w:numPr>
        <w:spacing w:before="240" w:after="120" w:line="276" w:lineRule="auto"/>
        <w:rPr>
          <w:rFonts w:ascii="Arial" w:hAnsi="Arial" w:cs="Arial"/>
          <w:bCs/>
          <w:sz w:val="24"/>
          <w:szCs w:val="24"/>
        </w:rPr>
      </w:pPr>
      <w:r>
        <w:rPr>
          <w:rFonts w:ascii="Arial" w:hAnsi="Arial" w:cs="Arial"/>
          <w:bCs/>
          <w:sz w:val="24"/>
          <w:szCs w:val="24"/>
        </w:rPr>
        <w:t>the structural issues that contribute to the over-representation of children and young people with disability in these systems</w:t>
      </w:r>
    </w:p>
    <w:p w14:paraId="60FDE07B" w14:textId="409E6954" w:rsidR="0013059A" w:rsidRDefault="0013059A" w:rsidP="000F29B1">
      <w:pPr>
        <w:pStyle w:val="ListParagraph"/>
        <w:numPr>
          <w:ilvl w:val="1"/>
          <w:numId w:val="36"/>
        </w:numPr>
        <w:spacing w:before="240" w:after="120" w:line="276" w:lineRule="auto"/>
        <w:rPr>
          <w:rFonts w:ascii="Arial" w:hAnsi="Arial" w:cs="Arial"/>
          <w:bCs/>
          <w:sz w:val="24"/>
          <w:szCs w:val="24"/>
        </w:rPr>
      </w:pPr>
      <w:r w:rsidRPr="00941F24">
        <w:rPr>
          <w:rFonts w:ascii="Arial" w:hAnsi="Arial" w:cs="Arial"/>
          <w:bCs/>
          <w:sz w:val="24"/>
          <w:szCs w:val="24"/>
        </w:rPr>
        <w:t>the impact of the current ‘age of criminal responsibility’ legislation on children and young people with disability</w:t>
      </w:r>
    </w:p>
    <w:p w14:paraId="32CCD652" w14:textId="4F78344D" w:rsidR="00490A07" w:rsidRDefault="00490A07" w:rsidP="00490A07">
      <w:pPr>
        <w:pStyle w:val="ListParagraph"/>
        <w:numPr>
          <w:ilvl w:val="0"/>
          <w:numId w:val="36"/>
        </w:numPr>
        <w:spacing w:before="240" w:after="120" w:line="276" w:lineRule="auto"/>
        <w:rPr>
          <w:rFonts w:ascii="Arial" w:hAnsi="Arial" w:cs="Arial"/>
          <w:bCs/>
          <w:sz w:val="24"/>
          <w:szCs w:val="24"/>
        </w:rPr>
      </w:pPr>
      <w:r>
        <w:rPr>
          <w:rFonts w:ascii="Arial" w:hAnsi="Arial" w:cs="Arial"/>
          <w:bCs/>
          <w:sz w:val="24"/>
          <w:szCs w:val="24"/>
        </w:rPr>
        <w:t xml:space="preserve">conducts an analysis of the relevant data currently collected by state and </w:t>
      </w:r>
      <w:r w:rsidRPr="006F5E0B">
        <w:rPr>
          <w:rFonts w:ascii="Arial" w:hAnsi="Arial" w:cs="Arial"/>
          <w:bCs/>
          <w:sz w:val="24"/>
          <w:szCs w:val="24"/>
        </w:rPr>
        <w:t xml:space="preserve">territory governments </w:t>
      </w:r>
      <w:r>
        <w:rPr>
          <w:rFonts w:ascii="Arial" w:hAnsi="Arial" w:cs="Arial"/>
          <w:bCs/>
          <w:sz w:val="24"/>
          <w:szCs w:val="24"/>
        </w:rPr>
        <w:t xml:space="preserve">and makes recommendations to </w:t>
      </w:r>
      <w:r w:rsidR="000F29B1">
        <w:rPr>
          <w:rFonts w:ascii="Arial" w:hAnsi="Arial" w:cs="Arial"/>
          <w:bCs/>
          <w:sz w:val="24"/>
          <w:szCs w:val="24"/>
        </w:rPr>
        <w:t>strengthen</w:t>
      </w:r>
      <w:r>
        <w:rPr>
          <w:rFonts w:ascii="Arial" w:hAnsi="Arial" w:cs="Arial"/>
          <w:bCs/>
          <w:sz w:val="24"/>
          <w:szCs w:val="24"/>
        </w:rPr>
        <w:t xml:space="preserve"> data collection and transparency</w:t>
      </w:r>
    </w:p>
    <w:p w14:paraId="5F491194" w14:textId="77777777" w:rsidR="008E133B" w:rsidRDefault="008E133B" w:rsidP="008E133B">
      <w:pPr>
        <w:pStyle w:val="ListParagraph"/>
        <w:numPr>
          <w:ilvl w:val="0"/>
          <w:numId w:val="36"/>
        </w:numPr>
        <w:spacing w:before="240" w:after="120" w:line="276" w:lineRule="auto"/>
        <w:rPr>
          <w:rFonts w:ascii="Arial" w:hAnsi="Arial" w:cs="Arial"/>
          <w:bCs/>
          <w:sz w:val="24"/>
          <w:szCs w:val="24"/>
        </w:rPr>
      </w:pPr>
      <w:r>
        <w:rPr>
          <w:rFonts w:ascii="Arial" w:hAnsi="Arial" w:cs="Arial"/>
          <w:bCs/>
          <w:sz w:val="24"/>
          <w:szCs w:val="24"/>
        </w:rPr>
        <w:t>considers a recommendation that all children and young people entering criminal justice systems have a full health and disability assessment, and can access NDIS supports on leaving systems where eligible</w:t>
      </w:r>
    </w:p>
    <w:p w14:paraId="7746DC9B" w14:textId="404CD9B7" w:rsidR="00490A07" w:rsidRDefault="00490A07" w:rsidP="008E133B">
      <w:pPr>
        <w:pStyle w:val="ListParagraph"/>
        <w:numPr>
          <w:ilvl w:val="0"/>
          <w:numId w:val="36"/>
        </w:numPr>
        <w:spacing w:before="240" w:after="120" w:line="276" w:lineRule="auto"/>
        <w:rPr>
          <w:rFonts w:ascii="Arial" w:hAnsi="Arial" w:cs="Arial"/>
          <w:bCs/>
          <w:sz w:val="24"/>
          <w:szCs w:val="24"/>
        </w:rPr>
      </w:pPr>
      <w:r>
        <w:rPr>
          <w:rFonts w:ascii="Arial" w:hAnsi="Arial" w:cs="Arial"/>
          <w:bCs/>
          <w:sz w:val="24"/>
          <w:szCs w:val="24"/>
        </w:rPr>
        <w:t>undertakes proactive national outreach with children and young people with disability in youth detention</w:t>
      </w:r>
    </w:p>
    <w:p w14:paraId="748A17D2" w14:textId="4D9FE9DB" w:rsidR="00490A07" w:rsidRDefault="00490A07" w:rsidP="00490A07">
      <w:pPr>
        <w:pStyle w:val="ListParagraph"/>
        <w:numPr>
          <w:ilvl w:val="0"/>
          <w:numId w:val="36"/>
        </w:numPr>
        <w:spacing w:before="240" w:after="120" w:line="276" w:lineRule="auto"/>
        <w:rPr>
          <w:rFonts w:ascii="Arial" w:hAnsi="Arial" w:cs="Arial"/>
          <w:bCs/>
          <w:sz w:val="24"/>
          <w:szCs w:val="24"/>
        </w:rPr>
      </w:pPr>
      <w:r>
        <w:rPr>
          <w:rFonts w:ascii="Arial" w:hAnsi="Arial" w:cs="Arial"/>
          <w:bCs/>
          <w:sz w:val="24"/>
          <w:szCs w:val="24"/>
        </w:rPr>
        <w:t xml:space="preserve">works with Children’s Commissioners, Guardians, Advocates, and other relevant parties to ensure outreach is undertaken independently of service providers </w:t>
      </w:r>
    </w:p>
    <w:p w14:paraId="6E66BF53" w14:textId="4ECC65B0" w:rsidR="00E86774" w:rsidRPr="00264FCF" w:rsidRDefault="00490A07">
      <w:pPr>
        <w:pStyle w:val="ListParagraph"/>
        <w:numPr>
          <w:ilvl w:val="0"/>
          <w:numId w:val="36"/>
        </w:numPr>
        <w:spacing w:before="240" w:after="120" w:line="276" w:lineRule="auto"/>
      </w:pPr>
      <w:r>
        <w:rPr>
          <w:rFonts w:ascii="Arial" w:hAnsi="Arial" w:cs="Arial"/>
          <w:bCs/>
          <w:sz w:val="24"/>
          <w:szCs w:val="24"/>
        </w:rPr>
        <w:t>considers previous reports and recommendations into improving outcomes for children and young people with disability in contact with criminal justice systems</w:t>
      </w:r>
      <w:r w:rsidR="00007015">
        <w:t>.</w:t>
      </w:r>
    </w:p>
    <w:p w14:paraId="43011112" w14:textId="7161446B" w:rsidR="00FA2C10" w:rsidRPr="00C67C33" w:rsidRDefault="00AA5792" w:rsidP="00C01045">
      <w:pPr>
        <w:rPr>
          <w:rFonts w:ascii="Arial" w:eastAsiaTheme="majorEastAsia" w:hAnsi="Arial" w:cs="Arial"/>
          <w:color w:val="538135" w:themeColor="accent6" w:themeShade="BF"/>
          <w:sz w:val="32"/>
          <w:szCs w:val="32"/>
        </w:rPr>
      </w:pPr>
      <w:r w:rsidRPr="00C67C33">
        <w:rPr>
          <w:rFonts w:ascii="Arial" w:eastAsiaTheme="majorEastAsia" w:hAnsi="Arial" w:cs="Arial"/>
          <w:color w:val="538135" w:themeColor="accent6" w:themeShade="BF"/>
          <w:sz w:val="32"/>
          <w:szCs w:val="32"/>
        </w:rPr>
        <w:br w:type="page"/>
      </w:r>
    </w:p>
    <w:p w14:paraId="4BB1B37B" w14:textId="5F2F97DD" w:rsidR="005A7507" w:rsidRDefault="00F76F1A" w:rsidP="007A4421">
      <w:pPr>
        <w:pStyle w:val="Heading1"/>
        <w:spacing w:after="240"/>
        <w:rPr>
          <w:rFonts w:cs="Arial"/>
        </w:rPr>
      </w:pPr>
      <w:bookmarkStart w:id="2" w:name="_Toc49719187"/>
      <w:r>
        <w:rPr>
          <w:rFonts w:cs="Arial"/>
        </w:rPr>
        <w:lastRenderedPageBreak/>
        <w:t>Improving outcomes</w:t>
      </w:r>
      <w:r w:rsidR="00490A07">
        <w:rPr>
          <w:rFonts w:cs="Arial"/>
        </w:rPr>
        <w:t>: better data, appropriate support, and early intervention</w:t>
      </w:r>
      <w:bookmarkEnd w:id="2"/>
    </w:p>
    <w:p w14:paraId="3DE66CA3" w14:textId="6576C508" w:rsidR="00F76F1A" w:rsidRDefault="00490A07" w:rsidP="00490A07">
      <w:pPr>
        <w:spacing w:before="240" w:after="120" w:line="276" w:lineRule="auto"/>
        <w:rPr>
          <w:rFonts w:ascii="Arial" w:hAnsi="Arial" w:cs="Arial"/>
          <w:bCs/>
          <w:sz w:val="24"/>
          <w:szCs w:val="24"/>
        </w:rPr>
      </w:pPr>
      <w:r>
        <w:rPr>
          <w:rFonts w:ascii="Arial" w:hAnsi="Arial" w:cs="Arial"/>
          <w:bCs/>
          <w:sz w:val="24"/>
          <w:szCs w:val="24"/>
        </w:rPr>
        <w:t>Significant work has been undertaken to examine conditions and improve outcomes for children and young people in contact with criminal justice systems</w:t>
      </w:r>
      <w:r w:rsidRPr="00490A07">
        <w:rPr>
          <w:rFonts w:ascii="Arial" w:hAnsi="Arial" w:cs="Arial"/>
          <w:bCs/>
          <w:sz w:val="24"/>
          <w:szCs w:val="24"/>
        </w:rPr>
        <w:t xml:space="preserve"> </w:t>
      </w:r>
      <w:r>
        <w:rPr>
          <w:rFonts w:ascii="Arial" w:hAnsi="Arial" w:cs="Arial"/>
          <w:bCs/>
          <w:sz w:val="24"/>
          <w:szCs w:val="24"/>
        </w:rPr>
        <w:t>across Australia</w:t>
      </w:r>
      <w:r w:rsidR="000F29B1">
        <w:rPr>
          <w:rFonts w:ascii="Arial" w:hAnsi="Arial" w:cs="Arial"/>
          <w:bCs/>
          <w:sz w:val="24"/>
          <w:szCs w:val="24"/>
        </w:rPr>
        <w:t>, including a recent Royal Commission</w:t>
      </w:r>
      <w:r w:rsidR="000F29B1">
        <w:rPr>
          <w:rStyle w:val="FootnoteReference"/>
          <w:rFonts w:ascii="Arial" w:hAnsi="Arial" w:cs="Arial"/>
          <w:bCs/>
          <w:sz w:val="24"/>
          <w:szCs w:val="24"/>
        </w:rPr>
        <w:footnoteReference w:id="1"/>
      </w:r>
      <w:r w:rsidR="000F29B1">
        <w:rPr>
          <w:rFonts w:ascii="Arial" w:hAnsi="Arial" w:cs="Arial"/>
          <w:bCs/>
          <w:sz w:val="24"/>
          <w:szCs w:val="24"/>
        </w:rPr>
        <w:t xml:space="preserve"> and numerous reviews and inquiries, as well as strong civil society campaigns</w:t>
      </w:r>
      <w:r>
        <w:rPr>
          <w:rFonts w:ascii="Arial" w:hAnsi="Arial" w:cs="Arial"/>
          <w:bCs/>
          <w:sz w:val="24"/>
          <w:szCs w:val="24"/>
        </w:rPr>
        <w:t>.</w:t>
      </w:r>
      <w:r w:rsidR="000F29B1">
        <w:rPr>
          <w:rStyle w:val="FootnoteReference"/>
          <w:rFonts w:ascii="Arial" w:hAnsi="Arial" w:cs="Arial"/>
          <w:bCs/>
          <w:sz w:val="24"/>
          <w:szCs w:val="24"/>
        </w:rPr>
        <w:footnoteReference w:id="2"/>
      </w:r>
      <w:r>
        <w:rPr>
          <w:rFonts w:ascii="Arial" w:hAnsi="Arial" w:cs="Arial"/>
          <w:bCs/>
          <w:sz w:val="24"/>
          <w:szCs w:val="24"/>
        </w:rPr>
        <w:t xml:space="preserve"> </w:t>
      </w:r>
      <w:r w:rsidR="00CA7577">
        <w:rPr>
          <w:rFonts w:ascii="Arial" w:hAnsi="Arial" w:cs="Arial"/>
          <w:bCs/>
          <w:sz w:val="24"/>
          <w:szCs w:val="24"/>
        </w:rPr>
        <w:t>However</w:t>
      </w:r>
      <w:r>
        <w:rPr>
          <w:rFonts w:ascii="Arial" w:hAnsi="Arial" w:cs="Arial"/>
          <w:bCs/>
          <w:sz w:val="24"/>
          <w:szCs w:val="24"/>
        </w:rPr>
        <w:t xml:space="preserve">, conditions remain </w:t>
      </w:r>
      <w:r w:rsidR="00CA7577">
        <w:rPr>
          <w:rFonts w:ascii="Arial" w:hAnsi="Arial" w:cs="Arial"/>
          <w:bCs/>
          <w:sz w:val="24"/>
          <w:szCs w:val="24"/>
        </w:rPr>
        <w:t>incredibly</w:t>
      </w:r>
      <w:r>
        <w:rPr>
          <w:rFonts w:ascii="Arial" w:hAnsi="Arial" w:cs="Arial"/>
          <w:bCs/>
          <w:sz w:val="24"/>
          <w:szCs w:val="24"/>
        </w:rPr>
        <w:t xml:space="preserve"> poor in many </w:t>
      </w:r>
      <w:r w:rsidRPr="00CD4C92">
        <w:rPr>
          <w:rFonts w:ascii="Arial" w:hAnsi="Arial" w:cs="Arial"/>
          <w:bCs/>
          <w:sz w:val="24"/>
          <w:szCs w:val="24"/>
        </w:rPr>
        <w:t>cases, and</w:t>
      </w:r>
      <w:r>
        <w:rPr>
          <w:rFonts w:ascii="Arial" w:hAnsi="Arial" w:cs="Arial"/>
          <w:bCs/>
          <w:sz w:val="24"/>
          <w:szCs w:val="24"/>
        </w:rPr>
        <w:t xml:space="preserve"> First Nations children and young people, and children and young people with disability, continue to be over-</w:t>
      </w:r>
      <w:r w:rsidRPr="00CD4C92">
        <w:rPr>
          <w:rFonts w:ascii="Arial" w:hAnsi="Arial" w:cs="Arial"/>
          <w:bCs/>
          <w:sz w:val="24"/>
          <w:szCs w:val="24"/>
        </w:rPr>
        <w:t>represented</w:t>
      </w:r>
      <w:r w:rsidR="00C36D6C">
        <w:rPr>
          <w:rFonts w:ascii="Arial" w:hAnsi="Arial" w:cs="Arial"/>
          <w:bCs/>
          <w:sz w:val="24"/>
          <w:szCs w:val="24"/>
        </w:rPr>
        <w:t xml:space="preserve"> in these systems</w:t>
      </w:r>
      <w:r w:rsidRPr="00CD4C92">
        <w:rPr>
          <w:rFonts w:ascii="Arial" w:hAnsi="Arial" w:cs="Arial"/>
          <w:bCs/>
          <w:sz w:val="24"/>
          <w:szCs w:val="24"/>
        </w:rPr>
        <w:t>.</w:t>
      </w:r>
    </w:p>
    <w:p w14:paraId="556D7939" w14:textId="47A46367" w:rsidR="00523A3B" w:rsidRDefault="00523A3B" w:rsidP="00490A07">
      <w:pPr>
        <w:spacing w:before="240" w:after="120" w:line="276" w:lineRule="auto"/>
        <w:rPr>
          <w:rFonts w:ascii="Arial" w:hAnsi="Arial" w:cs="Arial"/>
          <w:bCs/>
          <w:sz w:val="24"/>
          <w:szCs w:val="24"/>
        </w:rPr>
      </w:pPr>
      <w:r>
        <w:rPr>
          <w:rFonts w:ascii="Arial" w:hAnsi="Arial" w:cs="Arial"/>
          <w:bCs/>
          <w:sz w:val="24"/>
          <w:szCs w:val="24"/>
        </w:rPr>
        <w:t xml:space="preserve">The </w:t>
      </w:r>
      <w:r w:rsidRPr="00523A3B">
        <w:rPr>
          <w:rFonts w:ascii="Arial" w:hAnsi="Arial" w:cs="Arial"/>
          <w:bCs/>
          <w:sz w:val="24"/>
          <w:szCs w:val="24"/>
        </w:rPr>
        <w:t>Committee on the Rights of Persons with Disabilities</w:t>
      </w:r>
      <w:r>
        <w:rPr>
          <w:rFonts w:ascii="Arial" w:hAnsi="Arial" w:cs="Arial"/>
          <w:bCs/>
          <w:sz w:val="24"/>
          <w:szCs w:val="24"/>
        </w:rPr>
        <w:t>, in its c</w:t>
      </w:r>
      <w:r w:rsidRPr="00523A3B">
        <w:rPr>
          <w:rFonts w:ascii="Arial" w:hAnsi="Arial" w:cs="Arial"/>
          <w:bCs/>
          <w:sz w:val="24"/>
          <w:szCs w:val="24"/>
        </w:rPr>
        <w:t>oncluding observations on the combined second and third periodic reports of Australia</w:t>
      </w:r>
      <w:r>
        <w:rPr>
          <w:rFonts w:ascii="Arial" w:hAnsi="Arial" w:cs="Arial"/>
          <w:bCs/>
          <w:sz w:val="24"/>
          <w:szCs w:val="24"/>
        </w:rPr>
        <w:t>, noted its concern about “</w:t>
      </w:r>
      <w:r w:rsidRPr="00523A3B">
        <w:rPr>
          <w:rFonts w:ascii="Arial" w:hAnsi="Arial" w:cs="Arial"/>
          <w:bCs/>
          <w:sz w:val="24"/>
          <w:szCs w:val="24"/>
        </w:rPr>
        <w:t>overrepresentation of convicted young persons with disabilities in the youth justice system, especially male youth from Aboriginal and Torres Strait Islander communities</w:t>
      </w:r>
      <w:r>
        <w:rPr>
          <w:rFonts w:ascii="Arial" w:hAnsi="Arial" w:cs="Arial"/>
          <w:bCs/>
          <w:sz w:val="24"/>
          <w:szCs w:val="24"/>
        </w:rPr>
        <w:t>.”</w:t>
      </w:r>
      <w:r>
        <w:rPr>
          <w:rStyle w:val="FootnoteReference"/>
          <w:rFonts w:ascii="Arial" w:hAnsi="Arial" w:cs="Arial"/>
          <w:bCs/>
          <w:sz w:val="24"/>
          <w:szCs w:val="24"/>
        </w:rPr>
        <w:footnoteReference w:id="3"/>
      </w:r>
    </w:p>
    <w:p w14:paraId="4798B466" w14:textId="4BA43C49" w:rsidR="00490A07" w:rsidRPr="00490A07" w:rsidRDefault="00490A07" w:rsidP="00490A07">
      <w:pPr>
        <w:spacing w:before="240" w:after="120" w:line="276" w:lineRule="auto"/>
        <w:rPr>
          <w:rFonts w:ascii="Arial" w:hAnsi="Arial" w:cs="Arial"/>
          <w:bCs/>
          <w:sz w:val="24"/>
          <w:szCs w:val="24"/>
        </w:rPr>
      </w:pPr>
      <w:r>
        <w:rPr>
          <w:rFonts w:ascii="Arial" w:hAnsi="Arial" w:cs="Arial"/>
          <w:bCs/>
          <w:sz w:val="24"/>
          <w:szCs w:val="24"/>
        </w:rPr>
        <w:t xml:space="preserve">Data about the number of children and young people </w:t>
      </w:r>
      <w:r w:rsidR="00580ECA">
        <w:rPr>
          <w:rFonts w:ascii="Arial" w:hAnsi="Arial" w:cs="Arial"/>
          <w:bCs/>
          <w:sz w:val="24"/>
          <w:szCs w:val="24"/>
        </w:rPr>
        <w:t xml:space="preserve">with disability </w:t>
      </w:r>
      <w:r>
        <w:rPr>
          <w:rFonts w:ascii="Arial" w:hAnsi="Arial" w:cs="Arial"/>
          <w:bCs/>
          <w:sz w:val="24"/>
          <w:szCs w:val="24"/>
        </w:rPr>
        <w:t>within youth justice systems, the support they receive, and their outcomes, are limited, but</w:t>
      </w:r>
      <w:r w:rsidR="00580ECA">
        <w:rPr>
          <w:rFonts w:ascii="Arial" w:hAnsi="Arial" w:cs="Arial"/>
          <w:bCs/>
          <w:sz w:val="24"/>
          <w:szCs w:val="24"/>
        </w:rPr>
        <w:t xml:space="preserve"> what is available</w:t>
      </w:r>
      <w:r>
        <w:rPr>
          <w:rFonts w:ascii="Arial" w:hAnsi="Arial" w:cs="Arial"/>
          <w:bCs/>
          <w:sz w:val="24"/>
          <w:szCs w:val="24"/>
        </w:rPr>
        <w:t xml:space="preserve"> indicate</w:t>
      </w:r>
      <w:r w:rsidR="00580ECA">
        <w:rPr>
          <w:rFonts w:ascii="Arial" w:hAnsi="Arial" w:cs="Arial"/>
          <w:bCs/>
          <w:sz w:val="24"/>
          <w:szCs w:val="24"/>
        </w:rPr>
        <w:t>s</w:t>
      </w:r>
      <w:r>
        <w:rPr>
          <w:rFonts w:ascii="Arial" w:hAnsi="Arial" w:cs="Arial"/>
          <w:bCs/>
          <w:sz w:val="24"/>
          <w:szCs w:val="24"/>
        </w:rPr>
        <w:t xml:space="preserve"> that a significant majority of detainees have one or more disability. </w:t>
      </w:r>
      <w:r w:rsidR="00580ECA">
        <w:rPr>
          <w:rFonts w:ascii="Arial" w:hAnsi="Arial" w:cs="Arial"/>
          <w:bCs/>
          <w:sz w:val="24"/>
          <w:szCs w:val="24"/>
        </w:rPr>
        <w:t>A</w:t>
      </w:r>
      <w:r>
        <w:rPr>
          <w:rFonts w:ascii="Arial" w:hAnsi="Arial" w:cs="Arial"/>
          <w:bCs/>
          <w:sz w:val="24"/>
          <w:szCs w:val="24"/>
        </w:rPr>
        <w:t xml:space="preserve"> recent report by the South Australian Training Centre Visitor found that, in a sample of detainees in a youth training centre, nine of 10 young people had disability-related needs. This is the clearest data we have on disability prevalence as the relevant government </w:t>
      </w:r>
      <w:r w:rsidRPr="00490A07">
        <w:rPr>
          <w:rFonts w:ascii="Arial" w:hAnsi="Arial" w:cs="Arial"/>
          <w:bCs/>
          <w:sz w:val="24"/>
          <w:szCs w:val="24"/>
        </w:rPr>
        <w:t>department “has advised</w:t>
      </w:r>
      <w:r w:rsidR="00580ECA">
        <w:rPr>
          <w:rFonts w:ascii="Arial" w:hAnsi="Arial" w:cs="Arial"/>
          <w:bCs/>
          <w:sz w:val="24"/>
          <w:szCs w:val="24"/>
        </w:rPr>
        <w:t xml:space="preserve"> [the Training Centre Visitor]</w:t>
      </w:r>
      <w:r w:rsidRPr="00490A07">
        <w:rPr>
          <w:rFonts w:ascii="Arial" w:hAnsi="Arial" w:cs="Arial"/>
          <w:bCs/>
          <w:sz w:val="24"/>
          <w:szCs w:val="24"/>
        </w:rPr>
        <w:t xml:space="preserve"> that it is unable to collect data about disability.”</w:t>
      </w:r>
      <w:r w:rsidRPr="00490A07">
        <w:rPr>
          <w:rStyle w:val="FootnoteReference"/>
          <w:rFonts w:ascii="Arial" w:hAnsi="Arial" w:cs="Arial"/>
          <w:bCs/>
          <w:sz w:val="24"/>
          <w:szCs w:val="24"/>
        </w:rPr>
        <w:footnoteReference w:id="4"/>
      </w:r>
      <w:r w:rsidR="008E133B">
        <w:rPr>
          <w:rFonts w:ascii="Arial" w:hAnsi="Arial" w:cs="Arial"/>
          <w:bCs/>
          <w:sz w:val="24"/>
          <w:szCs w:val="24"/>
        </w:rPr>
        <w:t xml:space="preserve"> Similarly, 89 per cent of young people detained in Western Australia’s youth detention facility were found to have at least one “severe neurodevelopmental impairment.”</w:t>
      </w:r>
      <w:r w:rsidR="008E133B">
        <w:rPr>
          <w:rStyle w:val="FootnoteReference"/>
          <w:rFonts w:ascii="Arial" w:hAnsi="Arial" w:cs="Arial"/>
          <w:bCs/>
          <w:sz w:val="24"/>
          <w:szCs w:val="24"/>
        </w:rPr>
        <w:footnoteReference w:id="5"/>
      </w:r>
      <w:r w:rsidR="008E133B">
        <w:rPr>
          <w:rFonts w:ascii="Arial" w:hAnsi="Arial" w:cs="Arial"/>
          <w:bCs/>
          <w:sz w:val="24"/>
          <w:szCs w:val="24"/>
        </w:rPr>
        <w:t xml:space="preserve"> </w:t>
      </w:r>
    </w:p>
    <w:p w14:paraId="5DB6CA0E" w14:textId="2ABE2AAB" w:rsidR="00490A07" w:rsidRPr="00490A07" w:rsidRDefault="00490A07" w:rsidP="00490A07">
      <w:pPr>
        <w:spacing w:before="240" w:after="120" w:line="276" w:lineRule="auto"/>
        <w:rPr>
          <w:rFonts w:ascii="Arial" w:hAnsi="Arial" w:cs="Arial"/>
          <w:bCs/>
          <w:sz w:val="24"/>
          <w:szCs w:val="24"/>
        </w:rPr>
      </w:pPr>
      <w:r w:rsidRPr="00490A07">
        <w:rPr>
          <w:rFonts w:ascii="Arial" w:hAnsi="Arial" w:cs="Arial"/>
          <w:bCs/>
          <w:sz w:val="24"/>
          <w:szCs w:val="24"/>
        </w:rPr>
        <w:t xml:space="preserve">In many cases, broader data examining youth justice and youth detention populations also omits disability indicators. A word search of the most recent youth justice publications from the Australian Institute for Health and Welfare, </w:t>
      </w:r>
      <w:r w:rsidRPr="00490A07">
        <w:rPr>
          <w:rFonts w:ascii="Arial" w:hAnsi="Arial" w:cs="Arial"/>
          <w:bCs/>
          <w:i/>
          <w:iCs/>
          <w:sz w:val="24"/>
          <w:szCs w:val="24"/>
        </w:rPr>
        <w:t>Youth Justice in Australia 2018–19</w:t>
      </w:r>
      <w:r w:rsidRPr="00490A07">
        <w:rPr>
          <w:rStyle w:val="FootnoteReference"/>
          <w:rFonts w:ascii="Arial" w:hAnsi="Arial" w:cs="Arial"/>
          <w:bCs/>
          <w:sz w:val="24"/>
          <w:szCs w:val="24"/>
        </w:rPr>
        <w:footnoteReference w:id="6"/>
      </w:r>
      <w:r w:rsidRPr="00490A07">
        <w:rPr>
          <w:rFonts w:ascii="Arial" w:hAnsi="Arial" w:cs="Arial"/>
          <w:bCs/>
          <w:i/>
          <w:iCs/>
          <w:sz w:val="24"/>
          <w:szCs w:val="24"/>
        </w:rPr>
        <w:t xml:space="preserve"> </w:t>
      </w:r>
      <w:r w:rsidRPr="00490A07">
        <w:rPr>
          <w:rFonts w:ascii="Arial" w:hAnsi="Arial" w:cs="Arial"/>
          <w:bCs/>
          <w:sz w:val="24"/>
          <w:szCs w:val="24"/>
        </w:rPr>
        <w:t xml:space="preserve">and </w:t>
      </w:r>
      <w:r w:rsidRPr="00490A07">
        <w:rPr>
          <w:rFonts w:ascii="Arial" w:hAnsi="Arial" w:cs="Arial"/>
          <w:i/>
          <w:iCs/>
          <w:sz w:val="24"/>
          <w:szCs w:val="24"/>
        </w:rPr>
        <w:t>Youth detention population in Australia 2019</w:t>
      </w:r>
      <w:r w:rsidRPr="00490A07">
        <w:rPr>
          <w:rStyle w:val="FootnoteReference"/>
          <w:rFonts w:ascii="Arial" w:hAnsi="Arial" w:cs="Arial"/>
          <w:bCs/>
          <w:sz w:val="24"/>
          <w:szCs w:val="24"/>
        </w:rPr>
        <w:footnoteReference w:id="7"/>
      </w:r>
      <w:r w:rsidRPr="00490A07">
        <w:rPr>
          <w:rFonts w:ascii="Arial" w:hAnsi="Arial" w:cs="Arial"/>
          <w:i/>
          <w:iCs/>
          <w:sz w:val="24"/>
          <w:szCs w:val="24"/>
        </w:rPr>
        <w:t xml:space="preserve"> </w:t>
      </w:r>
      <w:r w:rsidRPr="00490A07">
        <w:rPr>
          <w:rFonts w:ascii="Arial" w:hAnsi="Arial" w:cs="Arial"/>
          <w:sz w:val="24"/>
          <w:szCs w:val="24"/>
        </w:rPr>
        <w:t>finds zero mention of either ‘disability’ or ‘disabilities.’</w:t>
      </w:r>
    </w:p>
    <w:p w14:paraId="484D7D9A" w14:textId="0DE635AB" w:rsidR="00490A07" w:rsidRPr="00490A07" w:rsidRDefault="00490A07" w:rsidP="00490A07">
      <w:pPr>
        <w:spacing w:before="240" w:after="120" w:line="276" w:lineRule="auto"/>
        <w:rPr>
          <w:rFonts w:ascii="Arial" w:hAnsi="Arial" w:cs="Arial"/>
          <w:bCs/>
          <w:sz w:val="24"/>
          <w:szCs w:val="24"/>
        </w:rPr>
      </w:pPr>
      <w:r w:rsidRPr="00490A07">
        <w:rPr>
          <w:rFonts w:ascii="Arial" w:hAnsi="Arial" w:cs="Arial"/>
          <w:bCs/>
          <w:sz w:val="24"/>
          <w:szCs w:val="24"/>
        </w:rPr>
        <w:lastRenderedPageBreak/>
        <w:t>Once children and young people with disability have entered the criminal justice system, the support they can access is generally limited and the approach to support provision is inconsistent. As the South Australian report note</w:t>
      </w:r>
      <w:r>
        <w:rPr>
          <w:rFonts w:ascii="Arial" w:hAnsi="Arial" w:cs="Arial"/>
          <w:bCs/>
          <w:sz w:val="24"/>
          <w:szCs w:val="24"/>
        </w:rPr>
        <w:t>d</w:t>
      </w:r>
      <w:r w:rsidRPr="00490A07">
        <w:rPr>
          <w:rFonts w:ascii="Arial" w:hAnsi="Arial" w:cs="Arial"/>
          <w:bCs/>
          <w:sz w:val="24"/>
          <w:szCs w:val="24"/>
        </w:rPr>
        <w:t>, “this inability [to collect data about detainees’ disability] suggests a limited systemic capacity to understand and diagnose, let alone provide for, the range of needs of children and young people in detention who have a diagnosed or undiagnosed disability. It also limits understanding of factors applicable to specific populations and the ability to respond appropriately to those needs (e.g., by providing specialist disability training to staff).”</w:t>
      </w:r>
      <w:r w:rsidRPr="00490A07">
        <w:rPr>
          <w:rStyle w:val="FootnoteReference"/>
          <w:rFonts w:ascii="Arial" w:hAnsi="Arial" w:cs="Arial"/>
          <w:bCs/>
          <w:sz w:val="24"/>
          <w:szCs w:val="24"/>
        </w:rPr>
        <w:footnoteReference w:id="8"/>
      </w:r>
    </w:p>
    <w:p w14:paraId="5FD860E6" w14:textId="46DD107F" w:rsidR="00490A07" w:rsidRDefault="00490A07" w:rsidP="00490A07">
      <w:pPr>
        <w:spacing w:before="240" w:after="120" w:line="276" w:lineRule="auto"/>
        <w:rPr>
          <w:rFonts w:ascii="Arial" w:hAnsi="Arial" w:cs="Arial"/>
          <w:bCs/>
          <w:sz w:val="24"/>
          <w:szCs w:val="24"/>
        </w:rPr>
      </w:pPr>
      <w:r>
        <w:rPr>
          <w:rFonts w:ascii="Arial" w:hAnsi="Arial" w:cs="Arial"/>
          <w:bCs/>
          <w:sz w:val="24"/>
          <w:szCs w:val="24"/>
        </w:rPr>
        <w:t>A 2017 review of Victoria’s youth justice system found that, unlike for adults, detained children and young people with psychosocial disability do not have access to designated mental health supports, and staff have “few skills and limited training in this area” despite the high prevalence of mental ill-health.</w:t>
      </w:r>
      <w:r>
        <w:rPr>
          <w:rStyle w:val="FootnoteReference"/>
          <w:rFonts w:ascii="Arial" w:hAnsi="Arial" w:cs="Arial"/>
          <w:bCs/>
          <w:sz w:val="24"/>
          <w:szCs w:val="24"/>
        </w:rPr>
        <w:footnoteReference w:id="9"/>
      </w:r>
    </w:p>
    <w:p w14:paraId="1E5DC369" w14:textId="29CEC516" w:rsidR="00F76F1A" w:rsidRDefault="00C36D6C" w:rsidP="00C36D6C">
      <w:pPr>
        <w:spacing w:before="240" w:after="120" w:line="276" w:lineRule="auto"/>
        <w:rPr>
          <w:rFonts w:ascii="Arial" w:hAnsi="Arial" w:cs="Arial"/>
          <w:bCs/>
          <w:sz w:val="24"/>
          <w:szCs w:val="24"/>
        </w:rPr>
      </w:pPr>
      <w:r>
        <w:rPr>
          <w:rFonts w:ascii="Arial" w:hAnsi="Arial" w:cs="Arial"/>
          <w:bCs/>
          <w:sz w:val="24"/>
          <w:szCs w:val="24"/>
        </w:rPr>
        <w:t xml:space="preserve">As well as a lack of appropriate disability-support, evidence shows </w:t>
      </w:r>
      <w:r w:rsidR="00F76F1A">
        <w:rPr>
          <w:rFonts w:ascii="Arial" w:hAnsi="Arial" w:cs="Arial"/>
          <w:bCs/>
          <w:sz w:val="24"/>
          <w:szCs w:val="24"/>
        </w:rPr>
        <w:t xml:space="preserve">significant and </w:t>
      </w:r>
      <w:r>
        <w:rPr>
          <w:rFonts w:ascii="Arial" w:hAnsi="Arial" w:cs="Arial"/>
          <w:bCs/>
          <w:sz w:val="24"/>
          <w:szCs w:val="24"/>
        </w:rPr>
        <w:t>ongoing maltreatment of young people in detention centres. This includes the use of restraints and other restrictive practices to control young people, as well as the deliberate use of violence, abuse and neglect.</w:t>
      </w:r>
      <w:r w:rsidR="00320F45">
        <w:rPr>
          <w:rStyle w:val="FootnoteReference"/>
          <w:rFonts w:ascii="Arial" w:hAnsi="Arial" w:cs="Arial"/>
          <w:bCs/>
          <w:sz w:val="24"/>
          <w:szCs w:val="24"/>
        </w:rPr>
        <w:footnoteReference w:id="10"/>
      </w:r>
    </w:p>
    <w:p w14:paraId="16E6FE9A" w14:textId="09A6892D" w:rsidR="00C36D6C" w:rsidRDefault="00F76F1A" w:rsidP="00C36D6C">
      <w:pPr>
        <w:spacing w:before="240" w:after="120" w:line="276" w:lineRule="auto"/>
        <w:rPr>
          <w:rFonts w:ascii="Arial" w:hAnsi="Arial" w:cs="Arial"/>
          <w:bCs/>
          <w:sz w:val="24"/>
          <w:szCs w:val="24"/>
        </w:rPr>
      </w:pPr>
      <w:r>
        <w:rPr>
          <w:rFonts w:ascii="Arial" w:hAnsi="Arial" w:cs="Arial"/>
          <w:bCs/>
          <w:sz w:val="24"/>
          <w:szCs w:val="24"/>
        </w:rPr>
        <w:t>T</w:t>
      </w:r>
      <w:r w:rsidR="00C36D6C">
        <w:rPr>
          <w:rFonts w:ascii="Arial" w:hAnsi="Arial" w:cs="Arial"/>
          <w:bCs/>
          <w:sz w:val="24"/>
          <w:szCs w:val="24"/>
        </w:rPr>
        <w:t>he Royal Commission into the Protection and Detention of Children in the Northern Territory found that “</w:t>
      </w:r>
      <w:r w:rsidR="00C36D6C" w:rsidRPr="00C36D6C">
        <w:rPr>
          <w:rFonts w:ascii="Arial" w:hAnsi="Arial" w:cs="Arial"/>
          <w:bCs/>
          <w:sz w:val="24"/>
          <w:szCs w:val="24"/>
        </w:rPr>
        <w:t>youth detention centres were not fit for accommodating, let alone rehabilitating, children and young people</w:t>
      </w:r>
      <w:r w:rsidR="00580ECA">
        <w:rPr>
          <w:rFonts w:ascii="Arial" w:hAnsi="Arial" w:cs="Arial"/>
          <w:bCs/>
          <w:sz w:val="24"/>
          <w:szCs w:val="24"/>
        </w:rPr>
        <w:t>”</w:t>
      </w:r>
      <w:r w:rsidR="00C36D6C">
        <w:rPr>
          <w:rFonts w:ascii="Arial" w:hAnsi="Arial" w:cs="Arial"/>
          <w:bCs/>
          <w:sz w:val="24"/>
          <w:szCs w:val="24"/>
        </w:rPr>
        <w:t xml:space="preserve"> and that “</w:t>
      </w:r>
      <w:r w:rsidR="00C36D6C" w:rsidRPr="00C36D6C">
        <w:rPr>
          <w:rFonts w:ascii="Arial" w:hAnsi="Arial" w:cs="Arial"/>
          <w:bCs/>
          <w:sz w:val="24"/>
          <w:szCs w:val="24"/>
        </w:rPr>
        <w:t>children were subject to verbal abuse, physical control and humiliation, including being denied access to basic</w:t>
      </w:r>
      <w:r w:rsidR="00C36D6C">
        <w:rPr>
          <w:rFonts w:ascii="Arial" w:hAnsi="Arial" w:cs="Arial"/>
          <w:bCs/>
          <w:sz w:val="24"/>
          <w:szCs w:val="24"/>
        </w:rPr>
        <w:t xml:space="preserve"> </w:t>
      </w:r>
      <w:r w:rsidR="00C36D6C" w:rsidRPr="00C36D6C">
        <w:rPr>
          <w:rFonts w:ascii="Arial" w:hAnsi="Arial" w:cs="Arial"/>
          <w:bCs/>
          <w:sz w:val="24"/>
          <w:szCs w:val="24"/>
        </w:rPr>
        <w:t>human needs such as water, food and the use of toilets</w:t>
      </w:r>
      <w:r w:rsidR="00C36D6C">
        <w:rPr>
          <w:rFonts w:ascii="Arial" w:hAnsi="Arial" w:cs="Arial"/>
          <w:bCs/>
          <w:sz w:val="24"/>
          <w:szCs w:val="24"/>
        </w:rPr>
        <w:t>.”</w:t>
      </w:r>
      <w:r>
        <w:rPr>
          <w:rStyle w:val="FootnoteReference"/>
          <w:rFonts w:ascii="Arial" w:hAnsi="Arial" w:cs="Arial"/>
          <w:bCs/>
          <w:sz w:val="24"/>
          <w:szCs w:val="24"/>
        </w:rPr>
        <w:footnoteReference w:id="11"/>
      </w:r>
    </w:p>
    <w:p w14:paraId="1899762E" w14:textId="36B9B8D2" w:rsidR="00490A07" w:rsidRDefault="00490A07" w:rsidP="00490A07">
      <w:pPr>
        <w:spacing w:before="240" w:after="0" w:line="280" w:lineRule="atLeast"/>
        <w:rPr>
          <w:rFonts w:ascii="Arial" w:hAnsi="Arial" w:cs="Arial"/>
          <w:bCs/>
          <w:sz w:val="24"/>
          <w:szCs w:val="24"/>
        </w:rPr>
      </w:pPr>
      <w:r>
        <w:rPr>
          <w:rFonts w:ascii="Arial" w:hAnsi="Arial" w:cs="Arial"/>
          <w:bCs/>
          <w:sz w:val="24"/>
          <w:szCs w:val="24"/>
        </w:rPr>
        <w:t xml:space="preserve">Assessment for disability-related or other needs is also inconsistent, with a legislated assessment approach recommended by the Victorian review. The review also recommended changes to ensure detention is used </w:t>
      </w:r>
      <w:r w:rsidR="00580ECA">
        <w:rPr>
          <w:rFonts w:ascii="Arial" w:hAnsi="Arial" w:cs="Arial"/>
          <w:bCs/>
          <w:sz w:val="24"/>
          <w:szCs w:val="24"/>
        </w:rPr>
        <w:t xml:space="preserve">only </w:t>
      </w:r>
      <w:r>
        <w:rPr>
          <w:rFonts w:ascii="Arial" w:hAnsi="Arial" w:cs="Arial"/>
          <w:bCs/>
          <w:sz w:val="24"/>
          <w:szCs w:val="24"/>
        </w:rPr>
        <w:t>as a last resort, and to improve the system’s ability to meet the needs of children and young people with disability, including greater coordination with disability services and the NDIS, and the introduction of specific disability support worker positions with a support and advocacy function.</w:t>
      </w:r>
    </w:p>
    <w:p w14:paraId="75E0FD5E" w14:textId="7CDC9610" w:rsidR="00490A07" w:rsidRPr="00490A07" w:rsidRDefault="00490A07" w:rsidP="00490A07">
      <w:pPr>
        <w:pStyle w:val="Quote"/>
        <w:rPr>
          <w:rFonts w:ascii="Arial" w:hAnsi="Arial" w:cs="Arial"/>
          <w:bCs/>
        </w:rPr>
      </w:pPr>
      <w:r w:rsidRPr="00490A07">
        <w:rPr>
          <w:rFonts w:ascii="Arial" w:hAnsi="Arial" w:cs="Arial"/>
        </w:rPr>
        <w:t>“The youth justice system should address a young person’s reasons for offending (i.e. criminogenic needs), it should link with disability, health, education, vocational and other supports that young people need, and it should address the community’s concerns about youth offending…</w:t>
      </w:r>
    </w:p>
    <w:p w14:paraId="0F08886A" w14:textId="2E004F09" w:rsidR="00490A07" w:rsidRDefault="00490A07" w:rsidP="00490A07">
      <w:pPr>
        <w:pStyle w:val="Quote"/>
        <w:rPr>
          <w:rFonts w:ascii="Arial" w:hAnsi="Arial" w:cs="Arial"/>
        </w:rPr>
      </w:pPr>
      <w:r w:rsidRPr="00490A07">
        <w:rPr>
          <w:rFonts w:ascii="Arial" w:hAnsi="Arial" w:cs="Arial"/>
        </w:rPr>
        <w:t xml:space="preserve">Interventions will need to be delivered appropriately, reflecting the cognitive abilities and communication skills of young people, and provided in a culturally </w:t>
      </w:r>
      <w:r w:rsidRPr="00490A07">
        <w:rPr>
          <w:rFonts w:ascii="Arial" w:hAnsi="Arial" w:cs="Arial"/>
        </w:rPr>
        <w:lastRenderedPageBreak/>
        <w:t>safe environment (especially for Koori young people). Interventions will need to be gender-appropriate and respect how young people interact and communicate.”</w:t>
      </w:r>
      <w:r w:rsidRPr="00490A07">
        <w:rPr>
          <w:rStyle w:val="FootnoteReference"/>
          <w:rFonts w:ascii="Arial" w:hAnsi="Arial" w:cs="Arial"/>
          <w:sz w:val="24"/>
          <w:szCs w:val="24"/>
        </w:rPr>
        <w:footnoteReference w:id="12"/>
      </w:r>
    </w:p>
    <w:p w14:paraId="64354CAC" w14:textId="7242719F" w:rsidR="00523A3B" w:rsidRDefault="00580ECA" w:rsidP="00490A07">
      <w:pPr>
        <w:spacing w:before="240" w:after="0" w:line="280" w:lineRule="atLeast"/>
        <w:rPr>
          <w:rFonts w:ascii="Arial" w:hAnsi="Arial" w:cs="Arial"/>
          <w:sz w:val="24"/>
          <w:szCs w:val="24"/>
        </w:rPr>
      </w:pPr>
      <w:r>
        <w:rPr>
          <w:rFonts w:ascii="Arial" w:hAnsi="Arial" w:cs="Arial"/>
          <w:sz w:val="24"/>
          <w:szCs w:val="24"/>
        </w:rPr>
        <w:t xml:space="preserve">In addition to examining the significant violence, abuse and neglect experienced by children and young people with disability within criminal justice systems, </w:t>
      </w:r>
      <w:r w:rsidR="00320F45">
        <w:rPr>
          <w:rFonts w:ascii="Arial" w:hAnsi="Arial" w:cs="Arial"/>
          <w:sz w:val="24"/>
          <w:szCs w:val="24"/>
        </w:rPr>
        <w:t xml:space="preserve">CYDA </w:t>
      </w:r>
      <w:r>
        <w:rPr>
          <w:rFonts w:ascii="Arial" w:hAnsi="Arial" w:cs="Arial"/>
          <w:sz w:val="24"/>
          <w:szCs w:val="24"/>
        </w:rPr>
        <w:t xml:space="preserve">also considers it relevant and important for the </w:t>
      </w:r>
      <w:r w:rsidR="00320F45">
        <w:rPr>
          <w:rFonts w:ascii="Arial" w:hAnsi="Arial" w:cs="Arial"/>
          <w:sz w:val="24"/>
          <w:szCs w:val="24"/>
        </w:rPr>
        <w:t xml:space="preserve">Commission to examine the broader issues of structural neglect that lead to the over-representation of children and young people with disability in </w:t>
      </w:r>
      <w:r>
        <w:rPr>
          <w:rFonts w:ascii="Arial" w:hAnsi="Arial" w:cs="Arial"/>
          <w:sz w:val="24"/>
          <w:szCs w:val="24"/>
        </w:rPr>
        <w:t>these</w:t>
      </w:r>
      <w:r w:rsidR="00320F45">
        <w:rPr>
          <w:rFonts w:ascii="Arial" w:hAnsi="Arial" w:cs="Arial"/>
          <w:sz w:val="24"/>
          <w:szCs w:val="24"/>
        </w:rPr>
        <w:t xml:space="preserve"> systems. </w:t>
      </w:r>
    </w:p>
    <w:p w14:paraId="5CE4CF1B" w14:textId="06F254DB" w:rsidR="00490A07" w:rsidRDefault="00320F45" w:rsidP="00490A07">
      <w:pPr>
        <w:spacing w:before="240" w:after="0" w:line="280" w:lineRule="atLeast"/>
        <w:rPr>
          <w:rFonts w:ascii="Arial" w:hAnsi="Arial" w:cs="Arial"/>
          <w:sz w:val="24"/>
          <w:szCs w:val="24"/>
        </w:rPr>
      </w:pPr>
      <w:r>
        <w:rPr>
          <w:rFonts w:ascii="Arial" w:hAnsi="Arial" w:cs="Arial"/>
          <w:sz w:val="24"/>
          <w:szCs w:val="24"/>
        </w:rPr>
        <w:t xml:space="preserve">From birth, most children </w:t>
      </w:r>
      <w:r w:rsidR="00523A3B">
        <w:rPr>
          <w:rFonts w:ascii="Arial" w:hAnsi="Arial" w:cs="Arial"/>
          <w:sz w:val="24"/>
          <w:szCs w:val="24"/>
        </w:rPr>
        <w:t>in Australia encounter</w:t>
      </w:r>
      <w:r>
        <w:rPr>
          <w:rFonts w:ascii="Arial" w:hAnsi="Arial" w:cs="Arial"/>
          <w:sz w:val="24"/>
          <w:szCs w:val="24"/>
        </w:rPr>
        <w:t xml:space="preserve"> a wide range of government and non-government services, including maternal and child health, preschool, school, health systems, and often other organisations and activities</w:t>
      </w:r>
      <w:r w:rsidR="00523A3B">
        <w:rPr>
          <w:rFonts w:ascii="Arial" w:hAnsi="Arial" w:cs="Arial"/>
          <w:sz w:val="24"/>
          <w:szCs w:val="24"/>
        </w:rPr>
        <w:t>; despite this, f</w:t>
      </w:r>
      <w:r>
        <w:rPr>
          <w:rFonts w:ascii="Arial" w:hAnsi="Arial" w:cs="Arial"/>
          <w:sz w:val="24"/>
          <w:szCs w:val="24"/>
        </w:rPr>
        <w:t>or many young people in the youth justice system, this is the first time they have been assessed and their disability-related needs have been identified.</w:t>
      </w:r>
      <w:r w:rsidR="00580ECA" w:rsidRPr="00580ECA">
        <w:rPr>
          <w:rFonts w:ascii="Arial" w:hAnsi="Arial" w:cs="Arial"/>
          <w:sz w:val="24"/>
          <w:szCs w:val="24"/>
        </w:rPr>
        <w:t xml:space="preserve"> </w:t>
      </w:r>
      <w:r w:rsidR="00580ECA">
        <w:rPr>
          <w:rFonts w:ascii="Arial" w:hAnsi="Arial" w:cs="Arial"/>
          <w:sz w:val="24"/>
          <w:szCs w:val="24"/>
        </w:rPr>
        <w:t>The links between the youth justice system and the child protection/out-of-home care systems are well-documented,</w:t>
      </w:r>
      <w:r w:rsidR="00580ECA">
        <w:rPr>
          <w:rStyle w:val="FootnoteReference"/>
          <w:rFonts w:ascii="Arial" w:hAnsi="Arial" w:cs="Arial"/>
          <w:sz w:val="24"/>
          <w:szCs w:val="24"/>
        </w:rPr>
        <w:footnoteReference w:id="13"/>
      </w:r>
      <w:r w:rsidR="00580ECA">
        <w:rPr>
          <w:rFonts w:ascii="Arial" w:hAnsi="Arial" w:cs="Arial"/>
          <w:sz w:val="24"/>
          <w:szCs w:val="24"/>
        </w:rPr>
        <w:t xml:space="preserve"> with disability over-represented </w:t>
      </w:r>
      <w:r w:rsidR="00757C67">
        <w:rPr>
          <w:rFonts w:ascii="Arial" w:hAnsi="Arial" w:cs="Arial"/>
          <w:sz w:val="24"/>
          <w:szCs w:val="24"/>
        </w:rPr>
        <w:t>in this system as well</w:t>
      </w:r>
      <w:r w:rsidR="00580ECA">
        <w:rPr>
          <w:rFonts w:ascii="Arial" w:hAnsi="Arial" w:cs="Arial"/>
          <w:sz w:val="24"/>
          <w:szCs w:val="24"/>
        </w:rPr>
        <w:t>.</w:t>
      </w:r>
    </w:p>
    <w:p w14:paraId="104C4B13" w14:textId="4E17AEF1" w:rsidR="00320F45" w:rsidRDefault="00320F45" w:rsidP="00490A07">
      <w:pPr>
        <w:spacing w:before="240" w:after="0" w:line="280" w:lineRule="atLeast"/>
        <w:rPr>
          <w:rFonts w:ascii="Arial" w:hAnsi="Arial" w:cs="Arial"/>
          <w:sz w:val="24"/>
          <w:szCs w:val="24"/>
        </w:rPr>
      </w:pPr>
      <w:r>
        <w:rPr>
          <w:rFonts w:ascii="Arial" w:hAnsi="Arial" w:cs="Arial"/>
          <w:sz w:val="24"/>
          <w:szCs w:val="24"/>
        </w:rPr>
        <w:t>Given the many systems these young people have been in contact with to this point, this raises serious concerns about the gaps in assessment and diagnosis for children and young people. It therefore also highlights significant lost opportunities for support and early intervention, both in terms of the young person’s disability-related needs, but also for broader needs, including any family-related supports that may be required.</w:t>
      </w:r>
    </w:p>
    <w:p w14:paraId="3C42A165" w14:textId="5E8F7A42" w:rsidR="008E133B" w:rsidRDefault="00757C67" w:rsidP="005929C7">
      <w:pPr>
        <w:spacing w:before="240" w:after="0" w:line="280" w:lineRule="atLeast"/>
        <w:rPr>
          <w:rFonts w:ascii="Arial" w:hAnsi="Arial" w:cs="Arial"/>
          <w:bCs/>
          <w:sz w:val="24"/>
          <w:szCs w:val="24"/>
        </w:rPr>
      </w:pPr>
      <w:r>
        <w:rPr>
          <w:rFonts w:ascii="Arial" w:hAnsi="Arial" w:cs="Arial"/>
          <w:sz w:val="24"/>
          <w:szCs w:val="24"/>
        </w:rPr>
        <w:t xml:space="preserve">The age of criminal responsibility continues to be a challenge in Australia. </w:t>
      </w:r>
      <w:r w:rsidR="00007015">
        <w:rPr>
          <w:rFonts w:ascii="Arial" w:hAnsi="Arial" w:cs="Arial"/>
          <w:bCs/>
          <w:sz w:val="24"/>
          <w:szCs w:val="24"/>
        </w:rPr>
        <w:t>Along with many community and rights-based organisations,</w:t>
      </w:r>
      <w:r w:rsidR="00007015">
        <w:rPr>
          <w:rStyle w:val="FootnoteReference"/>
          <w:rFonts w:ascii="Arial" w:hAnsi="Arial" w:cs="Arial"/>
          <w:bCs/>
          <w:sz w:val="24"/>
          <w:szCs w:val="24"/>
        </w:rPr>
        <w:footnoteReference w:id="14"/>
      </w:r>
      <w:r w:rsidR="00007015">
        <w:rPr>
          <w:rFonts w:ascii="Arial" w:hAnsi="Arial" w:cs="Arial"/>
          <w:bCs/>
          <w:sz w:val="24"/>
          <w:szCs w:val="24"/>
        </w:rPr>
        <w:t xml:space="preserve"> CYDA is concerned that the recent decision by Commonwealth and state/territory ministers to maintain the age of criminal responsibility at 10 years reflects a lack of willingness by governments to engage with, and act on, these issues to the degree required.</w:t>
      </w:r>
      <w:r w:rsidR="005929C7">
        <w:rPr>
          <w:rFonts w:ascii="Arial" w:hAnsi="Arial" w:cs="Arial"/>
          <w:bCs/>
          <w:sz w:val="24"/>
          <w:szCs w:val="24"/>
        </w:rPr>
        <w:t xml:space="preserve"> </w:t>
      </w:r>
      <w:r w:rsidR="007E2351">
        <w:rPr>
          <w:rFonts w:ascii="Arial" w:hAnsi="Arial" w:cs="Arial"/>
          <w:bCs/>
          <w:sz w:val="24"/>
          <w:szCs w:val="24"/>
        </w:rPr>
        <w:t xml:space="preserve">The </w:t>
      </w:r>
      <w:r w:rsidR="008E133B">
        <w:rPr>
          <w:rFonts w:ascii="Arial" w:hAnsi="Arial" w:cs="Arial"/>
          <w:bCs/>
          <w:sz w:val="24"/>
          <w:szCs w:val="24"/>
        </w:rPr>
        <w:t xml:space="preserve">medical </w:t>
      </w:r>
      <w:r w:rsidR="007E2351">
        <w:rPr>
          <w:rFonts w:ascii="Arial" w:hAnsi="Arial" w:cs="Arial"/>
          <w:bCs/>
          <w:sz w:val="24"/>
          <w:szCs w:val="24"/>
        </w:rPr>
        <w:t xml:space="preserve">evidence </w:t>
      </w:r>
      <w:r w:rsidR="008E133B">
        <w:rPr>
          <w:rFonts w:ascii="Arial" w:hAnsi="Arial" w:cs="Arial"/>
          <w:bCs/>
          <w:sz w:val="24"/>
          <w:szCs w:val="24"/>
        </w:rPr>
        <w:t>clearly indicates</w:t>
      </w:r>
      <w:r w:rsidR="007E2351">
        <w:rPr>
          <w:rFonts w:ascii="Arial" w:hAnsi="Arial" w:cs="Arial"/>
          <w:bCs/>
          <w:sz w:val="24"/>
          <w:szCs w:val="24"/>
        </w:rPr>
        <w:t xml:space="preserve"> </w:t>
      </w:r>
      <w:r w:rsidR="008E133B">
        <w:rPr>
          <w:rFonts w:ascii="Arial" w:hAnsi="Arial" w:cs="Arial"/>
          <w:bCs/>
          <w:sz w:val="24"/>
          <w:szCs w:val="24"/>
        </w:rPr>
        <w:t>holding 10 year old children criminally responsible for their actions is entirely inappropriate based on their neurodevelopment level, including impulse control and decision-making.</w:t>
      </w:r>
      <w:r w:rsidR="008E133B">
        <w:rPr>
          <w:rStyle w:val="FootnoteReference"/>
          <w:rFonts w:ascii="Arial" w:hAnsi="Arial" w:cs="Arial"/>
          <w:bCs/>
          <w:sz w:val="24"/>
          <w:szCs w:val="24"/>
        </w:rPr>
        <w:footnoteReference w:id="15"/>
      </w:r>
      <w:r w:rsidR="008E133B">
        <w:rPr>
          <w:rFonts w:ascii="Arial" w:hAnsi="Arial" w:cs="Arial"/>
          <w:bCs/>
          <w:sz w:val="24"/>
          <w:szCs w:val="24"/>
        </w:rPr>
        <w:t xml:space="preserve"> </w:t>
      </w:r>
    </w:p>
    <w:p w14:paraId="1A4ACEA0" w14:textId="1E2C0C14" w:rsidR="00007015" w:rsidRDefault="005929C7" w:rsidP="00D1210B">
      <w:pPr>
        <w:spacing w:before="240" w:after="0" w:line="280" w:lineRule="atLeast"/>
        <w:rPr>
          <w:rFonts w:ascii="Arial" w:hAnsi="Arial" w:cs="Arial"/>
          <w:bCs/>
          <w:sz w:val="24"/>
          <w:szCs w:val="24"/>
        </w:rPr>
      </w:pPr>
      <w:r>
        <w:rPr>
          <w:rFonts w:ascii="Arial" w:hAnsi="Arial" w:cs="Arial"/>
          <w:bCs/>
          <w:sz w:val="24"/>
          <w:szCs w:val="24"/>
        </w:rPr>
        <w:t>With its focus on human rights</w:t>
      </w:r>
      <w:r w:rsidR="008E133B">
        <w:rPr>
          <w:rFonts w:ascii="Arial" w:hAnsi="Arial" w:cs="Arial"/>
          <w:bCs/>
          <w:sz w:val="24"/>
          <w:szCs w:val="24"/>
        </w:rPr>
        <w:t xml:space="preserve"> and promoting a more inclusive society for all people with disability</w:t>
      </w:r>
      <w:r>
        <w:rPr>
          <w:rFonts w:ascii="Arial" w:hAnsi="Arial" w:cs="Arial"/>
          <w:bCs/>
          <w:sz w:val="24"/>
          <w:szCs w:val="24"/>
        </w:rPr>
        <w:t>, the Royal Commission provides a unique opportunity to examine these issues for children and young people with disability and provide strong recommendations to governments.</w:t>
      </w:r>
    </w:p>
    <w:p w14:paraId="61307023" w14:textId="77777777" w:rsidR="00007015" w:rsidRPr="00320F45" w:rsidRDefault="00007015" w:rsidP="00490A07">
      <w:pPr>
        <w:spacing w:before="240" w:after="0" w:line="280" w:lineRule="atLeast"/>
        <w:rPr>
          <w:rFonts w:ascii="Arial" w:hAnsi="Arial" w:cs="Arial"/>
          <w:sz w:val="24"/>
          <w:szCs w:val="24"/>
        </w:rPr>
      </w:pPr>
    </w:p>
    <w:sectPr w:rsidR="00007015" w:rsidRPr="00320F45" w:rsidSect="008F05AD">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94FBC" w14:textId="77777777" w:rsidR="00ED287B" w:rsidRDefault="00ED287B" w:rsidP="00705F1E">
      <w:pPr>
        <w:spacing w:after="0" w:line="240" w:lineRule="auto"/>
      </w:pPr>
      <w:r>
        <w:separator/>
      </w:r>
    </w:p>
  </w:endnote>
  <w:endnote w:type="continuationSeparator" w:id="0">
    <w:p w14:paraId="0306C0BC" w14:textId="77777777" w:rsidR="00ED287B" w:rsidRDefault="00ED287B" w:rsidP="0070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885F" w14:textId="77777777" w:rsidR="00A15525" w:rsidRDefault="00A15525" w:rsidP="0063415B">
    <w:pPr>
      <w:pStyle w:val="Footer"/>
      <w:jc w:val="center"/>
    </w:pPr>
    <w:r w:rsidRPr="006D5539">
      <w:rPr>
        <w:noProof/>
        <w:lang w:eastAsia="en-AU"/>
      </w:rPr>
      <w:drawing>
        <wp:anchor distT="0" distB="0" distL="114300" distR="114300" simplePos="0" relativeHeight="251660288" behindDoc="1" locked="0" layoutInCell="1" allowOverlap="1" wp14:anchorId="04AD56AE" wp14:editId="08E30C42">
          <wp:simplePos x="0" y="0"/>
          <wp:positionH relativeFrom="margin">
            <wp:align>right</wp:align>
          </wp:positionH>
          <wp:positionV relativeFrom="paragraph">
            <wp:posOffset>-161925</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F7B35" w14:textId="77777777" w:rsidR="00A15525" w:rsidRDefault="00A15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607066"/>
      <w:docPartObj>
        <w:docPartGallery w:val="Page Numbers (Bottom of Page)"/>
        <w:docPartUnique/>
      </w:docPartObj>
    </w:sdtPr>
    <w:sdtEndPr>
      <w:rPr>
        <w:rFonts w:ascii="Arial" w:hAnsi="Arial" w:cs="Arial"/>
        <w:noProof/>
      </w:rPr>
    </w:sdtEndPr>
    <w:sdtContent>
      <w:p w14:paraId="6E70B7D6" w14:textId="21DC0FCC" w:rsidR="00A15525" w:rsidRPr="00556A5E" w:rsidRDefault="00A15525">
        <w:pPr>
          <w:pStyle w:val="Footer"/>
          <w:jc w:val="right"/>
          <w:rPr>
            <w:rFonts w:ascii="Arial" w:hAnsi="Arial" w:cs="Arial"/>
          </w:rPr>
        </w:pPr>
        <w:r w:rsidRPr="00556A5E">
          <w:rPr>
            <w:rFonts w:ascii="Arial" w:hAnsi="Arial" w:cs="Arial"/>
          </w:rPr>
          <w:fldChar w:fldCharType="begin"/>
        </w:r>
        <w:r w:rsidRPr="00556A5E">
          <w:rPr>
            <w:rFonts w:ascii="Arial" w:hAnsi="Arial" w:cs="Arial"/>
          </w:rPr>
          <w:instrText xml:space="preserve"> PAGE   \* MERGEFORMAT </w:instrText>
        </w:r>
        <w:r w:rsidRPr="00556A5E">
          <w:rPr>
            <w:rFonts w:ascii="Arial" w:hAnsi="Arial" w:cs="Arial"/>
          </w:rPr>
          <w:fldChar w:fldCharType="separate"/>
        </w:r>
        <w:r>
          <w:rPr>
            <w:rFonts w:ascii="Arial" w:hAnsi="Arial" w:cs="Arial"/>
            <w:noProof/>
          </w:rPr>
          <w:t>13</w:t>
        </w:r>
        <w:r w:rsidRPr="00556A5E">
          <w:rPr>
            <w:rFonts w:ascii="Arial" w:hAnsi="Arial" w:cs="Arial"/>
            <w:noProof/>
          </w:rPr>
          <w:fldChar w:fldCharType="end"/>
        </w:r>
      </w:p>
    </w:sdtContent>
  </w:sdt>
  <w:p w14:paraId="04DF9BAD" w14:textId="77777777" w:rsidR="00A15525" w:rsidRDefault="00A1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3FA45" w14:textId="77777777" w:rsidR="00ED287B" w:rsidRDefault="00ED287B" w:rsidP="00705F1E">
      <w:pPr>
        <w:spacing w:after="0" w:line="240" w:lineRule="auto"/>
      </w:pPr>
      <w:r>
        <w:separator/>
      </w:r>
    </w:p>
  </w:footnote>
  <w:footnote w:type="continuationSeparator" w:id="0">
    <w:p w14:paraId="68517532" w14:textId="77777777" w:rsidR="00ED287B" w:rsidRDefault="00ED287B" w:rsidP="00705F1E">
      <w:pPr>
        <w:spacing w:after="0" w:line="240" w:lineRule="auto"/>
      </w:pPr>
      <w:r>
        <w:continuationSeparator/>
      </w:r>
    </w:p>
  </w:footnote>
  <w:footnote w:id="1">
    <w:p w14:paraId="1992F1ED" w14:textId="6C1B0034" w:rsidR="000F29B1" w:rsidRPr="008E133B" w:rsidRDefault="000F29B1">
      <w:pPr>
        <w:pStyle w:val="FootnoteText"/>
        <w:rPr>
          <w:rFonts w:ascii="Arial" w:hAnsi="Arial" w:cs="Arial"/>
        </w:rPr>
      </w:pPr>
      <w:r w:rsidRPr="008E133B">
        <w:rPr>
          <w:rStyle w:val="FootnoteReference"/>
          <w:rFonts w:ascii="Arial" w:hAnsi="Arial" w:cs="Arial"/>
        </w:rPr>
        <w:footnoteRef/>
      </w:r>
      <w:r w:rsidRPr="008E133B">
        <w:rPr>
          <w:rFonts w:ascii="Arial" w:hAnsi="Arial" w:cs="Arial"/>
        </w:rPr>
        <w:t xml:space="preserve"> Royal Commission into the Protection and Detention of Children in the Northern Territory; final report provided in 2017.</w:t>
      </w:r>
    </w:p>
  </w:footnote>
  <w:footnote w:id="2">
    <w:p w14:paraId="22923F4D" w14:textId="0F9C63D6" w:rsidR="000F29B1" w:rsidRPr="008E133B" w:rsidRDefault="000F29B1">
      <w:pPr>
        <w:pStyle w:val="FootnoteText"/>
        <w:rPr>
          <w:rFonts w:ascii="Arial" w:hAnsi="Arial" w:cs="Arial"/>
        </w:rPr>
      </w:pPr>
      <w:r w:rsidRPr="008E133B">
        <w:rPr>
          <w:rStyle w:val="FootnoteReference"/>
          <w:rFonts w:ascii="Arial" w:hAnsi="Arial" w:cs="Arial"/>
        </w:rPr>
        <w:footnoteRef/>
      </w:r>
      <w:r w:rsidRPr="008E133B">
        <w:rPr>
          <w:rFonts w:ascii="Arial" w:hAnsi="Arial" w:cs="Arial"/>
        </w:rPr>
        <w:t xml:space="preserve"> </w:t>
      </w:r>
      <w:r w:rsidR="004B1C63" w:rsidRPr="008E133B">
        <w:rPr>
          <w:rFonts w:ascii="Arial" w:hAnsi="Arial" w:cs="Arial"/>
        </w:rPr>
        <w:t xml:space="preserve">Several relevant reviews and inquiries are referenced throughout this paper. Relevant public campaigns include </w:t>
      </w:r>
      <w:hyperlink r:id="rId1" w:history="1">
        <w:r w:rsidR="004B1C63" w:rsidRPr="008E133B">
          <w:rPr>
            <w:rStyle w:val="Hyperlink"/>
            <w:rFonts w:ascii="Arial" w:hAnsi="Arial" w:cs="Arial"/>
          </w:rPr>
          <w:t>#RaiseTheAge</w:t>
        </w:r>
      </w:hyperlink>
      <w:r w:rsidR="004B1C63" w:rsidRPr="008E133B">
        <w:rPr>
          <w:rFonts w:ascii="Arial" w:hAnsi="Arial" w:cs="Arial"/>
        </w:rPr>
        <w:t xml:space="preserve">, </w:t>
      </w:r>
      <w:hyperlink r:id="rId2" w:history="1">
        <w:r w:rsidR="004B1C63" w:rsidRPr="008E133B">
          <w:rPr>
            <w:rStyle w:val="Hyperlink"/>
            <w:rFonts w:ascii="Arial" w:hAnsi="Arial" w:cs="Arial"/>
          </w:rPr>
          <w:t>Smart Justice for Young People</w:t>
        </w:r>
      </w:hyperlink>
      <w:r w:rsidR="004B1C63" w:rsidRPr="008E133B">
        <w:rPr>
          <w:rFonts w:ascii="Arial" w:hAnsi="Arial" w:cs="Arial"/>
        </w:rPr>
        <w:t xml:space="preserve">, and </w:t>
      </w:r>
      <w:hyperlink r:id="rId3" w:history="1">
        <w:r w:rsidR="004B1C63" w:rsidRPr="008E133B">
          <w:rPr>
            <w:rStyle w:val="Hyperlink"/>
            <w:rFonts w:ascii="Arial" w:hAnsi="Arial" w:cs="Arial"/>
          </w:rPr>
          <w:t>Change the Record</w:t>
        </w:r>
      </w:hyperlink>
      <w:r w:rsidR="004B1C63" w:rsidRPr="008E133B">
        <w:rPr>
          <w:rFonts w:ascii="Arial" w:hAnsi="Arial" w:cs="Arial"/>
        </w:rPr>
        <w:t>.</w:t>
      </w:r>
      <w:r w:rsidRPr="008E133B">
        <w:rPr>
          <w:rFonts w:ascii="Arial" w:hAnsi="Arial" w:cs="Arial"/>
        </w:rPr>
        <w:t xml:space="preserve"> </w:t>
      </w:r>
    </w:p>
  </w:footnote>
  <w:footnote w:id="3">
    <w:p w14:paraId="4A7B2CE1" w14:textId="6C0A227D" w:rsidR="00523A3B" w:rsidRPr="008E133B" w:rsidRDefault="00523A3B" w:rsidP="00523A3B">
      <w:pPr>
        <w:pStyle w:val="FootnoteText"/>
        <w:rPr>
          <w:rFonts w:ascii="Arial" w:hAnsi="Arial" w:cs="Arial"/>
        </w:rPr>
      </w:pPr>
      <w:r w:rsidRPr="008E133B">
        <w:rPr>
          <w:rStyle w:val="FootnoteReference"/>
          <w:rFonts w:ascii="Arial" w:hAnsi="Arial" w:cs="Arial"/>
        </w:rPr>
        <w:footnoteRef/>
      </w:r>
      <w:r w:rsidRPr="008E133B">
        <w:rPr>
          <w:rFonts w:ascii="Arial" w:hAnsi="Arial" w:cs="Arial"/>
        </w:rPr>
        <w:t xml:space="preserve"> United Nations Committee on the Rights of Persons with Disabilities. (2019) Concluding Observations on the</w:t>
      </w:r>
    </w:p>
    <w:p w14:paraId="1F1D13ED" w14:textId="1545EEAE" w:rsidR="00523A3B" w:rsidRPr="008E133B" w:rsidRDefault="00523A3B" w:rsidP="00523A3B">
      <w:pPr>
        <w:pStyle w:val="FootnoteText"/>
        <w:rPr>
          <w:rFonts w:ascii="Arial" w:hAnsi="Arial" w:cs="Arial"/>
        </w:rPr>
      </w:pPr>
      <w:r w:rsidRPr="008E133B">
        <w:rPr>
          <w:rFonts w:ascii="Arial" w:hAnsi="Arial" w:cs="Arial"/>
        </w:rPr>
        <w:t>Combined Second and Third Reports of Australia, UN Doc CRPD/C/AUS/CO/2-3 (15 October) para 25(d).</w:t>
      </w:r>
    </w:p>
  </w:footnote>
  <w:footnote w:id="4">
    <w:p w14:paraId="22DBECEF" w14:textId="77777777" w:rsidR="00490A07" w:rsidRPr="008E133B" w:rsidRDefault="00490A07" w:rsidP="00490A07">
      <w:pPr>
        <w:pStyle w:val="FootnoteText"/>
        <w:rPr>
          <w:rFonts w:ascii="Arial" w:hAnsi="Arial" w:cs="Arial"/>
          <w:lang w:val="en-US"/>
        </w:rPr>
      </w:pPr>
      <w:r w:rsidRPr="008E133B">
        <w:rPr>
          <w:rStyle w:val="FootnoteReference"/>
          <w:rFonts w:ascii="Arial" w:hAnsi="Arial" w:cs="Arial"/>
        </w:rPr>
        <w:footnoteRef/>
      </w:r>
      <w:r w:rsidRPr="008E133B">
        <w:rPr>
          <w:rFonts w:ascii="Arial" w:hAnsi="Arial" w:cs="Arial"/>
        </w:rPr>
        <w:t xml:space="preserve"> Training Centre Visitor. (2020) </w:t>
      </w:r>
      <w:r w:rsidRPr="008E133B">
        <w:rPr>
          <w:rFonts w:ascii="Arial" w:hAnsi="Arial" w:cs="Arial"/>
          <w:i/>
          <w:iCs/>
        </w:rPr>
        <w:t>Great Responsibility: Report on the 2019 Pilot Inspection of the Adelaide Youth Training Centre (Kurlana Tapa Youth Justice Centre)</w:t>
      </w:r>
      <w:r w:rsidRPr="008E133B">
        <w:rPr>
          <w:rFonts w:ascii="Arial" w:hAnsi="Arial" w:cs="Arial"/>
        </w:rPr>
        <w:t>, Government of South Australia,</w:t>
      </w:r>
      <w:r w:rsidRPr="008E133B">
        <w:rPr>
          <w:rFonts w:ascii="Arial" w:hAnsi="Arial" w:cs="Arial"/>
          <w:i/>
          <w:iCs/>
        </w:rPr>
        <w:t xml:space="preserve"> </w:t>
      </w:r>
      <w:r w:rsidRPr="008E133B">
        <w:rPr>
          <w:rFonts w:ascii="Arial" w:hAnsi="Arial" w:cs="Arial"/>
        </w:rPr>
        <w:t>p.99.</w:t>
      </w:r>
    </w:p>
  </w:footnote>
  <w:footnote w:id="5">
    <w:p w14:paraId="76A9ACFC" w14:textId="7F5168EE" w:rsidR="008E133B" w:rsidRPr="00D1210B" w:rsidRDefault="008E133B">
      <w:pPr>
        <w:pStyle w:val="FootnoteText"/>
        <w:rPr>
          <w:rFonts w:ascii="Arial" w:hAnsi="Arial" w:cs="Arial"/>
          <w:lang w:val="en-US"/>
        </w:rPr>
      </w:pPr>
      <w:r w:rsidRPr="00D1210B">
        <w:rPr>
          <w:rStyle w:val="FootnoteReference"/>
          <w:rFonts w:ascii="Arial" w:hAnsi="Arial" w:cs="Arial"/>
        </w:rPr>
        <w:footnoteRef/>
      </w:r>
      <w:r w:rsidRPr="00D1210B">
        <w:rPr>
          <w:rFonts w:ascii="Arial" w:hAnsi="Arial" w:cs="Arial"/>
        </w:rPr>
        <w:t xml:space="preserve"> </w:t>
      </w:r>
      <w:r w:rsidRPr="00D1210B">
        <w:rPr>
          <w:rFonts w:ascii="Arial" w:hAnsi="Arial" w:cs="Arial"/>
          <w:lang w:val="en-US"/>
        </w:rPr>
        <w:t xml:space="preserve">Sample of 99 children. Bower, C., Watkins, R.E., Mutch R.C., et al. (2018) Fetal alcohol spectrum disorder and youth justice: a prevalence study among young people sentenced to detention in Western Australia, </w:t>
      </w:r>
      <w:r w:rsidRPr="00D1210B">
        <w:rPr>
          <w:rFonts w:ascii="Arial" w:hAnsi="Arial" w:cs="Arial"/>
          <w:i/>
          <w:iCs/>
          <w:lang w:val="en-US"/>
        </w:rPr>
        <w:t>BMJ Open</w:t>
      </w:r>
      <w:r w:rsidRPr="00D1210B">
        <w:rPr>
          <w:rFonts w:ascii="Arial" w:hAnsi="Arial" w:cs="Arial"/>
          <w:lang w:val="en-US"/>
        </w:rPr>
        <w:t xml:space="preserve">,8:e019605. doi: 10.1136/bmjopen-2017-019605 </w:t>
      </w:r>
    </w:p>
  </w:footnote>
  <w:footnote w:id="6">
    <w:p w14:paraId="429145EE" w14:textId="22FEA071" w:rsidR="00490A07" w:rsidRPr="008E133B" w:rsidRDefault="00490A07">
      <w:pPr>
        <w:pStyle w:val="FootnoteText"/>
        <w:rPr>
          <w:rFonts w:ascii="Arial" w:hAnsi="Arial" w:cs="Arial"/>
          <w:lang w:val="en-US"/>
        </w:rPr>
      </w:pPr>
      <w:r w:rsidRPr="008E133B">
        <w:rPr>
          <w:rStyle w:val="FootnoteReference"/>
          <w:rFonts w:ascii="Arial" w:hAnsi="Arial" w:cs="Arial"/>
        </w:rPr>
        <w:footnoteRef/>
      </w:r>
      <w:r w:rsidRPr="008E133B">
        <w:rPr>
          <w:rFonts w:ascii="Arial" w:hAnsi="Arial" w:cs="Arial"/>
        </w:rPr>
        <w:t xml:space="preserve"> Australian Institute of Health and Welfare. (2020) </w:t>
      </w:r>
      <w:r w:rsidRPr="008E133B">
        <w:rPr>
          <w:rFonts w:ascii="Arial" w:hAnsi="Arial" w:cs="Arial"/>
          <w:i/>
          <w:iCs/>
        </w:rPr>
        <w:t>Youth Justice in Australia 2018–19</w:t>
      </w:r>
      <w:r w:rsidRPr="008E133B">
        <w:rPr>
          <w:rFonts w:ascii="Arial" w:hAnsi="Arial" w:cs="Arial"/>
        </w:rPr>
        <w:t>. Cat. no. JUV 132. Canberra: AIHW.</w:t>
      </w:r>
    </w:p>
  </w:footnote>
  <w:footnote w:id="7">
    <w:p w14:paraId="516F717E" w14:textId="5FBB87A1" w:rsidR="00490A07" w:rsidRPr="008E133B" w:rsidRDefault="00490A07" w:rsidP="00490A07">
      <w:pPr>
        <w:pStyle w:val="FootnoteText"/>
        <w:rPr>
          <w:rFonts w:ascii="Arial" w:hAnsi="Arial" w:cs="Arial"/>
        </w:rPr>
      </w:pPr>
      <w:r w:rsidRPr="008E133B">
        <w:rPr>
          <w:rStyle w:val="FootnoteReference"/>
          <w:rFonts w:ascii="Arial" w:hAnsi="Arial" w:cs="Arial"/>
        </w:rPr>
        <w:footnoteRef/>
      </w:r>
      <w:r w:rsidRPr="008E133B">
        <w:rPr>
          <w:rFonts w:ascii="Arial" w:hAnsi="Arial" w:cs="Arial"/>
        </w:rPr>
        <w:t xml:space="preserve"> Australian Institute of Health and Welfare. (2020) </w:t>
      </w:r>
      <w:r w:rsidRPr="008E133B">
        <w:rPr>
          <w:rFonts w:ascii="Arial" w:hAnsi="Arial" w:cs="Arial"/>
          <w:i/>
          <w:iCs/>
        </w:rPr>
        <w:t>Youth detention population in Australia 2019</w:t>
      </w:r>
      <w:r w:rsidRPr="008E133B">
        <w:rPr>
          <w:rFonts w:ascii="Arial" w:hAnsi="Arial" w:cs="Arial"/>
        </w:rPr>
        <w:t>.</w:t>
      </w:r>
    </w:p>
    <w:p w14:paraId="4D40A584" w14:textId="3B61C145" w:rsidR="00490A07" w:rsidRPr="008E133B" w:rsidRDefault="00490A07" w:rsidP="00490A07">
      <w:pPr>
        <w:pStyle w:val="FootnoteText"/>
        <w:rPr>
          <w:rFonts w:ascii="Arial" w:hAnsi="Arial" w:cs="Arial"/>
          <w:lang w:val="en-US"/>
        </w:rPr>
      </w:pPr>
      <w:r w:rsidRPr="008E133B">
        <w:rPr>
          <w:rFonts w:ascii="Arial" w:hAnsi="Arial" w:cs="Arial"/>
        </w:rPr>
        <w:t>Bulletin no. 148. Cat. no. JUV 131. Canberra: AIHW.</w:t>
      </w:r>
    </w:p>
  </w:footnote>
  <w:footnote w:id="8">
    <w:p w14:paraId="6A1D40E6" w14:textId="61F074A6" w:rsidR="00490A07" w:rsidRPr="008E133B" w:rsidRDefault="00490A07" w:rsidP="00490A07">
      <w:pPr>
        <w:pStyle w:val="FootnoteText"/>
        <w:rPr>
          <w:rFonts w:ascii="Arial" w:hAnsi="Arial" w:cs="Arial"/>
          <w:lang w:val="en-US"/>
        </w:rPr>
      </w:pPr>
      <w:r w:rsidRPr="008E133B">
        <w:rPr>
          <w:rStyle w:val="FootnoteReference"/>
          <w:rFonts w:ascii="Arial" w:hAnsi="Arial" w:cs="Arial"/>
        </w:rPr>
        <w:footnoteRef/>
      </w:r>
      <w:r w:rsidRPr="008E133B">
        <w:rPr>
          <w:rFonts w:ascii="Arial" w:hAnsi="Arial" w:cs="Arial"/>
        </w:rPr>
        <w:t xml:space="preserve"> Training Centre Visitor. (2020) </w:t>
      </w:r>
      <w:r w:rsidRPr="008E133B">
        <w:rPr>
          <w:rFonts w:ascii="Arial" w:hAnsi="Arial" w:cs="Arial"/>
          <w:i/>
          <w:iCs/>
        </w:rPr>
        <w:t>Great Responsibility: Report on the 2019 Pilot Inspection of the Adelaide Youth Training Centre (Kurlana Tapa Youth Justice Centre)</w:t>
      </w:r>
      <w:r w:rsidRPr="008E133B">
        <w:rPr>
          <w:rFonts w:ascii="Arial" w:hAnsi="Arial" w:cs="Arial"/>
        </w:rPr>
        <w:t>, Government of South Australia,</w:t>
      </w:r>
      <w:r w:rsidRPr="008E133B">
        <w:rPr>
          <w:rFonts w:ascii="Arial" w:hAnsi="Arial" w:cs="Arial"/>
          <w:i/>
          <w:iCs/>
        </w:rPr>
        <w:t xml:space="preserve"> </w:t>
      </w:r>
      <w:r w:rsidRPr="008E133B">
        <w:rPr>
          <w:rFonts w:ascii="Arial" w:hAnsi="Arial" w:cs="Arial"/>
        </w:rPr>
        <w:t>p.99.</w:t>
      </w:r>
    </w:p>
  </w:footnote>
  <w:footnote w:id="9">
    <w:p w14:paraId="7F4F9A9B" w14:textId="77777777" w:rsidR="00490A07" w:rsidRPr="008E133B" w:rsidRDefault="00490A07" w:rsidP="00490A07">
      <w:pPr>
        <w:pStyle w:val="FootnoteText"/>
        <w:rPr>
          <w:rFonts w:ascii="Arial" w:hAnsi="Arial" w:cs="Arial"/>
          <w:lang w:val="en-US"/>
        </w:rPr>
      </w:pPr>
      <w:r w:rsidRPr="008E133B">
        <w:rPr>
          <w:rStyle w:val="FootnoteReference"/>
          <w:rFonts w:ascii="Arial" w:hAnsi="Arial" w:cs="Arial"/>
        </w:rPr>
        <w:footnoteRef/>
      </w:r>
      <w:r w:rsidRPr="008E133B">
        <w:rPr>
          <w:rFonts w:ascii="Arial" w:hAnsi="Arial" w:cs="Arial"/>
        </w:rPr>
        <w:t xml:space="preserve"> </w:t>
      </w:r>
      <w:r w:rsidRPr="008E133B">
        <w:rPr>
          <w:rFonts w:ascii="Arial" w:hAnsi="Arial" w:cs="Arial"/>
          <w:lang w:val="en-US"/>
        </w:rPr>
        <w:t xml:space="preserve">Armytage, P. &amp; Ogloff, J. (2017) </w:t>
      </w:r>
      <w:r w:rsidRPr="008E133B">
        <w:rPr>
          <w:rFonts w:ascii="Arial" w:hAnsi="Arial" w:cs="Arial"/>
          <w:i/>
          <w:iCs/>
          <w:lang w:val="en-US"/>
        </w:rPr>
        <w:t>Youth Justice Review and Strategy: Meeting needs and reducing offending</w:t>
      </w:r>
      <w:r w:rsidRPr="008E133B">
        <w:rPr>
          <w:rFonts w:ascii="Arial" w:hAnsi="Arial" w:cs="Arial"/>
          <w:lang w:val="en-US"/>
        </w:rPr>
        <w:t>, Executive summary, p.14.</w:t>
      </w:r>
    </w:p>
  </w:footnote>
  <w:footnote w:id="10">
    <w:p w14:paraId="3C997750" w14:textId="2C166F2C" w:rsidR="00320F45" w:rsidRPr="008E133B" w:rsidRDefault="00320F45">
      <w:pPr>
        <w:pStyle w:val="FootnoteText"/>
        <w:rPr>
          <w:rFonts w:ascii="Arial" w:hAnsi="Arial" w:cs="Arial"/>
        </w:rPr>
      </w:pPr>
      <w:r w:rsidRPr="008E133B">
        <w:rPr>
          <w:rStyle w:val="FootnoteReference"/>
          <w:rFonts w:ascii="Arial" w:hAnsi="Arial" w:cs="Arial"/>
        </w:rPr>
        <w:footnoteRef/>
      </w:r>
      <w:r w:rsidRPr="008E133B">
        <w:rPr>
          <w:rFonts w:ascii="Arial" w:hAnsi="Arial" w:cs="Arial"/>
        </w:rPr>
        <w:t xml:space="preserve"> Australian Children’s Commissioners and Guardians. (2017) </w:t>
      </w:r>
      <w:r w:rsidRPr="008E133B">
        <w:rPr>
          <w:rFonts w:ascii="Arial" w:hAnsi="Arial" w:cs="Arial"/>
          <w:i/>
          <w:iCs/>
        </w:rPr>
        <w:t>Statement on conditions and treatment in youth justice detention</w:t>
      </w:r>
      <w:r w:rsidRPr="008E133B">
        <w:rPr>
          <w:rFonts w:ascii="Arial" w:hAnsi="Arial" w:cs="Arial"/>
        </w:rPr>
        <w:t>.</w:t>
      </w:r>
    </w:p>
  </w:footnote>
  <w:footnote w:id="11">
    <w:p w14:paraId="5C7730C2" w14:textId="6A006C55" w:rsidR="00F76F1A" w:rsidRPr="008E133B" w:rsidRDefault="00F76F1A">
      <w:pPr>
        <w:pStyle w:val="FootnoteText"/>
        <w:rPr>
          <w:rFonts w:ascii="Arial" w:hAnsi="Arial" w:cs="Arial"/>
        </w:rPr>
      </w:pPr>
      <w:r w:rsidRPr="008E133B">
        <w:rPr>
          <w:rStyle w:val="FootnoteReference"/>
          <w:rFonts w:ascii="Arial" w:hAnsi="Arial" w:cs="Arial"/>
        </w:rPr>
        <w:footnoteRef/>
      </w:r>
      <w:r w:rsidRPr="008E133B">
        <w:rPr>
          <w:rFonts w:ascii="Arial" w:hAnsi="Arial" w:cs="Arial"/>
        </w:rPr>
        <w:t xml:space="preserve"> Royal Commission into the Protection and Detention of Children in the Northern Territory. (2017) </w:t>
      </w:r>
      <w:r w:rsidRPr="008E133B">
        <w:rPr>
          <w:rFonts w:ascii="Arial" w:hAnsi="Arial" w:cs="Arial"/>
          <w:i/>
          <w:iCs/>
        </w:rPr>
        <w:t>Report Overview</w:t>
      </w:r>
      <w:r w:rsidRPr="008E133B">
        <w:rPr>
          <w:rFonts w:ascii="Arial" w:hAnsi="Arial" w:cs="Arial"/>
        </w:rPr>
        <w:t>, p.4.</w:t>
      </w:r>
    </w:p>
  </w:footnote>
  <w:footnote w:id="12">
    <w:p w14:paraId="6C1DE88C" w14:textId="1EAD4CF9" w:rsidR="00490A07" w:rsidRPr="008E133B" w:rsidRDefault="00490A07">
      <w:pPr>
        <w:pStyle w:val="FootnoteText"/>
        <w:rPr>
          <w:rFonts w:ascii="Arial" w:hAnsi="Arial" w:cs="Arial"/>
          <w:lang w:val="en-US"/>
        </w:rPr>
      </w:pPr>
      <w:r w:rsidRPr="008E133B">
        <w:rPr>
          <w:rStyle w:val="FootnoteReference"/>
          <w:rFonts w:ascii="Arial" w:hAnsi="Arial" w:cs="Arial"/>
        </w:rPr>
        <w:footnoteRef/>
      </w:r>
      <w:r w:rsidRPr="008E133B">
        <w:rPr>
          <w:rFonts w:ascii="Arial" w:hAnsi="Arial" w:cs="Arial"/>
        </w:rPr>
        <w:t xml:space="preserve"> </w:t>
      </w:r>
      <w:r w:rsidRPr="008E133B">
        <w:rPr>
          <w:rFonts w:ascii="Arial" w:hAnsi="Arial" w:cs="Arial"/>
          <w:lang w:val="en-US"/>
        </w:rPr>
        <w:t xml:space="preserve">Armytage, P. &amp; Ogloff, J. (2017) </w:t>
      </w:r>
      <w:r w:rsidRPr="008E133B">
        <w:rPr>
          <w:rFonts w:ascii="Arial" w:hAnsi="Arial" w:cs="Arial"/>
          <w:i/>
          <w:iCs/>
          <w:lang w:val="en-US"/>
        </w:rPr>
        <w:t>Youth Justice Review and Strategy: Meeting needs and reducing offending</w:t>
      </w:r>
      <w:r w:rsidRPr="008E133B">
        <w:rPr>
          <w:rFonts w:ascii="Arial" w:hAnsi="Arial" w:cs="Arial"/>
          <w:lang w:val="en-US"/>
        </w:rPr>
        <w:t>, Executive summary, p.11.</w:t>
      </w:r>
    </w:p>
  </w:footnote>
  <w:footnote w:id="13">
    <w:p w14:paraId="7DD5FF94" w14:textId="77777777" w:rsidR="00580ECA" w:rsidRPr="008E133B" w:rsidRDefault="00580ECA" w:rsidP="00580ECA">
      <w:pPr>
        <w:pStyle w:val="FootnoteText"/>
        <w:rPr>
          <w:rFonts w:ascii="Arial" w:hAnsi="Arial" w:cs="Arial"/>
          <w:i/>
          <w:iCs/>
        </w:rPr>
      </w:pPr>
      <w:r w:rsidRPr="008E133B">
        <w:rPr>
          <w:rStyle w:val="FootnoteReference"/>
          <w:rFonts w:ascii="Arial" w:hAnsi="Arial" w:cs="Arial"/>
        </w:rPr>
        <w:footnoteRef/>
      </w:r>
      <w:r w:rsidRPr="008E133B">
        <w:rPr>
          <w:rFonts w:ascii="Arial" w:hAnsi="Arial" w:cs="Arial"/>
        </w:rPr>
        <w:t xml:space="preserve"> Sentencing Advisory Council. (2019) </w:t>
      </w:r>
      <w:r w:rsidRPr="008E133B">
        <w:rPr>
          <w:rFonts w:ascii="Arial" w:hAnsi="Arial" w:cs="Arial"/>
          <w:i/>
          <w:iCs/>
        </w:rPr>
        <w:t>‘Crossover Kids’: Vulnerable Children in the Youth Justice System Report 1: Children Who Are Known to Child Protection among Sentenced and Diverted Children in the Victorian Children’s Court</w:t>
      </w:r>
      <w:r w:rsidRPr="008E133B">
        <w:rPr>
          <w:rFonts w:ascii="Arial" w:hAnsi="Arial" w:cs="Arial"/>
        </w:rPr>
        <w:t>, State of Victoria.</w:t>
      </w:r>
    </w:p>
  </w:footnote>
  <w:footnote w:id="14">
    <w:p w14:paraId="42E596C8" w14:textId="77777777" w:rsidR="00007015" w:rsidRPr="008E133B" w:rsidRDefault="00007015" w:rsidP="00007015">
      <w:pPr>
        <w:pStyle w:val="FootnoteText"/>
        <w:rPr>
          <w:rFonts w:ascii="Arial" w:hAnsi="Arial" w:cs="Arial"/>
          <w:lang w:val="en-US"/>
        </w:rPr>
      </w:pPr>
      <w:r w:rsidRPr="008E133B">
        <w:rPr>
          <w:rStyle w:val="FootnoteReference"/>
          <w:rFonts w:ascii="Arial" w:hAnsi="Arial" w:cs="Arial"/>
        </w:rPr>
        <w:footnoteRef/>
      </w:r>
      <w:r w:rsidRPr="008E133B">
        <w:rPr>
          <w:rFonts w:ascii="Arial" w:hAnsi="Arial" w:cs="Arial"/>
        </w:rPr>
        <w:t xml:space="preserve"> </w:t>
      </w:r>
      <w:r w:rsidRPr="008E133B">
        <w:rPr>
          <w:rFonts w:ascii="Arial" w:hAnsi="Arial" w:cs="Arial"/>
          <w:lang w:val="en-US"/>
        </w:rPr>
        <w:t xml:space="preserve">Joint Statement. (2020) </w:t>
      </w:r>
      <w:r w:rsidRPr="008E133B">
        <w:rPr>
          <w:rFonts w:ascii="Arial" w:hAnsi="Arial" w:cs="Arial"/>
          <w:i/>
          <w:iCs/>
          <w:lang w:val="en-US"/>
        </w:rPr>
        <w:t>Australian governments continue to fail kids by refusing to raise the age at which children can be locked in prison</w:t>
      </w:r>
      <w:r w:rsidRPr="008E133B">
        <w:rPr>
          <w:rFonts w:ascii="Arial" w:hAnsi="Arial" w:cs="Arial"/>
          <w:lang w:val="en-US"/>
        </w:rPr>
        <w:t xml:space="preserve">, 27 July. Key contacts are Amnesty International Australia, Human Rights Law Centre and Change the Record. Available: </w:t>
      </w:r>
      <w:hyperlink r:id="rId4" w:history="1">
        <w:r w:rsidRPr="008E133B">
          <w:rPr>
            <w:rStyle w:val="Hyperlink"/>
            <w:rFonts w:ascii="Arial" w:hAnsi="Arial" w:cs="Arial"/>
          </w:rPr>
          <w:t>https://www.hrlc.org.au/news/2020/7/27/australian-governments-continue-to-fail-kids-by-refusing-to-raise-the-age-at-which-children-can-be-locked-in-prison</w:t>
        </w:r>
      </w:hyperlink>
      <w:r w:rsidRPr="008E133B">
        <w:rPr>
          <w:rFonts w:ascii="Arial" w:hAnsi="Arial" w:cs="Arial"/>
        </w:rPr>
        <w:t>.</w:t>
      </w:r>
    </w:p>
  </w:footnote>
  <w:footnote w:id="15">
    <w:p w14:paraId="2B85A75F" w14:textId="49E4D483" w:rsidR="008E133B" w:rsidRPr="00D1210B" w:rsidRDefault="008E133B">
      <w:pPr>
        <w:pStyle w:val="FootnoteText"/>
        <w:rPr>
          <w:rFonts w:ascii="Arial" w:hAnsi="Arial" w:cs="Arial"/>
          <w:b/>
          <w:bCs/>
          <w:lang w:val="en-US"/>
        </w:rPr>
      </w:pPr>
      <w:r w:rsidRPr="00D1210B">
        <w:rPr>
          <w:rStyle w:val="FootnoteReference"/>
          <w:rFonts w:ascii="Arial" w:hAnsi="Arial" w:cs="Arial"/>
        </w:rPr>
        <w:footnoteRef/>
      </w:r>
      <w:r w:rsidRPr="00D1210B">
        <w:rPr>
          <w:rFonts w:ascii="Arial" w:hAnsi="Arial" w:cs="Arial"/>
        </w:rPr>
        <w:t xml:space="preserve"> </w:t>
      </w:r>
      <w:r w:rsidRPr="00D1210B">
        <w:rPr>
          <w:rFonts w:ascii="Arial" w:hAnsi="Arial" w:cs="Arial"/>
          <w:lang w:val="en-US"/>
        </w:rPr>
        <w:t xml:space="preserve">Royal Australian College of Physicians. (2019), Physicians say age of criminal responsibility must be raised to help end abuse in custody, Media statement, 14 May. Available: </w:t>
      </w:r>
      <w:hyperlink r:id="rId5" w:history="1">
        <w:r w:rsidRPr="00D1210B">
          <w:rPr>
            <w:rStyle w:val="Hyperlink"/>
            <w:rFonts w:ascii="Arial" w:hAnsi="Arial" w:cs="Arial"/>
          </w:rPr>
          <w:t>https://www.racp.edu.au/news-and-events/media-releases/physicians-say-age-of-criminal-responsibility-must-be-raised-to-help-end-abuse-in-custody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0EDF" w14:textId="77777777" w:rsidR="00A15525" w:rsidRDefault="00A15525">
    <w:pPr>
      <w:pStyle w:val="Header"/>
    </w:pPr>
    <w:r w:rsidRPr="00DC7281">
      <w:rPr>
        <w:rFonts w:eastAsia="Times New Roman"/>
        <w:noProof/>
        <w:sz w:val="2"/>
        <w:szCs w:val="2"/>
        <w:lang w:eastAsia="en-AU"/>
      </w:rPr>
      <w:drawing>
        <wp:anchor distT="0" distB="0" distL="114300" distR="114300" simplePos="0" relativeHeight="251659264" behindDoc="1" locked="0" layoutInCell="1" allowOverlap="1" wp14:anchorId="3BDFD421" wp14:editId="5D6997E7">
          <wp:simplePos x="0" y="0"/>
          <wp:positionH relativeFrom="page">
            <wp:posOffset>-28575</wp:posOffset>
          </wp:positionH>
          <wp:positionV relativeFrom="paragraph">
            <wp:posOffset>-434653</wp:posOffset>
          </wp:positionV>
          <wp:extent cx="8235315" cy="1371600"/>
          <wp:effectExtent l="57150" t="57150" r="51435" b="57150"/>
          <wp:wrapTight wrapText="bothSides">
            <wp:wrapPolygon edited="0">
              <wp:start x="-150" y="-900"/>
              <wp:lineTo x="-150" y="22200"/>
              <wp:lineTo x="21685" y="22200"/>
              <wp:lineTo x="21685" y="-900"/>
              <wp:lineTo x="-150" y="-900"/>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35315" cy="13716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36316438" w14:textId="77777777" w:rsidR="00A15525" w:rsidRDefault="00A15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39C2" w14:textId="70592A37" w:rsidR="00A15525" w:rsidRDefault="00A15525">
    <w:pPr>
      <w:pStyle w:val="Header"/>
    </w:pPr>
  </w:p>
  <w:p w14:paraId="6841AD27" w14:textId="77777777" w:rsidR="00A15525" w:rsidRDefault="00A15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EF9"/>
    <w:multiLevelType w:val="hybridMultilevel"/>
    <w:tmpl w:val="EDE27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A835C3"/>
    <w:multiLevelType w:val="hybridMultilevel"/>
    <w:tmpl w:val="FFA8742E"/>
    <w:lvl w:ilvl="0" w:tplc="0C090001">
      <w:start w:val="1"/>
      <w:numFmt w:val="bullet"/>
      <w:lvlText w:val=""/>
      <w:lvlJc w:val="left"/>
      <w:pPr>
        <w:ind w:left="720" w:hanging="360"/>
      </w:pPr>
      <w:rPr>
        <w:rFonts w:ascii="Symbol" w:hAnsi="Symbol" w:hint="default"/>
      </w:rPr>
    </w:lvl>
    <w:lvl w:ilvl="1" w:tplc="3F6ECDB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D6EFE"/>
    <w:multiLevelType w:val="hybridMultilevel"/>
    <w:tmpl w:val="9744A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32BAC"/>
    <w:multiLevelType w:val="hybridMultilevel"/>
    <w:tmpl w:val="14DED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630D1E"/>
    <w:multiLevelType w:val="hybridMultilevel"/>
    <w:tmpl w:val="AFC0E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90071"/>
    <w:multiLevelType w:val="hybridMultilevel"/>
    <w:tmpl w:val="D9B23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4B75A39"/>
    <w:multiLevelType w:val="hybridMultilevel"/>
    <w:tmpl w:val="F3F82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4C627A7"/>
    <w:multiLevelType w:val="hybridMultilevel"/>
    <w:tmpl w:val="8F6A59FE"/>
    <w:lvl w:ilvl="0" w:tplc="33BC28B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C94531"/>
    <w:multiLevelType w:val="hybridMultilevel"/>
    <w:tmpl w:val="71789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EF21A0"/>
    <w:multiLevelType w:val="hybridMultilevel"/>
    <w:tmpl w:val="63E82F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9152A8"/>
    <w:multiLevelType w:val="multilevel"/>
    <w:tmpl w:val="50A66E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Theme="minorHAnsi" w:hAnsi="Arial"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01D1E21"/>
    <w:multiLevelType w:val="hybridMultilevel"/>
    <w:tmpl w:val="1BFAB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B53606"/>
    <w:multiLevelType w:val="hybridMultilevel"/>
    <w:tmpl w:val="74F65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1A075C"/>
    <w:multiLevelType w:val="hybridMultilevel"/>
    <w:tmpl w:val="292E4146"/>
    <w:lvl w:ilvl="0" w:tplc="EE54C57E">
      <w:numFmt w:val="bullet"/>
      <w:lvlText w:val="•"/>
      <w:lvlJc w:val="left"/>
      <w:pPr>
        <w:ind w:left="504" w:hanging="384"/>
      </w:pPr>
      <w:rPr>
        <w:rFonts w:ascii="Arial" w:eastAsiaTheme="minorHAnsi" w:hAnsi="Arial" w:cs="Aria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4" w15:restartNumberingAfterBreak="0">
    <w:nsid w:val="2A665663"/>
    <w:multiLevelType w:val="hybridMultilevel"/>
    <w:tmpl w:val="D0447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DF7334"/>
    <w:multiLevelType w:val="hybridMultilevel"/>
    <w:tmpl w:val="C0AC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674CD"/>
    <w:multiLevelType w:val="multilevel"/>
    <w:tmpl w:val="50A66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AD74D2"/>
    <w:multiLevelType w:val="hybridMultilevel"/>
    <w:tmpl w:val="F514C60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8" w15:restartNumberingAfterBreak="0">
    <w:nsid w:val="3A9B7C63"/>
    <w:multiLevelType w:val="hybridMultilevel"/>
    <w:tmpl w:val="ACD8617C"/>
    <w:lvl w:ilvl="0" w:tplc="74DA5600">
      <w:start w:val="1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2F5A22"/>
    <w:multiLevelType w:val="multilevel"/>
    <w:tmpl w:val="50A66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77221E8"/>
    <w:multiLevelType w:val="hybridMultilevel"/>
    <w:tmpl w:val="D0283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ABD0A74"/>
    <w:multiLevelType w:val="hybridMultilevel"/>
    <w:tmpl w:val="8CDA23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3BD3A48"/>
    <w:multiLevelType w:val="hybridMultilevel"/>
    <w:tmpl w:val="2C66C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C124D9"/>
    <w:multiLevelType w:val="hybridMultilevel"/>
    <w:tmpl w:val="1EEC9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A35B0D"/>
    <w:multiLevelType w:val="hybridMultilevel"/>
    <w:tmpl w:val="A57E5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0B3919"/>
    <w:multiLevelType w:val="hybridMultilevel"/>
    <w:tmpl w:val="7226B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B50276"/>
    <w:multiLevelType w:val="hybridMultilevel"/>
    <w:tmpl w:val="45682D98"/>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27" w15:restartNumberingAfterBreak="0">
    <w:nsid w:val="656C30DB"/>
    <w:multiLevelType w:val="hybridMultilevel"/>
    <w:tmpl w:val="3E8CE82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6B4050A7"/>
    <w:multiLevelType w:val="hybridMultilevel"/>
    <w:tmpl w:val="A54C0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754D4E"/>
    <w:multiLevelType w:val="hybridMultilevel"/>
    <w:tmpl w:val="E6EEE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FB543E"/>
    <w:multiLevelType w:val="hybridMultilevel"/>
    <w:tmpl w:val="33BC05B0"/>
    <w:lvl w:ilvl="0" w:tplc="30CC51D8">
      <w:start w:val="1"/>
      <w:numFmt w:val="decimal"/>
      <w:lvlText w:val="%1."/>
      <w:lvlJc w:val="left"/>
      <w:pPr>
        <w:ind w:left="720" w:hanging="360"/>
      </w:pPr>
      <w:rPr>
        <w:rFonts w:eastAsiaTheme="majorEastAsia" w:hint="default"/>
        <w:color w:val="538135" w:themeColor="accent6" w:themeShade="BF"/>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C03A44"/>
    <w:multiLevelType w:val="hybridMultilevel"/>
    <w:tmpl w:val="89003970"/>
    <w:lvl w:ilvl="0" w:tplc="0C090001">
      <w:start w:val="1"/>
      <w:numFmt w:val="bullet"/>
      <w:lvlText w:val=""/>
      <w:lvlJc w:val="left"/>
      <w:pPr>
        <w:ind w:left="720" w:hanging="360"/>
      </w:pPr>
      <w:rPr>
        <w:rFonts w:ascii="Symbol" w:hAnsi="Symbol" w:hint="default"/>
      </w:rPr>
    </w:lvl>
    <w:lvl w:ilvl="1" w:tplc="4E5C7688">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7D132C"/>
    <w:multiLevelType w:val="hybridMultilevel"/>
    <w:tmpl w:val="6876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985301"/>
    <w:multiLevelType w:val="hybridMultilevel"/>
    <w:tmpl w:val="12D271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7"/>
  </w:num>
  <w:num w:numId="4">
    <w:abstractNumId w:val="31"/>
  </w:num>
  <w:num w:numId="5">
    <w:abstractNumId w:val="3"/>
  </w:num>
  <w:num w:numId="6">
    <w:abstractNumId w:val="11"/>
  </w:num>
  <w:num w:numId="7">
    <w:abstractNumId w:val="15"/>
  </w:num>
  <w:num w:numId="8">
    <w:abstractNumId w:val="26"/>
  </w:num>
  <w:num w:numId="9">
    <w:abstractNumId w:val="30"/>
  </w:num>
  <w:num w:numId="10">
    <w:abstractNumId w:val="4"/>
  </w:num>
  <w:num w:numId="11">
    <w:abstractNumId w:val="2"/>
  </w:num>
  <w:num w:numId="12">
    <w:abstractNumId w:val="1"/>
  </w:num>
  <w:num w:numId="13">
    <w:abstractNumId w:val="17"/>
  </w:num>
  <w:num w:numId="14">
    <w:abstractNumId w:val="13"/>
  </w:num>
  <w:num w:numId="15">
    <w:abstractNumId w:val="7"/>
  </w:num>
  <w:num w:numId="16">
    <w:abstractNumId w:val="32"/>
  </w:num>
  <w:num w:numId="17">
    <w:abstractNumId w:val="23"/>
  </w:num>
  <w:num w:numId="18">
    <w:abstractNumId w:val="9"/>
  </w:num>
  <w:num w:numId="19">
    <w:abstractNumId w:val="18"/>
  </w:num>
  <w:num w:numId="20">
    <w:abstractNumId w:val="28"/>
  </w:num>
  <w:num w:numId="21">
    <w:abstractNumId w:val="33"/>
  </w:num>
  <w:num w:numId="22">
    <w:abstractNumId w:val="22"/>
  </w:num>
  <w:num w:numId="23">
    <w:abstractNumId w:val="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14"/>
  </w:num>
  <w:num w:numId="30">
    <w:abstractNumId w:val="25"/>
  </w:num>
  <w:num w:numId="31">
    <w:abstractNumId w:val="24"/>
  </w:num>
  <w:num w:numId="32">
    <w:abstractNumId w:val="21"/>
  </w:num>
  <w:num w:numId="33">
    <w:abstractNumId w:val="6"/>
  </w:num>
  <w:num w:numId="34">
    <w:abstractNumId w:val="29"/>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tTQ1NzczM7cwMTFT0lEKTi0uzszPAymwrAUAb2UwCSwAAAA="/>
  </w:docVars>
  <w:rsids>
    <w:rsidRoot w:val="00796395"/>
    <w:rsid w:val="000014DE"/>
    <w:rsid w:val="00002B63"/>
    <w:rsid w:val="00002DFC"/>
    <w:rsid w:val="00006F47"/>
    <w:rsid w:val="00007015"/>
    <w:rsid w:val="00007B2F"/>
    <w:rsid w:val="000167C0"/>
    <w:rsid w:val="00016EC8"/>
    <w:rsid w:val="00021DBF"/>
    <w:rsid w:val="00023C80"/>
    <w:rsid w:val="00023F03"/>
    <w:rsid w:val="00027B2C"/>
    <w:rsid w:val="000312E7"/>
    <w:rsid w:val="00040705"/>
    <w:rsid w:val="00044EFC"/>
    <w:rsid w:val="00064382"/>
    <w:rsid w:val="00064761"/>
    <w:rsid w:val="00070B42"/>
    <w:rsid w:val="000711C6"/>
    <w:rsid w:val="000719C4"/>
    <w:rsid w:val="00074407"/>
    <w:rsid w:val="0007698B"/>
    <w:rsid w:val="000771B4"/>
    <w:rsid w:val="00083666"/>
    <w:rsid w:val="00092439"/>
    <w:rsid w:val="0009403C"/>
    <w:rsid w:val="00094674"/>
    <w:rsid w:val="000A2870"/>
    <w:rsid w:val="000A4ABD"/>
    <w:rsid w:val="000B12EC"/>
    <w:rsid w:val="000B32E1"/>
    <w:rsid w:val="000B3B54"/>
    <w:rsid w:val="000B3E7C"/>
    <w:rsid w:val="000B65A9"/>
    <w:rsid w:val="000B6966"/>
    <w:rsid w:val="000C061F"/>
    <w:rsid w:val="000C1A04"/>
    <w:rsid w:val="000C1C2A"/>
    <w:rsid w:val="000C2BEC"/>
    <w:rsid w:val="000D4FA6"/>
    <w:rsid w:val="000D6106"/>
    <w:rsid w:val="000E0946"/>
    <w:rsid w:val="000E2EB5"/>
    <w:rsid w:val="000E6BA8"/>
    <w:rsid w:val="000F29B1"/>
    <w:rsid w:val="000F4F3F"/>
    <w:rsid w:val="000F6941"/>
    <w:rsid w:val="001038AC"/>
    <w:rsid w:val="001122D7"/>
    <w:rsid w:val="0011360A"/>
    <w:rsid w:val="00120291"/>
    <w:rsid w:val="0012384F"/>
    <w:rsid w:val="00124869"/>
    <w:rsid w:val="001256F0"/>
    <w:rsid w:val="00126E62"/>
    <w:rsid w:val="00126ECB"/>
    <w:rsid w:val="0013059A"/>
    <w:rsid w:val="00132CE6"/>
    <w:rsid w:val="001343DE"/>
    <w:rsid w:val="001379C5"/>
    <w:rsid w:val="001402B0"/>
    <w:rsid w:val="001404BE"/>
    <w:rsid w:val="00141412"/>
    <w:rsid w:val="001432C1"/>
    <w:rsid w:val="0015356D"/>
    <w:rsid w:val="00153D6B"/>
    <w:rsid w:val="001567E9"/>
    <w:rsid w:val="0016585A"/>
    <w:rsid w:val="00167272"/>
    <w:rsid w:val="001814F6"/>
    <w:rsid w:val="00186F99"/>
    <w:rsid w:val="00192B47"/>
    <w:rsid w:val="00195BC1"/>
    <w:rsid w:val="001A2088"/>
    <w:rsid w:val="001B111B"/>
    <w:rsid w:val="001B1295"/>
    <w:rsid w:val="001B38D8"/>
    <w:rsid w:val="001B78F7"/>
    <w:rsid w:val="001C0C56"/>
    <w:rsid w:val="001C13F6"/>
    <w:rsid w:val="001D6380"/>
    <w:rsid w:val="001E2348"/>
    <w:rsid w:val="001E3F00"/>
    <w:rsid w:val="001E430F"/>
    <w:rsid w:val="001E5C90"/>
    <w:rsid w:val="001F3EB4"/>
    <w:rsid w:val="002007DF"/>
    <w:rsid w:val="00201447"/>
    <w:rsid w:val="00202038"/>
    <w:rsid w:val="00202CD8"/>
    <w:rsid w:val="00210558"/>
    <w:rsid w:val="00213BDB"/>
    <w:rsid w:val="00214F79"/>
    <w:rsid w:val="00222402"/>
    <w:rsid w:val="00223976"/>
    <w:rsid w:val="00225629"/>
    <w:rsid w:val="00234842"/>
    <w:rsid w:val="00240F92"/>
    <w:rsid w:val="00242F07"/>
    <w:rsid w:val="00243897"/>
    <w:rsid w:val="00244F1C"/>
    <w:rsid w:val="00251779"/>
    <w:rsid w:val="00255FC2"/>
    <w:rsid w:val="002601B3"/>
    <w:rsid w:val="00262B63"/>
    <w:rsid w:val="00263A22"/>
    <w:rsid w:val="00264425"/>
    <w:rsid w:val="00264FCF"/>
    <w:rsid w:val="002665F6"/>
    <w:rsid w:val="002711CC"/>
    <w:rsid w:val="00274F3A"/>
    <w:rsid w:val="0027665C"/>
    <w:rsid w:val="00284C05"/>
    <w:rsid w:val="00285FE5"/>
    <w:rsid w:val="00290708"/>
    <w:rsid w:val="00291B55"/>
    <w:rsid w:val="002A381E"/>
    <w:rsid w:val="002A4E6C"/>
    <w:rsid w:val="002B06BE"/>
    <w:rsid w:val="002B150C"/>
    <w:rsid w:val="002B6FDB"/>
    <w:rsid w:val="002D1B10"/>
    <w:rsid w:val="002D44AC"/>
    <w:rsid w:val="002E5736"/>
    <w:rsid w:val="002E6AF5"/>
    <w:rsid w:val="002F3956"/>
    <w:rsid w:val="002F48A7"/>
    <w:rsid w:val="002F5BAE"/>
    <w:rsid w:val="002F6A2B"/>
    <w:rsid w:val="0030097A"/>
    <w:rsid w:val="00306A24"/>
    <w:rsid w:val="00306D74"/>
    <w:rsid w:val="003148B5"/>
    <w:rsid w:val="00316EA2"/>
    <w:rsid w:val="00317CE3"/>
    <w:rsid w:val="00320F45"/>
    <w:rsid w:val="00322B6D"/>
    <w:rsid w:val="003230F0"/>
    <w:rsid w:val="00323363"/>
    <w:rsid w:val="003278B2"/>
    <w:rsid w:val="0033031B"/>
    <w:rsid w:val="00332C4D"/>
    <w:rsid w:val="00343CED"/>
    <w:rsid w:val="003500D0"/>
    <w:rsid w:val="003519D9"/>
    <w:rsid w:val="003568E1"/>
    <w:rsid w:val="0035728F"/>
    <w:rsid w:val="0036059D"/>
    <w:rsid w:val="00370696"/>
    <w:rsid w:val="00371DA6"/>
    <w:rsid w:val="00375697"/>
    <w:rsid w:val="00375A7F"/>
    <w:rsid w:val="003806B9"/>
    <w:rsid w:val="0038098A"/>
    <w:rsid w:val="00383923"/>
    <w:rsid w:val="00387F34"/>
    <w:rsid w:val="003A00F6"/>
    <w:rsid w:val="003A5DED"/>
    <w:rsid w:val="003B007C"/>
    <w:rsid w:val="003B3D0A"/>
    <w:rsid w:val="003B5056"/>
    <w:rsid w:val="003D1E30"/>
    <w:rsid w:val="003D487B"/>
    <w:rsid w:val="003D6E8B"/>
    <w:rsid w:val="003D72B7"/>
    <w:rsid w:val="003E0269"/>
    <w:rsid w:val="003F2138"/>
    <w:rsid w:val="003F29D5"/>
    <w:rsid w:val="003F3148"/>
    <w:rsid w:val="00402A5C"/>
    <w:rsid w:val="0041516E"/>
    <w:rsid w:val="00415A28"/>
    <w:rsid w:val="004232E5"/>
    <w:rsid w:val="00427CBB"/>
    <w:rsid w:val="0043065F"/>
    <w:rsid w:val="00431B07"/>
    <w:rsid w:val="00434A7F"/>
    <w:rsid w:val="00447C27"/>
    <w:rsid w:val="0045003F"/>
    <w:rsid w:val="0045082B"/>
    <w:rsid w:val="00451F65"/>
    <w:rsid w:val="004532B1"/>
    <w:rsid w:val="004640E1"/>
    <w:rsid w:val="0047028F"/>
    <w:rsid w:val="004709AD"/>
    <w:rsid w:val="004725E6"/>
    <w:rsid w:val="00475ACF"/>
    <w:rsid w:val="00480CBC"/>
    <w:rsid w:val="00487BF3"/>
    <w:rsid w:val="00490A07"/>
    <w:rsid w:val="00491459"/>
    <w:rsid w:val="004A3DC2"/>
    <w:rsid w:val="004A43E2"/>
    <w:rsid w:val="004A5BC6"/>
    <w:rsid w:val="004A782F"/>
    <w:rsid w:val="004B1C63"/>
    <w:rsid w:val="004B7102"/>
    <w:rsid w:val="004C05D0"/>
    <w:rsid w:val="004C3713"/>
    <w:rsid w:val="004C3BEA"/>
    <w:rsid w:val="004C4B6F"/>
    <w:rsid w:val="004C56C8"/>
    <w:rsid w:val="004D0E6A"/>
    <w:rsid w:val="004D3C2E"/>
    <w:rsid w:val="004D4D61"/>
    <w:rsid w:val="004D7ADE"/>
    <w:rsid w:val="004E368F"/>
    <w:rsid w:val="004E3D05"/>
    <w:rsid w:val="004F00D9"/>
    <w:rsid w:val="004F241B"/>
    <w:rsid w:val="004F3B3B"/>
    <w:rsid w:val="004F52CE"/>
    <w:rsid w:val="005031FC"/>
    <w:rsid w:val="00510173"/>
    <w:rsid w:val="0051020C"/>
    <w:rsid w:val="00512EBB"/>
    <w:rsid w:val="00514336"/>
    <w:rsid w:val="00514F43"/>
    <w:rsid w:val="00521518"/>
    <w:rsid w:val="00523A3B"/>
    <w:rsid w:val="0052597A"/>
    <w:rsid w:val="00532D8F"/>
    <w:rsid w:val="00536125"/>
    <w:rsid w:val="00543401"/>
    <w:rsid w:val="00550006"/>
    <w:rsid w:val="0055002A"/>
    <w:rsid w:val="005507E3"/>
    <w:rsid w:val="005537D0"/>
    <w:rsid w:val="00553B0C"/>
    <w:rsid w:val="00556A5E"/>
    <w:rsid w:val="0055700C"/>
    <w:rsid w:val="00580ECA"/>
    <w:rsid w:val="00582DBE"/>
    <w:rsid w:val="00583E35"/>
    <w:rsid w:val="0058563D"/>
    <w:rsid w:val="00587238"/>
    <w:rsid w:val="00590693"/>
    <w:rsid w:val="00592585"/>
    <w:rsid w:val="005929C7"/>
    <w:rsid w:val="005A4CF0"/>
    <w:rsid w:val="005A4DFC"/>
    <w:rsid w:val="005A7507"/>
    <w:rsid w:val="005B0939"/>
    <w:rsid w:val="005B45AE"/>
    <w:rsid w:val="005C14B4"/>
    <w:rsid w:val="005C3C7F"/>
    <w:rsid w:val="005C5284"/>
    <w:rsid w:val="005C6705"/>
    <w:rsid w:val="005E0523"/>
    <w:rsid w:val="005E5846"/>
    <w:rsid w:val="005F0FDD"/>
    <w:rsid w:val="005F4C19"/>
    <w:rsid w:val="005F6F4A"/>
    <w:rsid w:val="00600C8D"/>
    <w:rsid w:val="00604789"/>
    <w:rsid w:val="00604A69"/>
    <w:rsid w:val="00615CB8"/>
    <w:rsid w:val="0063415B"/>
    <w:rsid w:val="00634787"/>
    <w:rsid w:val="006355F0"/>
    <w:rsid w:val="00635951"/>
    <w:rsid w:val="0063684F"/>
    <w:rsid w:val="00642D23"/>
    <w:rsid w:val="006441AF"/>
    <w:rsid w:val="00644AB7"/>
    <w:rsid w:val="00647226"/>
    <w:rsid w:val="00650ED4"/>
    <w:rsid w:val="00653AEB"/>
    <w:rsid w:val="006541B6"/>
    <w:rsid w:val="00655ACB"/>
    <w:rsid w:val="00657952"/>
    <w:rsid w:val="0065795B"/>
    <w:rsid w:val="00665046"/>
    <w:rsid w:val="006735DF"/>
    <w:rsid w:val="00674032"/>
    <w:rsid w:val="00677424"/>
    <w:rsid w:val="006778FC"/>
    <w:rsid w:val="00694980"/>
    <w:rsid w:val="00695219"/>
    <w:rsid w:val="006A3C62"/>
    <w:rsid w:val="006B011A"/>
    <w:rsid w:val="006B1599"/>
    <w:rsid w:val="006B1E73"/>
    <w:rsid w:val="006B3C3D"/>
    <w:rsid w:val="006B575B"/>
    <w:rsid w:val="006B75B3"/>
    <w:rsid w:val="006C254A"/>
    <w:rsid w:val="006C6539"/>
    <w:rsid w:val="006D0496"/>
    <w:rsid w:val="006D381B"/>
    <w:rsid w:val="006F09FD"/>
    <w:rsid w:val="006F167D"/>
    <w:rsid w:val="007016C2"/>
    <w:rsid w:val="00701EAB"/>
    <w:rsid w:val="00705F1E"/>
    <w:rsid w:val="00707651"/>
    <w:rsid w:val="00710341"/>
    <w:rsid w:val="00710B94"/>
    <w:rsid w:val="00711098"/>
    <w:rsid w:val="00711BD4"/>
    <w:rsid w:val="0071448F"/>
    <w:rsid w:val="00714C0A"/>
    <w:rsid w:val="00717307"/>
    <w:rsid w:val="00717EE7"/>
    <w:rsid w:val="007225AC"/>
    <w:rsid w:val="00722D50"/>
    <w:rsid w:val="00724464"/>
    <w:rsid w:val="007266B3"/>
    <w:rsid w:val="00727459"/>
    <w:rsid w:val="00737841"/>
    <w:rsid w:val="00740A9A"/>
    <w:rsid w:val="00741AA6"/>
    <w:rsid w:val="00741E6E"/>
    <w:rsid w:val="007450AA"/>
    <w:rsid w:val="00746746"/>
    <w:rsid w:val="00753DD7"/>
    <w:rsid w:val="00757C67"/>
    <w:rsid w:val="00757D3E"/>
    <w:rsid w:val="00760F35"/>
    <w:rsid w:val="00770F18"/>
    <w:rsid w:val="00772C09"/>
    <w:rsid w:val="00772EDE"/>
    <w:rsid w:val="007737F1"/>
    <w:rsid w:val="00774B26"/>
    <w:rsid w:val="00777D5B"/>
    <w:rsid w:val="00791DCF"/>
    <w:rsid w:val="007962C4"/>
    <w:rsid w:val="00796395"/>
    <w:rsid w:val="00797933"/>
    <w:rsid w:val="007A0C6D"/>
    <w:rsid w:val="007A4421"/>
    <w:rsid w:val="007A7969"/>
    <w:rsid w:val="007B3B4A"/>
    <w:rsid w:val="007C301E"/>
    <w:rsid w:val="007D0DEE"/>
    <w:rsid w:val="007E0259"/>
    <w:rsid w:val="007E0EA0"/>
    <w:rsid w:val="007E2351"/>
    <w:rsid w:val="007E64C9"/>
    <w:rsid w:val="007E746C"/>
    <w:rsid w:val="0080052A"/>
    <w:rsid w:val="00802737"/>
    <w:rsid w:val="008114D6"/>
    <w:rsid w:val="00813854"/>
    <w:rsid w:val="00821BBC"/>
    <w:rsid w:val="00821F25"/>
    <w:rsid w:val="00822CF7"/>
    <w:rsid w:val="00827090"/>
    <w:rsid w:val="00831214"/>
    <w:rsid w:val="00834EDB"/>
    <w:rsid w:val="00840945"/>
    <w:rsid w:val="008454A0"/>
    <w:rsid w:val="0085167A"/>
    <w:rsid w:val="00862742"/>
    <w:rsid w:val="00862F2C"/>
    <w:rsid w:val="00864552"/>
    <w:rsid w:val="00892372"/>
    <w:rsid w:val="00892F09"/>
    <w:rsid w:val="0089435C"/>
    <w:rsid w:val="008972FF"/>
    <w:rsid w:val="008A1643"/>
    <w:rsid w:val="008A60F8"/>
    <w:rsid w:val="008B0698"/>
    <w:rsid w:val="008B3990"/>
    <w:rsid w:val="008B5AEB"/>
    <w:rsid w:val="008B71E2"/>
    <w:rsid w:val="008C0D30"/>
    <w:rsid w:val="008C3848"/>
    <w:rsid w:val="008C6A87"/>
    <w:rsid w:val="008D3DA3"/>
    <w:rsid w:val="008E133B"/>
    <w:rsid w:val="008E2740"/>
    <w:rsid w:val="008E591E"/>
    <w:rsid w:val="008F05AD"/>
    <w:rsid w:val="008F1E60"/>
    <w:rsid w:val="008F43AC"/>
    <w:rsid w:val="00901B34"/>
    <w:rsid w:val="00912803"/>
    <w:rsid w:val="00913916"/>
    <w:rsid w:val="00927A2E"/>
    <w:rsid w:val="00927F1C"/>
    <w:rsid w:val="00927F8D"/>
    <w:rsid w:val="0093190F"/>
    <w:rsid w:val="00937E48"/>
    <w:rsid w:val="00944427"/>
    <w:rsid w:val="00947D69"/>
    <w:rsid w:val="00956D11"/>
    <w:rsid w:val="00960125"/>
    <w:rsid w:val="00961BF0"/>
    <w:rsid w:val="009628E7"/>
    <w:rsid w:val="0096495C"/>
    <w:rsid w:val="00974205"/>
    <w:rsid w:val="00980431"/>
    <w:rsid w:val="00985368"/>
    <w:rsid w:val="00985E31"/>
    <w:rsid w:val="0098674E"/>
    <w:rsid w:val="00992694"/>
    <w:rsid w:val="009936DC"/>
    <w:rsid w:val="009936F8"/>
    <w:rsid w:val="00993C6F"/>
    <w:rsid w:val="00993E95"/>
    <w:rsid w:val="00997D4B"/>
    <w:rsid w:val="009A1EAC"/>
    <w:rsid w:val="009A3C45"/>
    <w:rsid w:val="009B75EE"/>
    <w:rsid w:val="009C0CA2"/>
    <w:rsid w:val="009C6A5F"/>
    <w:rsid w:val="009D3759"/>
    <w:rsid w:val="009D5BE9"/>
    <w:rsid w:val="009E3370"/>
    <w:rsid w:val="009E34E9"/>
    <w:rsid w:val="009E3994"/>
    <w:rsid w:val="009E5476"/>
    <w:rsid w:val="009E584A"/>
    <w:rsid w:val="009E7FC5"/>
    <w:rsid w:val="009F0B1B"/>
    <w:rsid w:val="009F3EC2"/>
    <w:rsid w:val="00A01599"/>
    <w:rsid w:val="00A0435B"/>
    <w:rsid w:val="00A07616"/>
    <w:rsid w:val="00A14527"/>
    <w:rsid w:val="00A15525"/>
    <w:rsid w:val="00A20E71"/>
    <w:rsid w:val="00A22E6F"/>
    <w:rsid w:val="00A2708C"/>
    <w:rsid w:val="00A3762B"/>
    <w:rsid w:val="00A4007A"/>
    <w:rsid w:val="00A41143"/>
    <w:rsid w:val="00A43D1E"/>
    <w:rsid w:val="00A458B0"/>
    <w:rsid w:val="00A54535"/>
    <w:rsid w:val="00A60AC2"/>
    <w:rsid w:val="00A63FE9"/>
    <w:rsid w:val="00A774D6"/>
    <w:rsid w:val="00A905C5"/>
    <w:rsid w:val="00A90EB9"/>
    <w:rsid w:val="00A934AB"/>
    <w:rsid w:val="00A94B0F"/>
    <w:rsid w:val="00A957B1"/>
    <w:rsid w:val="00A975B9"/>
    <w:rsid w:val="00AA0D2F"/>
    <w:rsid w:val="00AA5792"/>
    <w:rsid w:val="00AA5FB7"/>
    <w:rsid w:val="00AA6020"/>
    <w:rsid w:val="00AB32C6"/>
    <w:rsid w:val="00AB751F"/>
    <w:rsid w:val="00AD4677"/>
    <w:rsid w:val="00AD52A6"/>
    <w:rsid w:val="00AE002C"/>
    <w:rsid w:val="00AE623B"/>
    <w:rsid w:val="00AF128A"/>
    <w:rsid w:val="00AF24B5"/>
    <w:rsid w:val="00AF52BB"/>
    <w:rsid w:val="00B01F8F"/>
    <w:rsid w:val="00B02361"/>
    <w:rsid w:val="00B07AC9"/>
    <w:rsid w:val="00B07EAD"/>
    <w:rsid w:val="00B12C15"/>
    <w:rsid w:val="00B1535A"/>
    <w:rsid w:val="00B25414"/>
    <w:rsid w:val="00B30D47"/>
    <w:rsid w:val="00B37054"/>
    <w:rsid w:val="00B46D20"/>
    <w:rsid w:val="00B46DFD"/>
    <w:rsid w:val="00B47342"/>
    <w:rsid w:val="00B57BCD"/>
    <w:rsid w:val="00B61A90"/>
    <w:rsid w:val="00B65291"/>
    <w:rsid w:val="00B659FA"/>
    <w:rsid w:val="00B7173C"/>
    <w:rsid w:val="00B77870"/>
    <w:rsid w:val="00B8138E"/>
    <w:rsid w:val="00B85CDE"/>
    <w:rsid w:val="00B9018B"/>
    <w:rsid w:val="00B91BBD"/>
    <w:rsid w:val="00B93255"/>
    <w:rsid w:val="00B94FD6"/>
    <w:rsid w:val="00B9549A"/>
    <w:rsid w:val="00BB0F6E"/>
    <w:rsid w:val="00BB146F"/>
    <w:rsid w:val="00BB6C62"/>
    <w:rsid w:val="00BC16D1"/>
    <w:rsid w:val="00BC378D"/>
    <w:rsid w:val="00BC38F4"/>
    <w:rsid w:val="00BC396A"/>
    <w:rsid w:val="00BC3E60"/>
    <w:rsid w:val="00BD2A1E"/>
    <w:rsid w:val="00BD3411"/>
    <w:rsid w:val="00BD602C"/>
    <w:rsid w:val="00BE1527"/>
    <w:rsid w:val="00BF375C"/>
    <w:rsid w:val="00BF701F"/>
    <w:rsid w:val="00BF7C5A"/>
    <w:rsid w:val="00C01045"/>
    <w:rsid w:val="00C07BDA"/>
    <w:rsid w:val="00C11A99"/>
    <w:rsid w:val="00C12AB5"/>
    <w:rsid w:val="00C138A0"/>
    <w:rsid w:val="00C2160B"/>
    <w:rsid w:val="00C22DFB"/>
    <w:rsid w:val="00C24526"/>
    <w:rsid w:val="00C30249"/>
    <w:rsid w:val="00C342BF"/>
    <w:rsid w:val="00C3469B"/>
    <w:rsid w:val="00C3534B"/>
    <w:rsid w:val="00C36D6C"/>
    <w:rsid w:val="00C3710D"/>
    <w:rsid w:val="00C5155E"/>
    <w:rsid w:val="00C516DC"/>
    <w:rsid w:val="00C604A5"/>
    <w:rsid w:val="00C66B58"/>
    <w:rsid w:val="00C6718A"/>
    <w:rsid w:val="00C67C33"/>
    <w:rsid w:val="00C725EB"/>
    <w:rsid w:val="00C725FA"/>
    <w:rsid w:val="00C758CC"/>
    <w:rsid w:val="00C85094"/>
    <w:rsid w:val="00C9011E"/>
    <w:rsid w:val="00CA65F2"/>
    <w:rsid w:val="00CA7577"/>
    <w:rsid w:val="00CB002A"/>
    <w:rsid w:val="00CC2C44"/>
    <w:rsid w:val="00CC38A9"/>
    <w:rsid w:val="00CC3C0A"/>
    <w:rsid w:val="00CC6CA8"/>
    <w:rsid w:val="00CC7884"/>
    <w:rsid w:val="00CD13C3"/>
    <w:rsid w:val="00CD162F"/>
    <w:rsid w:val="00CD2646"/>
    <w:rsid w:val="00CD528E"/>
    <w:rsid w:val="00CD7C56"/>
    <w:rsid w:val="00CE4FDB"/>
    <w:rsid w:val="00CE67E3"/>
    <w:rsid w:val="00CE6DCD"/>
    <w:rsid w:val="00CF0E47"/>
    <w:rsid w:val="00CF1FD5"/>
    <w:rsid w:val="00CF791A"/>
    <w:rsid w:val="00D01FD7"/>
    <w:rsid w:val="00D04206"/>
    <w:rsid w:val="00D07348"/>
    <w:rsid w:val="00D10A63"/>
    <w:rsid w:val="00D1210B"/>
    <w:rsid w:val="00D145AC"/>
    <w:rsid w:val="00D16DA3"/>
    <w:rsid w:val="00D178BB"/>
    <w:rsid w:val="00D17B1A"/>
    <w:rsid w:val="00D24094"/>
    <w:rsid w:val="00D26654"/>
    <w:rsid w:val="00D31731"/>
    <w:rsid w:val="00D40836"/>
    <w:rsid w:val="00D41663"/>
    <w:rsid w:val="00D417E0"/>
    <w:rsid w:val="00D41CB3"/>
    <w:rsid w:val="00D44EA5"/>
    <w:rsid w:val="00D50EC4"/>
    <w:rsid w:val="00D53A93"/>
    <w:rsid w:val="00D60DDB"/>
    <w:rsid w:val="00D7009C"/>
    <w:rsid w:val="00D76408"/>
    <w:rsid w:val="00D81A3D"/>
    <w:rsid w:val="00D90AB2"/>
    <w:rsid w:val="00D9208B"/>
    <w:rsid w:val="00D93100"/>
    <w:rsid w:val="00D93F11"/>
    <w:rsid w:val="00DA382B"/>
    <w:rsid w:val="00DA3BA5"/>
    <w:rsid w:val="00DA3CEC"/>
    <w:rsid w:val="00DA5AC7"/>
    <w:rsid w:val="00DA7E7F"/>
    <w:rsid w:val="00DB23BD"/>
    <w:rsid w:val="00DB5541"/>
    <w:rsid w:val="00DB57F4"/>
    <w:rsid w:val="00DC2C3E"/>
    <w:rsid w:val="00DD46A9"/>
    <w:rsid w:val="00DF02F2"/>
    <w:rsid w:val="00DF35EF"/>
    <w:rsid w:val="00DF4D59"/>
    <w:rsid w:val="00DF5EE4"/>
    <w:rsid w:val="00DF6C61"/>
    <w:rsid w:val="00E03BE6"/>
    <w:rsid w:val="00E05641"/>
    <w:rsid w:val="00E11E86"/>
    <w:rsid w:val="00E123CF"/>
    <w:rsid w:val="00E14FB2"/>
    <w:rsid w:val="00E16BBF"/>
    <w:rsid w:val="00E24CAC"/>
    <w:rsid w:val="00E25011"/>
    <w:rsid w:val="00E31E4C"/>
    <w:rsid w:val="00E363EB"/>
    <w:rsid w:val="00E3795E"/>
    <w:rsid w:val="00E52520"/>
    <w:rsid w:val="00E627D1"/>
    <w:rsid w:val="00E70644"/>
    <w:rsid w:val="00E728CC"/>
    <w:rsid w:val="00E769FA"/>
    <w:rsid w:val="00E826B2"/>
    <w:rsid w:val="00E86635"/>
    <w:rsid w:val="00E86774"/>
    <w:rsid w:val="00E916A7"/>
    <w:rsid w:val="00E91F8D"/>
    <w:rsid w:val="00E979D1"/>
    <w:rsid w:val="00EA4242"/>
    <w:rsid w:val="00EA7732"/>
    <w:rsid w:val="00EB39BE"/>
    <w:rsid w:val="00EB5D24"/>
    <w:rsid w:val="00EC0BB0"/>
    <w:rsid w:val="00EC4687"/>
    <w:rsid w:val="00EC5CF4"/>
    <w:rsid w:val="00ED287B"/>
    <w:rsid w:val="00EE17E0"/>
    <w:rsid w:val="00EE3E52"/>
    <w:rsid w:val="00EF35B3"/>
    <w:rsid w:val="00EF4414"/>
    <w:rsid w:val="00EF53FD"/>
    <w:rsid w:val="00F30F44"/>
    <w:rsid w:val="00F31B82"/>
    <w:rsid w:val="00F357AA"/>
    <w:rsid w:val="00F41659"/>
    <w:rsid w:val="00F42DF6"/>
    <w:rsid w:val="00F45F21"/>
    <w:rsid w:val="00F5319B"/>
    <w:rsid w:val="00F56594"/>
    <w:rsid w:val="00F60A81"/>
    <w:rsid w:val="00F60B9C"/>
    <w:rsid w:val="00F67F9A"/>
    <w:rsid w:val="00F7367C"/>
    <w:rsid w:val="00F76F1A"/>
    <w:rsid w:val="00F776D2"/>
    <w:rsid w:val="00F826E6"/>
    <w:rsid w:val="00F85694"/>
    <w:rsid w:val="00F90356"/>
    <w:rsid w:val="00F92827"/>
    <w:rsid w:val="00FA2C10"/>
    <w:rsid w:val="00FA36E8"/>
    <w:rsid w:val="00FA3E10"/>
    <w:rsid w:val="00FA416E"/>
    <w:rsid w:val="00FA4279"/>
    <w:rsid w:val="00FA4AA1"/>
    <w:rsid w:val="00FA6D89"/>
    <w:rsid w:val="00FA734E"/>
    <w:rsid w:val="00FB3A4A"/>
    <w:rsid w:val="00FB539A"/>
    <w:rsid w:val="00FB5BB8"/>
    <w:rsid w:val="00FC6568"/>
    <w:rsid w:val="00FD41EA"/>
    <w:rsid w:val="00FD4847"/>
    <w:rsid w:val="00FE07F0"/>
    <w:rsid w:val="00FE6554"/>
    <w:rsid w:val="00FF16A4"/>
    <w:rsid w:val="00FF5403"/>
    <w:rsid w:val="00FF6187"/>
    <w:rsid w:val="00FF6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56C3"/>
  <w15:chartTrackingRefBased/>
  <w15:docId w15:val="{90525883-EBC7-443F-A79F-8D910428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28"/>
  </w:style>
  <w:style w:type="paragraph" w:styleId="Heading1">
    <w:name w:val="heading 1"/>
    <w:basedOn w:val="Normal"/>
    <w:next w:val="Normal"/>
    <w:link w:val="Heading1Char"/>
    <w:uiPriority w:val="9"/>
    <w:qFormat/>
    <w:rsid w:val="00E728CC"/>
    <w:pPr>
      <w:keepNext/>
      <w:keepLines/>
      <w:spacing w:before="240" w:after="0"/>
      <w:outlineLvl w:val="0"/>
    </w:pPr>
    <w:rPr>
      <w:rFonts w:ascii="Arial" w:eastAsiaTheme="majorEastAsia" w:hAnsi="Arial"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D240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5ACF"/>
    <w:pPr>
      <w:keepNext/>
      <w:keepLines/>
      <w:spacing w:before="120" w:after="120"/>
      <w:outlineLvl w:val="2"/>
    </w:pPr>
    <w:rPr>
      <w:rFonts w:ascii="Arial" w:eastAsiaTheme="majorEastAsia" w:hAnsi="Arial" w:cstheme="majorBidi"/>
      <w:b/>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C7"/>
    <w:rPr>
      <w:color w:val="0563C1" w:themeColor="hyperlink"/>
      <w:u w:val="single"/>
    </w:rPr>
  </w:style>
  <w:style w:type="paragraph" w:styleId="ListParagraph">
    <w:name w:val="List Paragraph"/>
    <w:basedOn w:val="Normal"/>
    <w:uiPriority w:val="34"/>
    <w:qFormat/>
    <w:rsid w:val="009B75EE"/>
    <w:pPr>
      <w:ind w:left="720"/>
      <w:contextualSpacing/>
    </w:pPr>
  </w:style>
  <w:style w:type="paragraph" w:styleId="FootnoteText">
    <w:name w:val="footnote text"/>
    <w:basedOn w:val="Normal"/>
    <w:link w:val="FootnoteTextChar"/>
    <w:uiPriority w:val="99"/>
    <w:unhideWhenUsed/>
    <w:rsid w:val="00705F1E"/>
    <w:pPr>
      <w:spacing w:after="0" w:line="240" w:lineRule="auto"/>
    </w:pPr>
    <w:rPr>
      <w:sz w:val="20"/>
      <w:szCs w:val="20"/>
    </w:rPr>
  </w:style>
  <w:style w:type="character" w:customStyle="1" w:styleId="FootnoteTextChar">
    <w:name w:val="Footnote Text Char"/>
    <w:basedOn w:val="DefaultParagraphFont"/>
    <w:link w:val="FootnoteText"/>
    <w:uiPriority w:val="99"/>
    <w:rsid w:val="00705F1E"/>
    <w:rPr>
      <w:sz w:val="20"/>
      <w:szCs w:val="20"/>
    </w:rPr>
  </w:style>
  <w:style w:type="character" w:styleId="FootnoteReference">
    <w:name w:val="footnote reference"/>
    <w:basedOn w:val="DefaultParagraphFont"/>
    <w:uiPriority w:val="99"/>
    <w:unhideWhenUsed/>
    <w:rsid w:val="00705F1E"/>
    <w:rPr>
      <w:vertAlign w:val="superscript"/>
    </w:rPr>
  </w:style>
  <w:style w:type="paragraph" w:styleId="BalloonText">
    <w:name w:val="Balloon Text"/>
    <w:basedOn w:val="Normal"/>
    <w:link w:val="BalloonTextChar"/>
    <w:uiPriority w:val="99"/>
    <w:semiHidden/>
    <w:unhideWhenUsed/>
    <w:rsid w:val="004E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5"/>
    <w:rPr>
      <w:rFonts w:ascii="Segoe UI" w:hAnsi="Segoe UI" w:cs="Segoe UI"/>
      <w:sz w:val="18"/>
      <w:szCs w:val="18"/>
    </w:rPr>
  </w:style>
  <w:style w:type="paragraph" w:styleId="EndnoteText">
    <w:name w:val="endnote text"/>
    <w:basedOn w:val="Normal"/>
    <w:link w:val="EndnoteTextChar"/>
    <w:uiPriority w:val="99"/>
    <w:unhideWhenUsed/>
    <w:rsid w:val="004E3D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E3D05"/>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E3D05"/>
    <w:rPr>
      <w:vertAlign w:val="superscript"/>
    </w:rPr>
  </w:style>
  <w:style w:type="character" w:customStyle="1" w:styleId="UnresolvedMention1">
    <w:name w:val="Unresolved Mention1"/>
    <w:basedOn w:val="DefaultParagraphFont"/>
    <w:uiPriority w:val="99"/>
    <w:semiHidden/>
    <w:unhideWhenUsed/>
    <w:rsid w:val="00007B2F"/>
    <w:rPr>
      <w:color w:val="605E5C"/>
      <w:shd w:val="clear" w:color="auto" w:fill="E1DFDD"/>
    </w:rPr>
  </w:style>
  <w:style w:type="paragraph" w:styleId="Header">
    <w:name w:val="header"/>
    <w:basedOn w:val="Normal"/>
    <w:link w:val="HeaderChar"/>
    <w:uiPriority w:val="99"/>
    <w:unhideWhenUsed/>
    <w:rsid w:val="009A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AC"/>
  </w:style>
  <w:style w:type="paragraph" w:styleId="Footer">
    <w:name w:val="footer"/>
    <w:basedOn w:val="Normal"/>
    <w:link w:val="FooterChar"/>
    <w:uiPriority w:val="99"/>
    <w:unhideWhenUsed/>
    <w:rsid w:val="009A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AC"/>
  </w:style>
  <w:style w:type="character" w:styleId="CommentReference">
    <w:name w:val="annotation reference"/>
    <w:basedOn w:val="DefaultParagraphFont"/>
    <w:uiPriority w:val="99"/>
    <w:semiHidden/>
    <w:unhideWhenUsed/>
    <w:rsid w:val="005A4CF0"/>
    <w:rPr>
      <w:sz w:val="16"/>
      <w:szCs w:val="16"/>
    </w:rPr>
  </w:style>
  <w:style w:type="paragraph" w:styleId="CommentText">
    <w:name w:val="annotation text"/>
    <w:basedOn w:val="Normal"/>
    <w:link w:val="CommentTextChar"/>
    <w:uiPriority w:val="99"/>
    <w:semiHidden/>
    <w:unhideWhenUsed/>
    <w:rsid w:val="005A4CF0"/>
    <w:pPr>
      <w:spacing w:line="240" w:lineRule="auto"/>
    </w:pPr>
    <w:rPr>
      <w:sz w:val="20"/>
      <w:szCs w:val="20"/>
    </w:rPr>
  </w:style>
  <w:style w:type="character" w:customStyle="1" w:styleId="CommentTextChar">
    <w:name w:val="Comment Text Char"/>
    <w:basedOn w:val="DefaultParagraphFont"/>
    <w:link w:val="CommentText"/>
    <w:uiPriority w:val="99"/>
    <w:semiHidden/>
    <w:rsid w:val="005A4CF0"/>
    <w:rPr>
      <w:sz w:val="20"/>
      <w:szCs w:val="20"/>
    </w:rPr>
  </w:style>
  <w:style w:type="paragraph" w:styleId="CommentSubject">
    <w:name w:val="annotation subject"/>
    <w:basedOn w:val="CommentText"/>
    <w:next w:val="CommentText"/>
    <w:link w:val="CommentSubjectChar"/>
    <w:uiPriority w:val="99"/>
    <w:semiHidden/>
    <w:unhideWhenUsed/>
    <w:rsid w:val="005A4CF0"/>
    <w:rPr>
      <w:b/>
      <w:bCs/>
    </w:rPr>
  </w:style>
  <w:style w:type="character" w:customStyle="1" w:styleId="CommentSubjectChar">
    <w:name w:val="Comment Subject Char"/>
    <w:basedOn w:val="CommentTextChar"/>
    <w:link w:val="CommentSubject"/>
    <w:uiPriority w:val="99"/>
    <w:semiHidden/>
    <w:rsid w:val="005A4CF0"/>
    <w:rPr>
      <w:b/>
      <w:bCs/>
      <w:sz w:val="20"/>
      <w:szCs w:val="20"/>
    </w:rPr>
  </w:style>
  <w:style w:type="character" w:styleId="FollowedHyperlink">
    <w:name w:val="FollowedHyperlink"/>
    <w:basedOn w:val="DefaultParagraphFont"/>
    <w:uiPriority w:val="99"/>
    <w:semiHidden/>
    <w:unhideWhenUsed/>
    <w:rsid w:val="00740A9A"/>
    <w:rPr>
      <w:color w:val="954F72" w:themeColor="followedHyperlink"/>
      <w:u w:val="single"/>
    </w:rPr>
  </w:style>
  <w:style w:type="character" w:customStyle="1" w:styleId="UnresolvedMention2">
    <w:name w:val="Unresolved Mention2"/>
    <w:basedOn w:val="DefaultParagraphFont"/>
    <w:uiPriority w:val="99"/>
    <w:semiHidden/>
    <w:unhideWhenUsed/>
    <w:rsid w:val="00740A9A"/>
    <w:rPr>
      <w:color w:val="605E5C"/>
      <w:shd w:val="clear" w:color="auto" w:fill="E1DFDD"/>
    </w:rPr>
  </w:style>
  <w:style w:type="table" w:styleId="TableGrid">
    <w:name w:val="Table Grid"/>
    <w:basedOn w:val="TableNormal"/>
    <w:uiPriority w:val="39"/>
    <w:rsid w:val="009E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28CC"/>
    <w:rPr>
      <w:rFonts w:ascii="Arial" w:eastAsiaTheme="majorEastAsia" w:hAnsi="Arial" w:cstheme="majorBidi"/>
      <w:color w:val="538135" w:themeColor="accent6" w:themeShade="BF"/>
      <w:sz w:val="32"/>
      <w:szCs w:val="32"/>
    </w:rPr>
  </w:style>
  <w:style w:type="paragraph" w:styleId="TOCHeading">
    <w:name w:val="TOC Heading"/>
    <w:basedOn w:val="Heading1"/>
    <w:next w:val="Normal"/>
    <w:uiPriority w:val="39"/>
    <w:unhideWhenUsed/>
    <w:qFormat/>
    <w:rsid w:val="00E728CC"/>
    <w:pPr>
      <w:outlineLvl w:val="9"/>
    </w:pPr>
    <w:rPr>
      <w:lang w:val="en-US"/>
    </w:rPr>
  </w:style>
  <w:style w:type="paragraph" w:styleId="TOC1">
    <w:name w:val="toc 1"/>
    <w:basedOn w:val="Normal"/>
    <w:next w:val="Normal"/>
    <w:autoRedefine/>
    <w:uiPriority w:val="39"/>
    <w:unhideWhenUsed/>
    <w:rsid w:val="00695219"/>
    <w:pPr>
      <w:tabs>
        <w:tab w:val="right" w:leader="dot" w:pos="9016"/>
      </w:tabs>
      <w:spacing w:before="240" w:after="240"/>
    </w:pPr>
    <w:rPr>
      <w:rFonts w:ascii="Arial" w:hAnsi="Arial"/>
      <w:sz w:val="24"/>
    </w:rPr>
  </w:style>
  <w:style w:type="character" w:customStyle="1" w:styleId="Heading2Char">
    <w:name w:val="Heading 2 Char"/>
    <w:basedOn w:val="DefaultParagraphFont"/>
    <w:link w:val="Heading2"/>
    <w:uiPriority w:val="9"/>
    <w:rsid w:val="00D2409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92694"/>
    <w:pPr>
      <w:spacing w:after="100"/>
      <w:ind w:left="220"/>
    </w:pPr>
  </w:style>
  <w:style w:type="character" w:customStyle="1" w:styleId="Heading3Char">
    <w:name w:val="Heading 3 Char"/>
    <w:basedOn w:val="DefaultParagraphFont"/>
    <w:link w:val="Heading3"/>
    <w:uiPriority w:val="9"/>
    <w:rsid w:val="00475ACF"/>
    <w:rPr>
      <w:rFonts w:ascii="Arial" w:eastAsiaTheme="majorEastAsia" w:hAnsi="Arial" w:cstheme="majorBidi"/>
      <w:b/>
      <w:color w:val="538135" w:themeColor="accent6" w:themeShade="BF"/>
      <w:sz w:val="24"/>
      <w:szCs w:val="24"/>
    </w:rPr>
  </w:style>
  <w:style w:type="paragraph" w:styleId="TOC3">
    <w:name w:val="toc 3"/>
    <w:basedOn w:val="Normal"/>
    <w:next w:val="Normal"/>
    <w:autoRedefine/>
    <w:uiPriority w:val="39"/>
    <w:unhideWhenUsed/>
    <w:rsid w:val="00D41663"/>
    <w:pPr>
      <w:tabs>
        <w:tab w:val="right" w:leader="dot" w:pos="9016"/>
      </w:tabs>
      <w:spacing w:after="100"/>
      <w:ind w:left="440"/>
    </w:pPr>
    <w:rPr>
      <w:rFonts w:ascii="Arial" w:hAnsi="Arial" w:cs="Arial"/>
      <w:noProof/>
    </w:rPr>
  </w:style>
  <w:style w:type="paragraph" w:styleId="Quote">
    <w:name w:val="Quote"/>
    <w:basedOn w:val="Normal"/>
    <w:next w:val="Normal"/>
    <w:link w:val="QuoteChar"/>
    <w:uiPriority w:val="29"/>
    <w:qFormat/>
    <w:rsid w:val="00C901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9011E"/>
    <w:rPr>
      <w:i/>
      <w:iCs/>
      <w:color w:val="404040" w:themeColor="text1" w:themeTint="BF"/>
    </w:rPr>
  </w:style>
  <w:style w:type="paragraph" w:styleId="NormalWeb">
    <w:name w:val="Normal (Web)"/>
    <w:basedOn w:val="Normal"/>
    <w:uiPriority w:val="99"/>
    <w:semiHidden/>
    <w:unhideWhenUsed/>
    <w:rsid w:val="00C67C33"/>
    <w:pPr>
      <w:spacing w:after="0"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E97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3394">
      <w:bodyDiv w:val="1"/>
      <w:marLeft w:val="0"/>
      <w:marRight w:val="0"/>
      <w:marTop w:val="0"/>
      <w:marBottom w:val="0"/>
      <w:divBdr>
        <w:top w:val="none" w:sz="0" w:space="0" w:color="auto"/>
        <w:left w:val="none" w:sz="0" w:space="0" w:color="auto"/>
        <w:bottom w:val="none" w:sz="0" w:space="0" w:color="auto"/>
        <w:right w:val="none" w:sz="0" w:space="0" w:color="auto"/>
      </w:divBdr>
    </w:div>
    <w:div w:id="406340744">
      <w:bodyDiv w:val="1"/>
      <w:marLeft w:val="0"/>
      <w:marRight w:val="0"/>
      <w:marTop w:val="0"/>
      <w:marBottom w:val="0"/>
      <w:divBdr>
        <w:top w:val="none" w:sz="0" w:space="0" w:color="auto"/>
        <w:left w:val="none" w:sz="0" w:space="0" w:color="auto"/>
        <w:bottom w:val="none" w:sz="0" w:space="0" w:color="auto"/>
        <w:right w:val="none" w:sz="0" w:space="0" w:color="auto"/>
      </w:divBdr>
    </w:div>
    <w:div w:id="533738382">
      <w:bodyDiv w:val="1"/>
      <w:marLeft w:val="0"/>
      <w:marRight w:val="0"/>
      <w:marTop w:val="0"/>
      <w:marBottom w:val="0"/>
      <w:divBdr>
        <w:top w:val="none" w:sz="0" w:space="0" w:color="auto"/>
        <w:left w:val="none" w:sz="0" w:space="0" w:color="auto"/>
        <w:bottom w:val="none" w:sz="0" w:space="0" w:color="auto"/>
        <w:right w:val="none" w:sz="0" w:space="0" w:color="auto"/>
      </w:divBdr>
    </w:div>
    <w:div w:id="638416142">
      <w:bodyDiv w:val="1"/>
      <w:marLeft w:val="0"/>
      <w:marRight w:val="0"/>
      <w:marTop w:val="0"/>
      <w:marBottom w:val="0"/>
      <w:divBdr>
        <w:top w:val="none" w:sz="0" w:space="0" w:color="auto"/>
        <w:left w:val="none" w:sz="0" w:space="0" w:color="auto"/>
        <w:bottom w:val="none" w:sz="0" w:space="0" w:color="auto"/>
        <w:right w:val="none" w:sz="0" w:space="0" w:color="auto"/>
      </w:divBdr>
    </w:div>
    <w:div w:id="671418579">
      <w:bodyDiv w:val="1"/>
      <w:marLeft w:val="0"/>
      <w:marRight w:val="0"/>
      <w:marTop w:val="0"/>
      <w:marBottom w:val="0"/>
      <w:divBdr>
        <w:top w:val="none" w:sz="0" w:space="0" w:color="auto"/>
        <w:left w:val="none" w:sz="0" w:space="0" w:color="auto"/>
        <w:bottom w:val="none" w:sz="0" w:space="0" w:color="auto"/>
        <w:right w:val="none" w:sz="0" w:space="0" w:color="auto"/>
      </w:divBdr>
    </w:div>
    <w:div w:id="842861007">
      <w:bodyDiv w:val="1"/>
      <w:marLeft w:val="0"/>
      <w:marRight w:val="0"/>
      <w:marTop w:val="0"/>
      <w:marBottom w:val="0"/>
      <w:divBdr>
        <w:top w:val="none" w:sz="0" w:space="0" w:color="auto"/>
        <w:left w:val="none" w:sz="0" w:space="0" w:color="auto"/>
        <w:bottom w:val="none" w:sz="0" w:space="0" w:color="auto"/>
        <w:right w:val="none" w:sz="0" w:space="0" w:color="auto"/>
      </w:divBdr>
    </w:div>
    <w:div w:id="939484757">
      <w:bodyDiv w:val="1"/>
      <w:marLeft w:val="0"/>
      <w:marRight w:val="0"/>
      <w:marTop w:val="0"/>
      <w:marBottom w:val="0"/>
      <w:divBdr>
        <w:top w:val="none" w:sz="0" w:space="0" w:color="auto"/>
        <w:left w:val="none" w:sz="0" w:space="0" w:color="auto"/>
        <w:bottom w:val="none" w:sz="0" w:space="0" w:color="auto"/>
        <w:right w:val="none" w:sz="0" w:space="0" w:color="auto"/>
      </w:divBdr>
    </w:div>
    <w:div w:id="1097403929">
      <w:bodyDiv w:val="1"/>
      <w:marLeft w:val="0"/>
      <w:marRight w:val="0"/>
      <w:marTop w:val="0"/>
      <w:marBottom w:val="0"/>
      <w:divBdr>
        <w:top w:val="none" w:sz="0" w:space="0" w:color="auto"/>
        <w:left w:val="none" w:sz="0" w:space="0" w:color="auto"/>
        <w:bottom w:val="none" w:sz="0" w:space="0" w:color="auto"/>
        <w:right w:val="none" w:sz="0" w:space="0" w:color="auto"/>
      </w:divBdr>
    </w:div>
    <w:div w:id="1480197255">
      <w:bodyDiv w:val="1"/>
      <w:marLeft w:val="0"/>
      <w:marRight w:val="0"/>
      <w:marTop w:val="0"/>
      <w:marBottom w:val="0"/>
      <w:divBdr>
        <w:top w:val="none" w:sz="0" w:space="0" w:color="auto"/>
        <w:left w:val="none" w:sz="0" w:space="0" w:color="auto"/>
        <w:bottom w:val="none" w:sz="0" w:space="0" w:color="auto"/>
        <w:right w:val="none" w:sz="0" w:space="0" w:color="auto"/>
      </w:divBdr>
    </w:div>
    <w:div w:id="1558394836">
      <w:bodyDiv w:val="1"/>
      <w:marLeft w:val="0"/>
      <w:marRight w:val="0"/>
      <w:marTop w:val="0"/>
      <w:marBottom w:val="0"/>
      <w:divBdr>
        <w:top w:val="none" w:sz="0" w:space="0" w:color="auto"/>
        <w:left w:val="none" w:sz="0" w:space="0" w:color="auto"/>
        <w:bottom w:val="none" w:sz="0" w:space="0" w:color="auto"/>
        <w:right w:val="none" w:sz="0" w:space="0" w:color="auto"/>
      </w:divBdr>
    </w:div>
    <w:div w:id="1730569994">
      <w:bodyDiv w:val="1"/>
      <w:marLeft w:val="0"/>
      <w:marRight w:val="0"/>
      <w:marTop w:val="0"/>
      <w:marBottom w:val="0"/>
      <w:divBdr>
        <w:top w:val="none" w:sz="0" w:space="0" w:color="auto"/>
        <w:left w:val="none" w:sz="0" w:space="0" w:color="auto"/>
        <w:bottom w:val="none" w:sz="0" w:space="0" w:color="auto"/>
        <w:right w:val="none" w:sz="0" w:space="0" w:color="auto"/>
      </w:divBdr>
    </w:div>
    <w:div w:id="2025402928">
      <w:bodyDiv w:val="1"/>
      <w:marLeft w:val="0"/>
      <w:marRight w:val="0"/>
      <w:marTop w:val="0"/>
      <w:marBottom w:val="0"/>
      <w:divBdr>
        <w:top w:val="none" w:sz="0" w:space="0" w:color="auto"/>
        <w:left w:val="none" w:sz="0" w:space="0" w:color="auto"/>
        <w:bottom w:val="none" w:sz="0" w:space="0" w:color="auto"/>
        <w:right w:val="none" w:sz="0" w:space="0" w:color="auto"/>
      </w:divBdr>
    </w:div>
    <w:div w:id="20539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da.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sayers@cyda.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changetherecord.org.au/" TargetMode="External"/><Relationship Id="rId2" Type="http://schemas.openxmlformats.org/officeDocument/2006/relationships/hyperlink" Target="https://www.fclc.org.au/smart_justice_for_young_people" TargetMode="External"/><Relationship Id="rId1" Type="http://schemas.openxmlformats.org/officeDocument/2006/relationships/hyperlink" Target="https://www.raisetheage.org.au/" TargetMode="External"/><Relationship Id="rId5" Type="http://schemas.openxmlformats.org/officeDocument/2006/relationships/hyperlink" Target="https://www.racp.edu.au/news-and-events/media-releases/physicians-say-age-of-criminal-responsibility-must-be-raised-to-help-end-abuse-in-custody" TargetMode="External"/><Relationship Id="rId4" Type="http://schemas.openxmlformats.org/officeDocument/2006/relationships/hyperlink" Target="https://www.hrlc.org.au/news/2020/7/27/australian-governments-continue-to-fail-kids-by-refusing-to-raise-the-age-at-which-children-can-be-locked-in-prison"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E652-2082-4FD7-AD5B-6E8FFB9C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Maeve Kennedy</cp:lastModifiedBy>
  <cp:revision>10</cp:revision>
  <cp:lastPrinted>2020-08-31T07:20:00Z</cp:lastPrinted>
  <dcterms:created xsi:type="dcterms:W3CDTF">2020-08-30T12:39:00Z</dcterms:created>
  <dcterms:modified xsi:type="dcterms:W3CDTF">2020-08-31T07:21:00Z</dcterms:modified>
</cp:coreProperties>
</file>