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9C083" w14:textId="77777777" w:rsidR="002E2BEC" w:rsidRDefault="002E2BEC" w:rsidP="00217CBB">
      <w:pPr>
        <w:rPr>
          <w:rFonts w:ascii="Helvetica" w:hAnsi="Helvetica"/>
          <w:b/>
          <w:sz w:val="28"/>
          <w:szCs w:val="28"/>
        </w:rPr>
      </w:pPr>
      <w:bookmarkStart w:id="0" w:name="_GoBack"/>
      <w:bookmarkEnd w:id="0"/>
    </w:p>
    <w:p w14:paraId="29CB2327" w14:textId="77777777" w:rsidR="001719B8" w:rsidRDefault="001719B8" w:rsidP="00D620BB">
      <w:pPr>
        <w:pStyle w:val="Heading1"/>
      </w:pPr>
    </w:p>
    <w:p w14:paraId="71106688" w14:textId="77777777" w:rsidR="001719B8" w:rsidRDefault="001719B8" w:rsidP="001719B8"/>
    <w:p w14:paraId="1D3A67AB" w14:textId="3BC09419" w:rsidR="001719B8" w:rsidRDefault="001719B8" w:rsidP="001719B8">
      <w:pPr>
        <w:jc w:val="center"/>
      </w:pPr>
    </w:p>
    <w:p w14:paraId="64A7D320" w14:textId="77777777" w:rsidR="001719B8" w:rsidRDefault="001719B8" w:rsidP="001719B8"/>
    <w:p w14:paraId="155B61D2" w14:textId="77777777" w:rsidR="001719B8" w:rsidRDefault="001719B8" w:rsidP="001719B8"/>
    <w:p w14:paraId="6DC47E0B" w14:textId="77777777" w:rsidR="001719B8" w:rsidRDefault="001719B8" w:rsidP="001719B8"/>
    <w:p w14:paraId="26245426" w14:textId="4F66011E" w:rsidR="001719B8" w:rsidRPr="0038714B" w:rsidRDefault="001719B8" w:rsidP="0038714B">
      <w:pPr>
        <w:rPr>
          <w:rFonts w:ascii="Helvetica" w:hAnsi="Helvetica"/>
          <w:b/>
          <w:sz w:val="32"/>
          <w:szCs w:val="32"/>
        </w:rPr>
      </w:pPr>
      <w:r w:rsidRPr="0038714B">
        <w:rPr>
          <w:rFonts w:ascii="Helvetica" w:hAnsi="Helvetica"/>
          <w:b/>
          <w:sz w:val="32"/>
          <w:szCs w:val="32"/>
        </w:rPr>
        <w:t>The Revie</w:t>
      </w:r>
      <w:r w:rsidR="00FA44D9">
        <w:rPr>
          <w:rFonts w:ascii="Helvetica" w:hAnsi="Helvetica"/>
          <w:b/>
          <w:sz w:val="32"/>
          <w:szCs w:val="32"/>
        </w:rPr>
        <w:t>w of Senior Secondary Pathways i</w:t>
      </w:r>
      <w:r w:rsidRPr="0038714B">
        <w:rPr>
          <w:rFonts w:ascii="Helvetica" w:hAnsi="Helvetica"/>
          <w:b/>
          <w:sz w:val="32"/>
          <w:szCs w:val="32"/>
        </w:rPr>
        <w:t>nto Work, Further Education and Training</w:t>
      </w:r>
    </w:p>
    <w:p w14:paraId="5ABCFBDD" w14:textId="77777777" w:rsidR="001719B8" w:rsidRPr="0038714B" w:rsidRDefault="001719B8" w:rsidP="0038714B">
      <w:pPr>
        <w:rPr>
          <w:sz w:val="32"/>
          <w:szCs w:val="32"/>
        </w:rPr>
      </w:pPr>
    </w:p>
    <w:p w14:paraId="1F1720C2" w14:textId="77777777" w:rsidR="001719B8" w:rsidRPr="0038714B" w:rsidRDefault="001719B8" w:rsidP="0038714B">
      <w:pPr>
        <w:rPr>
          <w:sz w:val="32"/>
          <w:szCs w:val="32"/>
        </w:rPr>
      </w:pPr>
    </w:p>
    <w:p w14:paraId="5550734A" w14:textId="77777777" w:rsidR="001719B8" w:rsidRPr="0038714B" w:rsidRDefault="001719B8" w:rsidP="0038714B">
      <w:pPr>
        <w:rPr>
          <w:sz w:val="32"/>
          <w:szCs w:val="32"/>
        </w:rPr>
      </w:pPr>
    </w:p>
    <w:p w14:paraId="0A63BC4C" w14:textId="77777777" w:rsidR="003D69B9" w:rsidRPr="0038714B" w:rsidRDefault="001719B8" w:rsidP="0038714B">
      <w:pPr>
        <w:rPr>
          <w:rFonts w:ascii="Helvetica" w:hAnsi="Helvetica"/>
          <w:b/>
          <w:sz w:val="32"/>
          <w:szCs w:val="32"/>
        </w:rPr>
      </w:pPr>
      <w:r w:rsidRPr="0038714B">
        <w:rPr>
          <w:rFonts w:ascii="Helvetica" w:hAnsi="Helvetica"/>
          <w:b/>
          <w:sz w:val="32"/>
          <w:szCs w:val="32"/>
        </w:rPr>
        <w:t>Submission</w:t>
      </w:r>
      <w:r w:rsidR="003D69B9" w:rsidRPr="0038714B">
        <w:rPr>
          <w:rFonts w:ascii="Helvetica" w:hAnsi="Helvetica"/>
          <w:b/>
          <w:sz w:val="32"/>
          <w:szCs w:val="32"/>
        </w:rPr>
        <w:t xml:space="preserve"> to the Education Council</w:t>
      </w:r>
    </w:p>
    <w:p w14:paraId="13919D76" w14:textId="77777777" w:rsidR="001719B8" w:rsidRDefault="001719B8" w:rsidP="001719B8"/>
    <w:p w14:paraId="54527695" w14:textId="77777777" w:rsidR="001719B8" w:rsidRDefault="001719B8" w:rsidP="001719B8"/>
    <w:p w14:paraId="7A9C0D3D" w14:textId="77777777" w:rsidR="001719B8" w:rsidRDefault="001719B8" w:rsidP="001719B8"/>
    <w:p w14:paraId="740E39CB" w14:textId="77777777" w:rsidR="0038714B" w:rsidRDefault="0038714B" w:rsidP="0038714B">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4FB4D891" w14:textId="706943C2" w:rsidR="001719B8" w:rsidRDefault="0038714B" w:rsidP="0038714B">
      <w:pPr>
        <w:rPr>
          <w:rFonts w:ascii="Helvetica" w:hAnsi="Helvetica"/>
          <w:b/>
          <w:sz w:val="24"/>
          <w:szCs w:val="24"/>
        </w:rPr>
      </w:pPr>
      <w:r>
        <w:rPr>
          <w:rFonts w:ascii="Helvetica" w:hAnsi="Helvetica"/>
          <w:b/>
          <w:sz w:val="24"/>
          <w:szCs w:val="24"/>
        </w:rPr>
        <w:t>December 2019</w:t>
      </w:r>
    </w:p>
    <w:p w14:paraId="3FDE9FBB" w14:textId="77777777" w:rsidR="00BF1022" w:rsidRDefault="00BF1022" w:rsidP="0038714B">
      <w:pPr>
        <w:rPr>
          <w:rFonts w:ascii="Helvetica" w:hAnsi="Helvetica"/>
          <w:b/>
          <w:sz w:val="24"/>
          <w:szCs w:val="24"/>
        </w:rPr>
      </w:pPr>
    </w:p>
    <w:p w14:paraId="5AA2998E" w14:textId="54E7E8D1" w:rsidR="00BF1022" w:rsidRDefault="00BF1022" w:rsidP="0038714B">
      <w:r>
        <w:rPr>
          <w:rFonts w:ascii="Helvetica" w:hAnsi="Helvetica"/>
          <w:b/>
          <w:sz w:val="24"/>
          <w:szCs w:val="24"/>
        </w:rPr>
        <w:t>(Updated with additional survey responses March 2020)</w:t>
      </w:r>
    </w:p>
    <w:p w14:paraId="67E512CF" w14:textId="77777777" w:rsidR="001719B8" w:rsidRDefault="001719B8" w:rsidP="001719B8"/>
    <w:p w14:paraId="5A0F6AC3" w14:textId="77777777" w:rsidR="001719B8" w:rsidRDefault="001719B8" w:rsidP="001719B8"/>
    <w:p w14:paraId="1447859E" w14:textId="77777777" w:rsidR="00050C5F" w:rsidRDefault="00050C5F" w:rsidP="001719B8">
      <w:pPr>
        <w:sectPr w:rsidR="00050C5F" w:rsidSect="00FD6091">
          <w:footerReference w:type="default" r:id="rId8"/>
          <w:headerReference w:type="first" r:id="rId9"/>
          <w:footerReference w:type="first" r:id="rId10"/>
          <w:pgSz w:w="11906" w:h="16838"/>
          <w:pgMar w:top="1440" w:right="1080" w:bottom="1440" w:left="1080" w:header="708" w:footer="708" w:gutter="0"/>
          <w:cols w:space="708"/>
          <w:titlePg/>
          <w:docGrid w:linePitch="360"/>
        </w:sectPr>
      </w:pPr>
    </w:p>
    <w:p w14:paraId="15C16D85" w14:textId="77777777" w:rsidR="004515A0" w:rsidRDefault="00990E39" w:rsidP="00374F54">
      <w:pPr>
        <w:rPr>
          <w:rFonts w:ascii="Helvetica" w:hAnsi="Helvetica" w:cs="Helvetica"/>
          <w:color w:val="538135" w:themeColor="accent6" w:themeShade="BF"/>
          <w:sz w:val="32"/>
          <w:szCs w:val="32"/>
        </w:rPr>
      </w:pPr>
      <w:r w:rsidRPr="00990E39">
        <w:rPr>
          <w:rFonts w:ascii="Helvetica" w:hAnsi="Helvetica" w:cs="Helvetica"/>
          <w:color w:val="538135" w:themeColor="accent6" w:themeShade="BF"/>
          <w:sz w:val="32"/>
          <w:szCs w:val="32"/>
        </w:rPr>
        <w:lastRenderedPageBreak/>
        <w:t>Table of contents</w:t>
      </w:r>
    </w:p>
    <w:p w14:paraId="6818C521" w14:textId="77777777" w:rsidR="00050C5F" w:rsidRPr="00990E39" w:rsidRDefault="00050C5F" w:rsidP="00374F54">
      <w:pPr>
        <w:rPr>
          <w:rFonts w:ascii="Helvetica" w:hAnsi="Helvetica" w:cs="Helvetica"/>
          <w:color w:val="538135" w:themeColor="accent6" w:themeShade="BF"/>
          <w:sz w:val="32"/>
          <w:szCs w:val="32"/>
        </w:rPr>
      </w:pPr>
    </w:p>
    <w:p w14:paraId="1B35B942" w14:textId="77777777" w:rsidR="006A3486" w:rsidRDefault="004515A0">
      <w:pPr>
        <w:pStyle w:val="TOC1"/>
        <w:tabs>
          <w:tab w:val="right" w:leader="dot" w:pos="9736"/>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27818907" w:history="1">
        <w:r w:rsidR="006A3486" w:rsidRPr="006C24F1">
          <w:rPr>
            <w:rStyle w:val="Hyperlink"/>
            <w:rFonts w:ascii="Helvetica" w:eastAsiaTheme="majorEastAsia" w:hAnsi="Helvetica" w:cstheme="majorBidi"/>
            <w:noProof/>
          </w:rPr>
          <w:t>Executive summary</w:t>
        </w:r>
        <w:r w:rsidR="006A3486">
          <w:rPr>
            <w:noProof/>
            <w:webHidden/>
          </w:rPr>
          <w:tab/>
        </w:r>
        <w:r w:rsidR="006A3486">
          <w:rPr>
            <w:noProof/>
            <w:webHidden/>
          </w:rPr>
          <w:fldChar w:fldCharType="begin"/>
        </w:r>
        <w:r w:rsidR="006A3486">
          <w:rPr>
            <w:noProof/>
            <w:webHidden/>
          </w:rPr>
          <w:instrText xml:space="preserve"> PAGEREF _Toc27818907 \h </w:instrText>
        </w:r>
        <w:r w:rsidR="006A3486">
          <w:rPr>
            <w:noProof/>
            <w:webHidden/>
          </w:rPr>
        </w:r>
        <w:r w:rsidR="006A3486">
          <w:rPr>
            <w:noProof/>
            <w:webHidden/>
          </w:rPr>
          <w:fldChar w:fldCharType="separate"/>
        </w:r>
        <w:r w:rsidR="00793F59">
          <w:rPr>
            <w:noProof/>
            <w:webHidden/>
          </w:rPr>
          <w:t>1</w:t>
        </w:r>
        <w:r w:rsidR="006A3486">
          <w:rPr>
            <w:noProof/>
            <w:webHidden/>
          </w:rPr>
          <w:fldChar w:fldCharType="end"/>
        </w:r>
      </w:hyperlink>
    </w:p>
    <w:p w14:paraId="7710CD20" w14:textId="77777777" w:rsidR="006A3486" w:rsidRDefault="00793F59">
      <w:pPr>
        <w:pStyle w:val="TOC1"/>
        <w:tabs>
          <w:tab w:val="right" w:leader="dot" w:pos="9736"/>
        </w:tabs>
        <w:rPr>
          <w:rFonts w:asciiTheme="minorHAnsi" w:eastAsiaTheme="minorEastAsia" w:hAnsiTheme="minorHAnsi"/>
          <w:noProof/>
          <w:lang w:eastAsia="en-AU"/>
        </w:rPr>
      </w:pPr>
      <w:hyperlink w:anchor="_Toc27818908" w:history="1">
        <w:r w:rsidR="006A3486" w:rsidRPr="006C24F1">
          <w:rPr>
            <w:rStyle w:val="Hyperlink"/>
            <w:rFonts w:ascii="Helvetica" w:eastAsiaTheme="majorEastAsia" w:hAnsi="Helvetica" w:cstheme="majorBidi"/>
            <w:noProof/>
          </w:rPr>
          <w:t>Introduction</w:t>
        </w:r>
        <w:r w:rsidR="006A3486">
          <w:rPr>
            <w:noProof/>
            <w:webHidden/>
          </w:rPr>
          <w:tab/>
        </w:r>
        <w:r w:rsidR="006A3486">
          <w:rPr>
            <w:noProof/>
            <w:webHidden/>
          </w:rPr>
          <w:fldChar w:fldCharType="begin"/>
        </w:r>
        <w:r w:rsidR="006A3486">
          <w:rPr>
            <w:noProof/>
            <w:webHidden/>
          </w:rPr>
          <w:instrText xml:space="preserve"> PAGEREF _Toc27818908 \h </w:instrText>
        </w:r>
        <w:r w:rsidR="006A3486">
          <w:rPr>
            <w:noProof/>
            <w:webHidden/>
          </w:rPr>
        </w:r>
        <w:r w:rsidR="006A3486">
          <w:rPr>
            <w:noProof/>
            <w:webHidden/>
          </w:rPr>
          <w:fldChar w:fldCharType="separate"/>
        </w:r>
        <w:r>
          <w:rPr>
            <w:noProof/>
            <w:webHidden/>
          </w:rPr>
          <w:t>4</w:t>
        </w:r>
        <w:r w:rsidR="006A3486">
          <w:rPr>
            <w:noProof/>
            <w:webHidden/>
          </w:rPr>
          <w:fldChar w:fldCharType="end"/>
        </w:r>
      </w:hyperlink>
    </w:p>
    <w:p w14:paraId="5A9A2EA6" w14:textId="77777777" w:rsidR="006A3486" w:rsidRDefault="00793F59">
      <w:pPr>
        <w:pStyle w:val="TOC1"/>
        <w:tabs>
          <w:tab w:val="right" w:leader="dot" w:pos="9736"/>
        </w:tabs>
        <w:rPr>
          <w:rFonts w:asciiTheme="minorHAnsi" w:eastAsiaTheme="minorEastAsia" w:hAnsiTheme="minorHAnsi"/>
          <w:noProof/>
          <w:lang w:eastAsia="en-AU"/>
        </w:rPr>
      </w:pPr>
      <w:hyperlink w:anchor="_Toc27818909" w:history="1">
        <w:r w:rsidR="006A3486" w:rsidRPr="006C24F1">
          <w:rPr>
            <w:rStyle w:val="Hyperlink"/>
            <w:noProof/>
          </w:rPr>
          <w:t>Address exclusion in schools</w:t>
        </w:r>
        <w:r w:rsidR="006A3486">
          <w:rPr>
            <w:noProof/>
            <w:webHidden/>
          </w:rPr>
          <w:tab/>
        </w:r>
        <w:r w:rsidR="006A3486">
          <w:rPr>
            <w:noProof/>
            <w:webHidden/>
          </w:rPr>
          <w:fldChar w:fldCharType="begin"/>
        </w:r>
        <w:r w:rsidR="006A3486">
          <w:rPr>
            <w:noProof/>
            <w:webHidden/>
          </w:rPr>
          <w:instrText xml:space="preserve"> PAGEREF _Toc27818909 \h </w:instrText>
        </w:r>
        <w:r w:rsidR="006A3486">
          <w:rPr>
            <w:noProof/>
            <w:webHidden/>
          </w:rPr>
        </w:r>
        <w:r w:rsidR="006A3486">
          <w:rPr>
            <w:noProof/>
            <w:webHidden/>
          </w:rPr>
          <w:fldChar w:fldCharType="separate"/>
        </w:r>
        <w:r>
          <w:rPr>
            <w:noProof/>
            <w:webHidden/>
          </w:rPr>
          <w:t>5</w:t>
        </w:r>
        <w:r w:rsidR="006A3486">
          <w:rPr>
            <w:noProof/>
            <w:webHidden/>
          </w:rPr>
          <w:fldChar w:fldCharType="end"/>
        </w:r>
      </w:hyperlink>
    </w:p>
    <w:p w14:paraId="67FC710A" w14:textId="77777777" w:rsidR="006A3486" w:rsidRDefault="00793F59">
      <w:pPr>
        <w:pStyle w:val="TOC1"/>
        <w:tabs>
          <w:tab w:val="right" w:leader="dot" w:pos="9736"/>
        </w:tabs>
        <w:rPr>
          <w:rFonts w:asciiTheme="minorHAnsi" w:eastAsiaTheme="minorEastAsia" w:hAnsiTheme="minorHAnsi"/>
          <w:noProof/>
          <w:lang w:eastAsia="en-AU"/>
        </w:rPr>
      </w:pPr>
      <w:hyperlink w:anchor="_Toc27818910" w:history="1">
        <w:r w:rsidR="006A3486" w:rsidRPr="006C24F1">
          <w:rPr>
            <w:rStyle w:val="Hyperlink"/>
            <w:noProof/>
          </w:rPr>
          <w:t>Develop tailored transition support for students with disability</w:t>
        </w:r>
        <w:r w:rsidR="006A3486">
          <w:rPr>
            <w:noProof/>
            <w:webHidden/>
          </w:rPr>
          <w:tab/>
        </w:r>
        <w:r w:rsidR="006A3486">
          <w:rPr>
            <w:noProof/>
            <w:webHidden/>
          </w:rPr>
          <w:fldChar w:fldCharType="begin"/>
        </w:r>
        <w:r w:rsidR="006A3486">
          <w:rPr>
            <w:noProof/>
            <w:webHidden/>
          </w:rPr>
          <w:instrText xml:space="preserve"> PAGEREF _Toc27818910 \h </w:instrText>
        </w:r>
        <w:r w:rsidR="006A3486">
          <w:rPr>
            <w:noProof/>
            <w:webHidden/>
          </w:rPr>
        </w:r>
        <w:r w:rsidR="006A3486">
          <w:rPr>
            <w:noProof/>
            <w:webHidden/>
          </w:rPr>
          <w:fldChar w:fldCharType="separate"/>
        </w:r>
        <w:r>
          <w:rPr>
            <w:noProof/>
            <w:webHidden/>
          </w:rPr>
          <w:t>8</w:t>
        </w:r>
        <w:r w:rsidR="006A3486">
          <w:rPr>
            <w:noProof/>
            <w:webHidden/>
          </w:rPr>
          <w:fldChar w:fldCharType="end"/>
        </w:r>
      </w:hyperlink>
    </w:p>
    <w:p w14:paraId="5A898B8F" w14:textId="77777777" w:rsidR="006A3486" w:rsidRDefault="00793F59">
      <w:pPr>
        <w:pStyle w:val="TOC1"/>
        <w:tabs>
          <w:tab w:val="right" w:leader="dot" w:pos="9736"/>
        </w:tabs>
        <w:rPr>
          <w:rFonts w:asciiTheme="minorHAnsi" w:eastAsiaTheme="minorEastAsia" w:hAnsiTheme="minorHAnsi"/>
          <w:noProof/>
          <w:lang w:eastAsia="en-AU"/>
        </w:rPr>
      </w:pPr>
      <w:hyperlink w:anchor="_Toc27818911" w:history="1">
        <w:r w:rsidR="006A3486" w:rsidRPr="006C24F1">
          <w:rPr>
            <w:rStyle w:val="Hyperlink"/>
            <w:noProof/>
          </w:rPr>
          <w:t>Provide more information to students with disability and their families</w:t>
        </w:r>
        <w:r w:rsidR="006A3486">
          <w:rPr>
            <w:noProof/>
            <w:webHidden/>
          </w:rPr>
          <w:tab/>
        </w:r>
        <w:r w:rsidR="006A3486">
          <w:rPr>
            <w:noProof/>
            <w:webHidden/>
          </w:rPr>
          <w:fldChar w:fldCharType="begin"/>
        </w:r>
        <w:r w:rsidR="006A3486">
          <w:rPr>
            <w:noProof/>
            <w:webHidden/>
          </w:rPr>
          <w:instrText xml:space="preserve"> PAGEREF _Toc27818911 \h </w:instrText>
        </w:r>
        <w:r w:rsidR="006A3486">
          <w:rPr>
            <w:noProof/>
            <w:webHidden/>
          </w:rPr>
        </w:r>
        <w:r w:rsidR="006A3486">
          <w:rPr>
            <w:noProof/>
            <w:webHidden/>
          </w:rPr>
          <w:fldChar w:fldCharType="separate"/>
        </w:r>
        <w:r>
          <w:rPr>
            <w:noProof/>
            <w:webHidden/>
          </w:rPr>
          <w:t>11</w:t>
        </w:r>
        <w:r w:rsidR="006A3486">
          <w:rPr>
            <w:noProof/>
            <w:webHidden/>
          </w:rPr>
          <w:fldChar w:fldCharType="end"/>
        </w:r>
      </w:hyperlink>
    </w:p>
    <w:p w14:paraId="69BBE19C" w14:textId="77777777" w:rsidR="006A3486" w:rsidRDefault="00793F59">
      <w:pPr>
        <w:pStyle w:val="TOC1"/>
        <w:tabs>
          <w:tab w:val="right" w:leader="dot" w:pos="9736"/>
        </w:tabs>
        <w:rPr>
          <w:rFonts w:asciiTheme="minorHAnsi" w:eastAsiaTheme="minorEastAsia" w:hAnsiTheme="minorHAnsi"/>
          <w:noProof/>
          <w:lang w:eastAsia="en-AU"/>
        </w:rPr>
      </w:pPr>
      <w:hyperlink w:anchor="_Toc27818912" w:history="1">
        <w:r w:rsidR="006A3486" w:rsidRPr="006C24F1">
          <w:rPr>
            <w:rStyle w:val="Hyperlink"/>
            <w:noProof/>
          </w:rPr>
          <w:t>Deliver strong outcomes for students with disability after school</w:t>
        </w:r>
        <w:r w:rsidR="006A3486">
          <w:rPr>
            <w:noProof/>
            <w:webHidden/>
          </w:rPr>
          <w:tab/>
        </w:r>
        <w:r w:rsidR="006A3486">
          <w:rPr>
            <w:noProof/>
            <w:webHidden/>
          </w:rPr>
          <w:fldChar w:fldCharType="begin"/>
        </w:r>
        <w:r w:rsidR="006A3486">
          <w:rPr>
            <w:noProof/>
            <w:webHidden/>
          </w:rPr>
          <w:instrText xml:space="preserve"> PAGEREF _Toc27818912 \h </w:instrText>
        </w:r>
        <w:r w:rsidR="006A3486">
          <w:rPr>
            <w:noProof/>
            <w:webHidden/>
          </w:rPr>
        </w:r>
        <w:r w:rsidR="006A3486">
          <w:rPr>
            <w:noProof/>
            <w:webHidden/>
          </w:rPr>
          <w:fldChar w:fldCharType="separate"/>
        </w:r>
        <w:r>
          <w:rPr>
            <w:noProof/>
            <w:webHidden/>
          </w:rPr>
          <w:t>13</w:t>
        </w:r>
        <w:r w:rsidR="006A3486">
          <w:rPr>
            <w:noProof/>
            <w:webHidden/>
          </w:rPr>
          <w:fldChar w:fldCharType="end"/>
        </w:r>
      </w:hyperlink>
    </w:p>
    <w:p w14:paraId="67CB16C1" w14:textId="77777777" w:rsidR="006A3486" w:rsidRDefault="00793F59">
      <w:pPr>
        <w:pStyle w:val="TOC1"/>
        <w:tabs>
          <w:tab w:val="right" w:leader="dot" w:pos="9736"/>
        </w:tabs>
        <w:rPr>
          <w:rFonts w:asciiTheme="minorHAnsi" w:eastAsiaTheme="minorEastAsia" w:hAnsiTheme="minorHAnsi"/>
          <w:noProof/>
          <w:lang w:eastAsia="en-AU"/>
        </w:rPr>
      </w:pPr>
      <w:hyperlink w:anchor="_Toc27818913" w:history="1">
        <w:r w:rsidR="006A3486" w:rsidRPr="006C24F1">
          <w:rPr>
            <w:rStyle w:val="Hyperlink"/>
            <w:noProof/>
          </w:rPr>
          <w:t>Appendix A: Results from CYDA’s 2019 survey and supplementary information</w:t>
        </w:r>
        <w:r w:rsidR="006A3486">
          <w:rPr>
            <w:noProof/>
            <w:webHidden/>
          </w:rPr>
          <w:tab/>
        </w:r>
        <w:r w:rsidR="006A3486">
          <w:rPr>
            <w:noProof/>
            <w:webHidden/>
          </w:rPr>
          <w:fldChar w:fldCharType="begin"/>
        </w:r>
        <w:r w:rsidR="006A3486">
          <w:rPr>
            <w:noProof/>
            <w:webHidden/>
          </w:rPr>
          <w:instrText xml:space="preserve"> PAGEREF _Toc27818913 \h </w:instrText>
        </w:r>
        <w:r w:rsidR="006A3486">
          <w:rPr>
            <w:noProof/>
            <w:webHidden/>
          </w:rPr>
        </w:r>
        <w:r w:rsidR="006A3486">
          <w:rPr>
            <w:noProof/>
            <w:webHidden/>
          </w:rPr>
          <w:fldChar w:fldCharType="separate"/>
        </w:r>
        <w:r>
          <w:rPr>
            <w:noProof/>
            <w:webHidden/>
          </w:rPr>
          <w:t>16</w:t>
        </w:r>
        <w:r w:rsidR="006A3486">
          <w:rPr>
            <w:noProof/>
            <w:webHidden/>
          </w:rPr>
          <w:fldChar w:fldCharType="end"/>
        </w:r>
      </w:hyperlink>
    </w:p>
    <w:p w14:paraId="68991171" w14:textId="77777777" w:rsidR="001719B8" w:rsidRPr="001719B8" w:rsidRDefault="004515A0" w:rsidP="001719B8">
      <w:r>
        <w:fldChar w:fldCharType="end"/>
      </w:r>
    </w:p>
    <w:p w14:paraId="533EFC42" w14:textId="77777777" w:rsidR="00890FE3" w:rsidRDefault="00890FE3" w:rsidP="00890FE3"/>
    <w:p w14:paraId="32605282" w14:textId="77777777" w:rsidR="00890FE3" w:rsidRDefault="00890FE3" w:rsidP="00890FE3"/>
    <w:p w14:paraId="513213A5" w14:textId="77777777" w:rsidR="00990E39" w:rsidRDefault="00990E39" w:rsidP="00890FE3">
      <w:pPr>
        <w:rPr>
          <w:b/>
        </w:rPr>
      </w:pPr>
    </w:p>
    <w:p w14:paraId="0928942F" w14:textId="77777777" w:rsidR="00990E39" w:rsidRDefault="00990E39" w:rsidP="00890FE3">
      <w:pPr>
        <w:rPr>
          <w:b/>
        </w:rPr>
      </w:pPr>
    </w:p>
    <w:p w14:paraId="74C9907C" w14:textId="77777777" w:rsidR="005535E0" w:rsidRDefault="005535E0" w:rsidP="00890FE3">
      <w:pPr>
        <w:rPr>
          <w:b/>
        </w:rPr>
      </w:pPr>
    </w:p>
    <w:p w14:paraId="194F6B24" w14:textId="77777777" w:rsidR="00050C5F" w:rsidRDefault="00050C5F" w:rsidP="00890FE3">
      <w:pPr>
        <w:rPr>
          <w:b/>
        </w:rPr>
      </w:pPr>
    </w:p>
    <w:p w14:paraId="16CE09FD" w14:textId="77777777" w:rsidR="00050C5F" w:rsidRDefault="00050C5F" w:rsidP="00890FE3">
      <w:pPr>
        <w:rPr>
          <w:b/>
        </w:rPr>
      </w:pPr>
    </w:p>
    <w:p w14:paraId="73B8D4D6" w14:textId="77777777" w:rsidR="005535E0" w:rsidRDefault="005535E0" w:rsidP="00890FE3">
      <w:pPr>
        <w:rPr>
          <w:b/>
        </w:rPr>
      </w:pPr>
    </w:p>
    <w:p w14:paraId="14CA163F" w14:textId="77777777" w:rsidR="00890FE3" w:rsidRPr="00890FE3" w:rsidRDefault="00890FE3" w:rsidP="00890FE3">
      <w:r w:rsidRPr="00890FE3">
        <w:rPr>
          <w:b/>
        </w:rPr>
        <w:t xml:space="preserve">Authorised by: </w:t>
      </w:r>
      <w:r w:rsidRPr="00890FE3">
        <w:rPr>
          <w:b/>
        </w:rPr>
        <w:br/>
      </w:r>
      <w:r w:rsidRPr="00890FE3">
        <w:t>Mary Sayers, Chief Executive Officer</w:t>
      </w:r>
    </w:p>
    <w:p w14:paraId="27C43625" w14:textId="77777777" w:rsidR="00990E39" w:rsidRDefault="00890FE3">
      <w:pPr>
        <w:spacing w:before="0" w:line="259" w:lineRule="auto"/>
      </w:pPr>
      <w:r w:rsidRPr="00890FE3">
        <w:rPr>
          <w:b/>
        </w:rPr>
        <w:t xml:space="preserve">Contact details: </w:t>
      </w:r>
      <w:r w:rsidRPr="00890FE3">
        <w:rPr>
          <w:b/>
        </w:rPr>
        <w:br/>
      </w:r>
      <w:r w:rsidRPr="00890FE3">
        <w:t>Children and Young People with Disability Australia</w:t>
      </w:r>
      <w:r w:rsidRPr="00890FE3">
        <w:br/>
        <w:t xml:space="preserve">E. </w:t>
      </w:r>
      <w:hyperlink r:id="rId11" w:history="1">
        <w:r w:rsidRPr="00890FE3">
          <w:rPr>
            <w:color w:val="0563C1" w:themeColor="hyperlink"/>
            <w:u w:val="single"/>
          </w:rPr>
          <w:t>marysayers@cyda.org.au</w:t>
        </w:r>
      </w:hyperlink>
      <w:r w:rsidRPr="00890FE3">
        <w:br/>
        <w:t>P. 03 9417 1025</w:t>
      </w:r>
      <w:r w:rsidRPr="00890FE3">
        <w:br/>
        <w:t xml:space="preserve">W. </w:t>
      </w:r>
      <w:hyperlink r:id="rId12" w:history="1">
        <w:r w:rsidRPr="00890FE3">
          <w:rPr>
            <w:color w:val="0563C1" w:themeColor="hyperlink"/>
            <w:u w:val="single"/>
          </w:rPr>
          <w:t>www.cyda.org.au</w:t>
        </w:r>
      </w:hyperlink>
      <w:r w:rsidRPr="00890FE3">
        <w:t xml:space="preserve"> </w:t>
      </w:r>
    </w:p>
    <w:p w14:paraId="53CF5B18" w14:textId="77777777" w:rsidR="00050C5F" w:rsidRDefault="00050C5F">
      <w:pPr>
        <w:spacing w:before="0" w:line="259" w:lineRule="auto"/>
        <w:rPr>
          <w:rFonts w:ascii="Helvetica" w:eastAsiaTheme="majorEastAsia" w:hAnsi="Helvetica" w:cstheme="majorBidi"/>
          <w:color w:val="538135" w:themeColor="accent6" w:themeShade="BF"/>
          <w:sz w:val="32"/>
          <w:szCs w:val="32"/>
          <w:highlight w:val="yellow"/>
        </w:rPr>
        <w:sectPr w:rsidR="00050C5F" w:rsidSect="00FD6091">
          <w:headerReference w:type="first" r:id="rId13"/>
          <w:footerReference w:type="first" r:id="rId14"/>
          <w:pgSz w:w="11906" w:h="16838"/>
          <w:pgMar w:top="1440" w:right="1080" w:bottom="1440" w:left="1080" w:header="708" w:footer="708" w:gutter="0"/>
          <w:cols w:space="708"/>
          <w:titlePg/>
          <w:docGrid w:linePitch="360"/>
        </w:sectPr>
      </w:pPr>
    </w:p>
    <w:p w14:paraId="09326408" w14:textId="77777777" w:rsidR="00890FE3" w:rsidRPr="00890FE3" w:rsidRDefault="00890FE3" w:rsidP="00890FE3">
      <w:pPr>
        <w:keepNext/>
        <w:keepLines/>
        <w:spacing w:before="240" w:after="0"/>
        <w:outlineLvl w:val="0"/>
        <w:rPr>
          <w:rFonts w:ascii="Helvetica" w:eastAsiaTheme="majorEastAsia" w:hAnsi="Helvetica" w:cstheme="majorBidi"/>
          <w:color w:val="538135" w:themeColor="accent6" w:themeShade="BF"/>
          <w:sz w:val="32"/>
          <w:szCs w:val="32"/>
        </w:rPr>
      </w:pPr>
      <w:bookmarkStart w:id="1" w:name="_Toc27818907"/>
      <w:r w:rsidRPr="00FE577B">
        <w:rPr>
          <w:rFonts w:ascii="Helvetica" w:eastAsiaTheme="majorEastAsia" w:hAnsi="Helvetica" w:cstheme="majorBidi"/>
          <w:color w:val="538135" w:themeColor="accent6" w:themeShade="BF"/>
          <w:sz w:val="32"/>
          <w:szCs w:val="32"/>
        </w:rPr>
        <w:lastRenderedPageBreak/>
        <w:t xml:space="preserve">Executive </w:t>
      </w:r>
      <w:r w:rsidR="00F30592" w:rsidRPr="00FE577B">
        <w:rPr>
          <w:rFonts w:ascii="Helvetica" w:eastAsiaTheme="majorEastAsia" w:hAnsi="Helvetica" w:cstheme="majorBidi"/>
          <w:color w:val="538135" w:themeColor="accent6" w:themeShade="BF"/>
          <w:sz w:val="32"/>
          <w:szCs w:val="32"/>
        </w:rPr>
        <w:t>summary</w:t>
      </w:r>
      <w:bookmarkEnd w:id="1"/>
    </w:p>
    <w:p w14:paraId="6D3444F2" w14:textId="77777777" w:rsidR="00F30592" w:rsidRDefault="00485710" w:rsidP="00890FE3">
      <w:r>
        <w:t xml:space="preserve">As well as the usual challenges senior students </w:t>
      </w:r>
      <w:r w:rsidR="003A1DA8">
        <w:t>often</w:t>
      </w:r>
      <w:r>
        <w:t xml:space="preserve"> face in their school lives and transitions out of school, </w:t>
      </w:r>
      <w:r w:rsidR="00FA338F">
        <w:t xml:space="preserve">students with disability face </w:t>
      </w:r>
      <w:r>
        <w:t>a range of additional barriers</w:t>
      </w:r>
      <w:r w:rsidR="007C4630">
        <w:t xml:space="preserve">. They </w:t>
      </w:r>
      <w:r>
        <w:t xml:space="preserve">generally </w:t>
      </w:r>
      <w:r w:rsidR="007C4630">
        <w:t>do not</w:t>
      </w:r>
      <w:r w:rsidR="000E4E6F">
        <w:t xml:space="preserve"> </w:t>
      </w:r>
      <w:r>
        <w:t>have access to education</w:t>
      </w:r>
      <w:r w:rsidDel="00485710">
        <w:t xml:space="preserve"> </w:t>
      </w:r>
      <w:r>
        <w:t xml:space="preserve">of the </w:t>
      </w:r>
      <w:r w:rsidR="000E4E6F">
        <w:t>same quality</w:t>
      </w:r>
      <w:r>
        <w:t xml:space="preserve"> as students without disability</w:t>
      </w:r>
      <w:r w:rsidR="000E4E6F">
        <w:t xml:space="preserve">, </w:t>
      </w:r>
      <w:r>
        <w:t xml:space="preserve">and </w:t>
      </w:r>
      <w:r w:rsidR="000E4E6F">
        <w:t xml:space="preserve">are </w:t>
      </w:r>
      <w:r>
        <w:t xml:space="preserve">often </w:t>
      </w:r>
      <w:r w:rsidR="000E4E6F">
        <w:t xml:space="preserve">segregated </w:t>
      </w:r>
      <w:r>
        <w:t xml:space="preserve">in special schools or </w:t>
      </w:r>
      <w:r w:rsidR="000E4E6F">
        <w:t>excluded in mainstream schools</w:t>
      </w:r>
      <w:r>
        <w:t xml:space="preserve">. Students with disability are also </w:t>
      </w:r>
      <w:r w:rsidR="000E4E6F">
        <w:t xml:space="preserve">significantly more </w:t>
      </w:r>
      <w:r>
        <w:t xml:space="preserve">likely to face </w:t>
      </w:r>
      <w:r w:rsidR="000E4E6F">
        <w:t>restrictive practices</w:t>
      </w:r>
      <w:r w:rsidR="006C38DF">
        <w:t xml:space="preserve"> such as restraint and seclusion</w:t>
      </w:r>
      <w:r w:rsidR="000E4E6F">
        <w:t xml:space="preserve">. </w:t>
      </w:r>
    </w:p>
    <w:p w14:paraId="0945E10B" w14:textId="77777777" w:rsidR="000E4E6F" w:rsidRDefault="00F30592" w:rsidP="00890FE3">
      <w:r>
        <w:t>During the transition out of school, people often hold lower expectations for young people with disability</w:t>
      </w:r>
      <w:r w:rsidR="00DE5C0C">
        <w:t>,</w:t>
      </w:r>
      <w:r w:rsidRPr="00F30592">
        <w:t xml:space="preserve"> </w:t>
      </w:r>
      <w:r>
        <w:t xml:space="preserve">and </w:t>
      </w:r>
      <w:r w:rsidR="00DE5C0C">
        <w:t xml:space="preserve">they receive little tailored </w:t>
      </w:r>
      <w:r>
        <w:t xml:space="preserve">information </w:t>
      </w:r>
      <w:r w:rsidR="00DE5C0C">
        <w:t>or</w:t>
      </w:r>
      <w:r>
        <w:t xml:space="preserve"> assistance</w:t>
      </w:r>
      <w:r w:rsidR="00DE5C0C">
        <w:t xml:space="preserve">. </w:t>
      </w:r>
      <w:r w:rsidR="00485710">
        <w:t xml:space="preserve">This </w:t>
      </w:r>
      <w:r w:rsidR="003C13CA">
        <w:t xml:space="preserve">discrimination and </w:t>
      </w:r>
      <w:r w:rsidR="003A1DA8">
        <w:t xml:space="preserve">inequality continues throughout people’s lives, with </w:t>
      </w:r>
      <w:r w:rsidR="003C13CA">
        <w:t xml:space="preserve">significantly poorer </w:t>
      </w:r>
      <w:r w:rsidR="003A1DA8">
        <w:t xml:space="preserve">outcomes for people with disability in areas including higher </w:t>
      </w:r>
      <w:r w:rsidR="003C13CA">
        <w:t>education, employment</w:t>
      </w:r>
      <w:r w:rsidR="003A1DA8">
        <w:t>, health,</w:t>
      </w:r>
      <w:r w:rsidR="003C13CA">
        <w:t xml:space="preserve"> and social participation. </w:t>
      </w:r>
    </w:p>
    <w:p w14:paraId="58D7107A" w14:textId="77777777" w:rsidR="003A1DA8" w:rsidRDefault="00640939" w:rsidP="003A1DA8">
      <w:r>
        <w:t xml:space="preserve">Extensive </w:t>
      </w:r>
      <w:r w:rsidR="00840DBC">
        <w:t xml:space="preserve">evidence </w:t>
      </w:r>
      <w:r w:rsidR="003A1DA8">
        <w:t>shows</w:t>
      </w:r>
      <w:r>
        <w:t xml:space="preserve"> that inclusive education is a major </w:t>
      </w:r>
      <w:r w:rsidR="003A1DA8">
        <w:t>part of</w:t>
      </w:r>
      <w:r>
        <w:t xml:space="preserve"> </w:t>
      </w:r>
      <w:r w:rsidR="003A1DA8">
        <w:t xml:space="preserve">improving </w:t>
      </w:r>
      <w:r>
        <w:t xml:space="preserve">academic and social outcomes </w:t>
      </w:r>
      <w:r w:rsidR="003A1DA8">
        <w:t xml:space="preserve">for </w:t>
      </w:r>
      <w:r>
        <w:t>students with disability</w:t>
      </w:r>
      <w:r>
        <w:rPr>
          <w:rStyle w:val="FootnoteReference"/>
        </w:rPr>
        <w:footnoteReference w:id="1"/>
      </w:r>
      <w:r w:rsidR="00840DBC">
        <w:t xml:space="preserve">, consequently </w:t>
      </w:r>
      <w:r w:rsidR="003A1DA8">
        <w:t xml:space="preserve">having </w:t>
      </w:r>
      <w:r w:rsidR="00840DBC">
        <w:t>positive impact</w:t>
      </w:r>
      <w:r w:rsidR="003A1DA8">
        <w:t>s</w:t>
      </w:r>
      <w:r w:rsidR="00840DBC">
        <w:t xml:space="preserve"> </w:t>
      </w:r>
      <w:r w:rsidR="003A1DA8">
        <w:t xml:space="preserve">for their </w:t>
      </w:r>
      <w:r w:rsidR="00840DBC">
        <w:t>adult li</w:t>
      </w:r>
      <w:r w:rsidR="003A1DA8">
        <w:t>v</w:t>
      </w:r>
      <w:r w:rsidR="00840DBC">
        <w:t>e</w:t>
      </w:r>
      <w:r w:rsidR="003A1DA8">
        <w:t>s</w:t>
      </w:r>
      <w:r w:rsidR="00840DBC">
        <w:t xml:space="preserve">. </w:t>
      </w:r>
      <w:r w:rsidR="003A1DA8">
        <w:t xml:space="preserve">The right to inclusive education is protected under the United Nations Convention of the Rights of Persons with Disability (Article 24), of which </w:t>
      </w:r>
      <w:r w:rsidR="003A1DA8" w:rsidRPr="003613AD">
        <w:t>Australia is a signatory</w:t>
      </w:r>
      <w:r w:rsidR="003A1DA8">
        <w:t>.</w:t>
      </w:r>
    </w:p>
    <w:p w14:paraId="4D9FFBF9" w14:textId="6ECCB5D0" w:rsidR="00982A93" w:rsidRPr="00032F71" w:rsidRDefault="00032F71" w:rsidP="00890FE3">
      <w:r>
        <w:t>CYDA conducted a national surv</w:t>
      </w:r>
      <w:r w:rsidR="00DB6441">
        <w:t>ey between November</w:t>
      </w:r>
      <w:r>
        <w:t xml:space="preserve"> 2019</w:t>
      </w:r>
      <w:r w:rsidR="00DB6441">
        <w:t xml:space="preserve"> and February 2020</w:t>
      </w:r>
      <w:r>
        <w:t xml:space="preserve"> to collect information about the experience of senior students with disability and their families with career planning and post</w:t>
      </w:r>
      <w:r w:rsidR="00FF2AA7">
        <w:t>-</w:t>
      </w:r>
      <w:r>
        <w:t xml:space="preserve">school options. There were </w:t>
      </w:r>
      <w:r w:rsidR="00A63E3B">
        <w:t>106</w:t>
      </w:r>
      <w:r w:rsidR="009E1120">
        <w:rPr>
          <w:color w:val="FF0000"/>
        </w:rPr>
        <w:t xml:space="preserve"> </w:t>
      </w:r>
      <w:r w:rsidR="009E1120" w:rsidRPr="009E1120">
        <w:t>young</w:t>
      </w:r>
      <w:r w:rsidRPr="009E1120">
        <w:t xml:space="preserve"> </w:t>
      </w:r>
      <w:r>
        <w:t>people with disability, families of students with disability and teachers who responded to the survey.</w:t>
      </w:r>
    </w:p>
    <w:p w14:paraId="3A7180DC" w14:textId="5842F954" w:rsidR="00A63E3B" w:rsidRDefault="00032F71" w:rsidP="00890FE3">
      <w:r>
        <w:t xml:space="preserve">The survey had representation from all states and territories, and from </w:t>
      </w:r>
      <w:r w:rsidR="005E7324">
        <w:t xml:space="preserve">metropolitan, regional, rural and remote areas. </w:t>
      </w:r>
      <w:r w:rsidR="00A63E3B" w:rsidRPr="00234212">
        <w:t>The majority of the respondents were from families of young students with disability (78.3 per cent), followed by students with disability (17.9 per cent) and advocate, teachers and other school staff (3.7 per cent).</w:t>
      </w:r>
    </w:p>
    <w:p w14:paraId="45D123BE" w14:textId="77777777" w:rsidR="00FF74F3" w:rsidRDefault="00FF2AA7" w:rsidP="00FF2AA7">
      <w:r>
        <w:t xml:space="preserve">The findings </w:t>
      </w:r>
      <w:r w:rsidR="00FF74F3">
        <w:t xml:space="preserve">from our survey support existing evidence – career planning and other post-school transition planning opportunities and support for students with disability are fragmented and generally poorer than for other students. This, along with low expectations around students’ capabilities and desires contributes to poorer long-term outcomes and opportunities for young people with disability in further education, employment, and social inclusion.  </w:t>
      </w:r>
      <w:r>
        <w:t xml:space="preserve"> </w:t>
      </w:r>
    </w:p>
    <w:p w14:paraId="035508F8" w14:textId="77777777" w:rsidR="00FF2AA7" w:rsidRDefault="00FF2AA7" w:rsidP="00FF2AA7">
      <w:r>
        <w:t xml:space="preserve">CYDA welcomes </w:t>
      </w:r>
      <w:r w:rsidR="00FF74F3">
        <w:t xml:space="preserve">the opportunity to provide a submission to </w:t>
      </w:r>
      <w:r>
        <w:t xml:space="preserve">this review as it provides an </w:t>
      </w:r>
      <w:r w:rsidR="00FF74F3">
        <w:t xml:space="preserve">important </w:t>
      </w:r>
      <w:r>
        <w:t xml:space="preserve">opportunity for the Education Council to address the </w:t>
      </w:r>
      <w:r w:rsidR="00FF74F3">
        <w:t>systemic</w:t>
      </w:r>
      <w:r>
        <w:t xml:space="preserve"> issues and poor education and employment outcomes </w:t>
      </w:r>
      <w:r w:rsidR="00FF74F3">
        <w:t>facing</w:t>
      </w:r>
      <w:r>
        <w:t xml:space="preserve"> students </w:t>
      </w:r>
      <w:r w:rsidR="00FF74F3">
        <w:t xml:space="preserve">and young people </w:t>
      </w:r>
      <w:r>
        <w:t>with disability.</w:t>
      </w:r>
    </w:p>
    <w:p w14:paraId="7045B682" w14:textId="77777777" w:rsidR="00CA76D3" w:rsidRPr="00CA76D3" w:rsidRDefault="00CA76D3" w:rsidP="00890FE3">
      <w:pPr>
        <w:rPr>
          <w:b/>
        </w:rPr>
      </w:pPr>
      <w:r w:rsidRPr="00CA76D3">
        <w:rPr>
          <w:b/>
        </w:rPr>
        <w:t>Key findings of CYDA</w:t>
      </w:r>
      <w:r w:rsidR="00FF2AA7">
        <w:rPr>
          <w:b/>
        </w:rPr>
        <w:t>’s post-school transition s</w:t>
      </w:r>
      <w:r w:rsidRPr="00CA76D3">
        <w:rPr>
          <w:b/>
        </w:rPr>
        <w:t xml:space="preserve">urvey: </w:t>
      </w:r>
    </w:p>
    <w:p w14:paraId="376BB6C1" w14:textId="77777777" w:rsidR="00750440" w:rsidRDefault="00750440" w:rsidP="00FF2AA7">
      <w:pPr>
        <w:pStyle w:val="ListParagraph"/>
        <w:numPr>
          <w:ilvl w:val="0"/>
          <w:numId w:val="38"/>
        </w:numPr>
      </w:pPr>
      <w:r>
        <w:t>S</w:t>
      </w:r>
      <w:r w:rsidR="004F6CDC">
        <w:t>enior students with disability did not receive adequate support to prepare, think about and plan for pathways after school, or when rece</w:t>
      </w:r>
      <w:r w:rsidR="005264C9">
        <w:t xml:space="preserve">ived support it was limited and poor. </w:t>
      </w:r>
    </w:p>
    <w:p w14:paraId="7E836535" w14:textId="1C58CD25" w:rsidR="00750440" w:rsidRDefault="005264C9" w:rsidP="00FF2AA7">
      <w:pPr>
        <w:pStyle w:val="ListParagraph"/>
        <w:numPr>
          <w:ilvl w:val="0"/>
          <w:numId w:val="38"/>
        </w:numPr>
      </w:pPr>
      <w:r>
        <w:t xml:space="preserve">Parents were not involved in the career planning process and some felt this task </w:t>
      </w:r>
      <w:r w:rsidR="00750440">
        <w:t>fell to them</w:t>
      </w:r>
      <w:r>
        <w:t xml:space="preserve">. </w:t>
      </w:r>
    </w:p>
    <w:p w14:paraId="3D777DB5" w14:textId="622EDAA5" w:rsidR="004F6CDC" w:rsidRDefault="00750440" w:rsidP="00FF2AA7">
      <w:pPr>
        <w:pStyle w:val="ListParagraph"/>
        <w:numPr>
          <w:ilvl w:val="0"/>
          <w:numId w:val="38"/>
        </w:numPr>
      </w:pPr>
      <w:r>
        <w:t xml:space="preserve">Only </w:t>
      </w:r>
      <w:r w:rsidR="00A63E3B">
        <w:t>44.5</w:t>
      </w:r>
      <w:r w:rsidR="00FF2AA7">
        <w:t xml:space="preserve"> per cent</w:t>
      </w:r>
      <w:r w:rsidR="00A63E3B">
        <w:t xml:space="preserve"> of students received</w:t>
      </w:r>
      <w:r w:rsidR="00712A1E">
        <w:t xml:space="preserve"> career planning support in Year 11 and 12. </w:t>
      </w:r>
    </w:p>
    <w:p w14:paraId="2C1E697D" w14:textId="027C59E8" w:rsidR="005264C9" w:rsidRPr="00F80467" w:rsidRDefault="00750440" w:rsidP="00FF2AA7">
      <w:pPr>
        <w:pStyle w:val="ListParagraph"/>
        <w:numPr>
          <w:ilvl w:val="0"/>
          <w:numId w:val="38"/>
        </w:numPr>
      </w:pPr>
      <w:r>
        <w:t xml:space="preserve">Families and </w:t>
      </w:r>
      <w:r w:rsidR="005264C9">
        <w:t xml:space="preserve">students with disability were </w:t>
      </w:r>
      <w:r>
        <w:t xml:space="preserve">receiving </w:t>
      </w:r>
      <w:r w:rsidR="005264C9">
        <w:t xml:space="preserve">post school information or assistance through </w:t>
      </w:r>
      <w:r w:rsidR="005264C9" w:rsidRPr="00F80467">
        <w:t>the NDIS, NDIS providers, disability e</w:t>
      </w:r>
      <w:r w:rsidR="006A3931" w:rsidRPr="00F80467">
        <w:t xml:space="preserve">mployment services or other disability organisations </w:t>
      </w:r>
      <w:r w:rsidR="00F80467" w:rsidRPr="00F80467">
        <w:t>who may not be specialist in providing</w:t>
      </w:r>
      <w:r w:rsidR="006A3931" w:rsidRPr="00F80467">
        <w:t xml:space="preserve"> higher education or VET options. </w:t>
      </w:r>
    </w:p>
    <w:p w14:paraId="25C1A6FF" w14:textId="215A7548" w:rsidR="006A3931" w:rsidRDefault="006A3931" w:rsidP="00FF2AA7">
      <w:pPr>
        <w:pStyle w:val="ListParagraph"/>
        <w:numPr>
          <w:ilvl w:val="0"/>
          <w:numId w:val="38"/>
        </w:numPr>
      </w:pPr>
      <w:r w:rsidRPr="006A3931">
        <w:lastRenderedPageBreak/>
        <w:t xml:space="preserve">The highest level of </w:t>
      </w:r>
      <w:r w:rsidR="00FF2AA7">
        <w:t>educational attainment</w:t>
      </w:r>
      <w:r w:rsidRPr="006A3931">
        <w:t xml:space="preserve"> </w:t>
      </w:r>
      <w:r w:rsidR="00FF2AA7">
        <w:t>for</w:t>
      </w:r>
      <w:r w:rsidR="00A63E3B">
        <w:t xml:space="preserve"> </w:t>
      </w:r>
      <w:r w:rsidR="00976B10">
        <w:t>almost half</w:t>
      </w:r>
      <w:r w:rsidR="00FF2AA7">
        <w:t xml:space="preserve"> of our respondents </w:t>
      </w:r>
      <w:r w:rsidR="00750440">
        <w:t>was</w:t>
      </w:r>
      <w:r w:rsidR="00FF2AA7">
        <w:t xml:space="preserve"> </w:t>
      </w:r>
      <w:r w:rsidRPr="006A3931">
        <w:t>Year 12</w:t>
      </w:r>
      <w:r w:rsidR="00FF2AA7">
        <w:t xml:space="preserve">, </w:t>
      </w:r>
      <w:r w:rsidR="001D17CF" w:rsidRPr="006A3931">
        <w:t>followed</w:t>
      </w:r>
      <w:r w:rsidRPr="006A3931">
        <w:t xml:space="preserve"> by </w:t>
      </w:r>
      <w:r w:rsidR="00FF2AA7">
        <w:t xml:space="preserve">around a quarter who have completed </w:t>
      </w:r>
      <w:r w:rsidR="001D17CF">
        <w:t>Year 9 or below</w:t>
      </w:r>
      <w:r w:rsidRPr="006A3931">
        <w:t xml:space="preserve">, and </w:t>
      </w:r>
      <w:r w:rsidR="00750440">
        <w:t xml:space="preserve">just </w:t>
      </w:r>
      <w:r w:rsidR="00976B10">
        <w:t>5</w:t>
      </w:r>
      <w:r w:rsidR="00FF2AA7">
        <w:t xml:space="preserve"> per cent who h</w:t>
      </w:r>
      <w:r w:rsidR="00976B10">
        <w:t>ave studied a bachelor degree</w:t>
      </w:r>
    </w:p>
    <w:p w14:paraId="11303C29" w14:textId="4B0C1E4A" w:rsidR="00840DBC" w:rsidRDefault="00AE1F56" w:rsidP="00FF2AA7">
      <w:pPr>
        <w:pStyle w:val="ListParagraph"/>
        <w:numPr>
          <w:ilvl w:val="0"/>
          <w:numId w:val="38"/>
        </w:numPr>
      </w:pPr>
      <w:r>
        <w:t xml:space="preserve">A quarter of </w:t>
      </w:r>
      <w:r w:rsidR="00712A1E">
        <w:t>survey respondents</w:t>
      </w:r>
      <w:r w:rsidR="00712A1E" w:rsidRPr="00712A1E">
        <w:t xml:space="preserve"> </w:t>
      </w:r>
      <w:r>
        <w:t xml:space="preserve">who have finished school are currently undertaking </w:t>
      </w:r>
      <w:r w:rsidR="00973CD4">
        <w:t>volunteer work</w:t>
      </w:r>
      <w:r w:rsidR="00976B10">
        <w:t>, 21.6</w:t>
      </w:r>
      <w:r>
        <w:t xml:space="preserve"> per cent participate in a </w:t>
      </w:r>
      <w:r w:rsidR="00973CD4">
        <w:t>day program</w:t>
      </w:r>
      <w:r w:rsidR="00976B10">
        <w:t>, and 16.2</w:t>
      </w:r>
      <w:r>
        <w:t xml:space="preserve"> per cent are</w:t>
      </w:r>
      <w:r w:rsidR="00712A1E" w:rsidRPr="00712A1E">
        <w:t xml:space="preserve"> </w:t>
      </w:r>
      <w:r w:rsidR="00973CD4">
        <w:t>studying</w:t>
      </w:r>
      <w:r>
        <w:t xml:space="preserve"> or </w:t>
      </w:r>
      <w:r w:rsidR="00750440">
        <w:t>training part-t</w:t>
      </w:r>
      <w:r w:rsidR="00973CD4">
        <w:t>im</w:t>
      </w:r>
      <w:r>
        <w:t>e</w:t>
      </w:r>
      <w:r w:rsidR="00712A1E" w:rsidRPr="00712A1E">
        <w:t xml:space="preserve">. </w:t>
      </w:r>
    </w:p>
    <w:p w14:paraId="0280BB3A" w14:textId="00CC66A9" w:rsidR="00CA76D3" w:rsidRDefault="00EE4B1A" w:rsidP="00FF2AA7">
      <w:pPr>
        <w:pStyle w:val="ListParagraph"/>
        <w:numPr>
          <w:ilvl w:val="0"/>
          <w:numId w:val="38"/>
        </w:numPr>
      </w:pPr>
      <w:r>
        <w:t>41.5</w:t>
      </w:r>
      <w:r w:rsidR="00FF2AA7">
        <w:t xml:space="preserve"> per cent of respondents report being in </w:t>
      </w:r>
      <w:r w:rsidR="00202BA4" w:rsidRPr="00202BA4">
        <w:t>the labour market</w:t>
      </w:r>
      <w:r w:rsidR="00FF2AA7">
        <w:t xml:space="preserve"> – fewer than </w:t>
      </w:r>
      <w:r w:rsidR="00202BA4" w:rsidRPr="00202BA4">
        <w:t xml:space="preserve">half </w:t>
      </w:r>
      <w:r w:rsidR="00FF2AA7">
        <w:t>(</w:t>
      </w:r>
      <w:r>
        <w:t>47.7</w:t>
      </w:r>
      <w:r w:rsidR="00FF2AA7">
        <w:t> per cent)</w:t>
      </w:r>
      <w:r w:rsidR="00202BA4" w:rsidRPr="00202BA4">
        <w:t xml:space="preserve"> working in open employment</w:t>
      </w:r>
      <w:r>
        <w:t xml:space="preserve"> and 6.7</w:t>
      </w:r>
      <w:r w:rsidR="00FF2AA7">
        <w:t xml:space="preserve"> per cent</w:t>
      </w:r>
      <w:r w:rsidR="00CA76D3">
        <w:t xml:space="preserve"> working in an Australian Disability Enterprise.</w:t>
      </w:r>
    </w:p>
    <w:p w14:paraId="1F9B5ABE" w14:textId="3A845A23" w:rsidR="00890FE3" w:rsidRDefault="00EE4B1A" w:rsidP="00FF2AA7">
      <w:pPr>
        <w:pStyle w:val="ListParagraph"/>
        <w:numPr>
          <w:ilvl w:val="0"/>
          <w:numId w:val="38"/>
        </w:numPr>
      </w:pPr>
      <w:r>
        <w:t>Forty</w:t>
      </w:r>
      <w:r w:rsidR="00FF2AA7">
        <w:t xml:space="preserve"> per cent of</w:t>
      </w:r>
      <w:r w:rsidR="00CA76D3" w:rsidRPr="00CA76D3">
        <w:t xml:space="preserve"> respondents currently working</w:t>
      </w:r>
      <w:r w:rsidR="00CA76D3">
        <w:t xml:space="preserve"> in open employment</w:t>
      </w:r>
      <w:r w:rsidR="00CA76D3" w:rsidRPr="00CA76D3">
        <w:t xml:space="preserve"> </w:t>
      </w:r>
      <w:r w:rsidR="00FF2AA7">
        <w:t xml:space="preserve">report they are paid </w:t>
      </w:r>
      <w:r w:rsidR="00CA76D3" w:rsidRPr="00CA76D3">
        <w:t>pay</w:t>
      </w:r>
      <w:r w:rsidR="00202BA4">
        <w:t xml:space="preserve"> less than full award wages.</w:t>
      </w:r>
    </w:p>
    <w:p w14:paraId="5449B2E9" w14:textId="77777777" w:rsidR="00976B10" w:rsidRDefault="00976B10" w:rsidP="00976B10">
      <w:pPr>
        <w:rPr>
          <w:shd w:val="clear" w:color="auto" w:fill="F4F5F5"/>
        </w:rPr>
      </w:pPr>
    </w:p>
    <w:p w14:paraId="401E3DF9" w14:textId="77777777" w:rsidR="00976B10" w:rsidRDefault="00976B10" w:rsidP="00976B10"/>
    <w:p w14:paraId="3F534E4D" w14:textId="77777777" w:rsidR="00F30592" w:rsidRDefault="00F30592">
      <w:pPr>
        <w:spacing w:before="0" w:line="259" w:lineRule="auto"/>
        <w:rPr>
          <w:rFonts w:ascii="Helvetica" w:eastAsiaTheme="majorEastAsia" w:hAnsi="Helvetica" w:cstheme="majorBidi"/>
          <w:color w:val="538135" w:themeColor="accent6" w:themeShade="BF"/>
          <w:sz w:val="32"/>
          <w:szCs w:val="32"/>
        </w:rPr>
      </w:pPr>
      <w:r>
        <w:br w:type="page"/>
      </w:r>
    </w:p>
    <w:p w14:paraId="79EFC918" w14:textId="77777777" w:rsidR="008C6B2F" w:rsidRDefault="008C6B2F">
      <w:pPr>
        <w:spacing w:before="0" w:line="259" w:lineRule="auto"/>
        <w:rPr>
          <w:rFonts w:ascii="Helvetica" w:eastAsiaTheme="majorEastAsia" w:hAnsi="Helvetica" w:cstheme="majorBidi"/>
          <w:color w:val="538135" w:themeColor="accent6" w:themeShade="BF"/>
          <w:sz w:val="32"/>
          <w:szCs w:val="32"/>
        </w:rPr>
      </w:pPr>
      <w:r>
        <w:rPr>
          <w:rFonts w:ascii="Helvetica" w:eastAsiaTheme="majorEastAsia" w:hAnsi="Helvetica" w:cstheme="majorBidi"/>
          <w:color w:val="538135" w:themeColor="accent6" w:themeShade="BF"/>
          <w:sz w:val="32"/>
          <w:szCs w:val="32"/>
        </w:rPr>
        <w:lastRenderedPageBreak/>
        <w:t>Recommendations</w:t>
      </w:r>
    </w:p>
    <w:p w14:paraId="21886309" w14:textId="77777777" w:rsidR="00D7024A" w:rsidRPr="00374F54" w:rsidRDefault="00D7024A" w:rsidP="00D7024A">
      <w:pPr>
        <w:rPr>
          <w:b/>
        </w:rPr>
      </w:pPr>
      <w:r w:rsidRPr="00374F54">
        <w:rPr>
          <w:b/>
        </w:rPr>
        <w:t>Address exclusion in schools</w:t>
      </w:r>
    </w:p>
    <w:p w14:paraId="4DCA45F5" w14:textId="77777777" w:rsidR="00F80467" w:rsidRDefault="00F80467" w:rsidP="00F80467">
      <w:pPr>
        <w:pStyle w:val="ListParagraph"/>
        <w:numPr>
          <w:ilvl w:val="0"/>
          <w:numId w:val="39"/>
        </w:numPr>
      </w:pPr>
      <w:r>
        <w:t>Develop a National Inclusive Education Plan which aims to phase out segregated education and realise inclusive education for students with disability</w:t>
      </w:r>
    </w:p>
    <w:p w14:paraId="63EA9E9F" w14:textId="77777777" w:rsidR="00F80467" w:rsidRDefault="00F80467" w:rsidP="00F80467">
      <w:pPr>
        <w:pStyle w:val="ListParagraph"/>
        <w:numPr>
          <w:ilvl w:val="0"/>
          <w:numId w:val="39"/>
        </w:numPr>
      </w:pPr>
      <w:r>
        <w:t>Strengthen mechanisms to monitor and address exclusion in schools</w:t>
      </w:r>
    </w:p>
    <w:p w14:paraId="3AD412B4" w14:textId="77777777" w:rsidR="00F80467" w:rsidRDefault="00F80467" w:rsidP="00F80467">
      <w:pPr>
        <w:pStyle w:val="ListParagraph"/>
        <w:numPr>
          <w:ilvl w:val="0"/>
          <w:numId w:val="39"/>
        </w:numPr>
      </w:pPr>
      <w:r>
        <w:t>Counter the narrative of ‘low expectations’ for students with disability through concrete actions and monitor post-school outcomes for students with disability</w:t>
      </w:r>
    </w:p>
    <w:p w14:paraId="74DE4E2B" w14:textId="48534DAE" w:rsidR="00F80467" w:rsidRDefault="00F80467" w:rsidP="00F80467">
      <w:pPr>
        <w:pStyle w:val="ListParagraph"/>
        <w:numPr>
          <w:ilvl w:val="0"/>
          <w:numId w:val="39"/>
        </w:numPr>
      </w:pPr>
      <w:r>
        <w:t>Use the Federal Government’s loading for students with disability to support inclusive education.</w:t>
      </w:r>
    </w:p>
    <w:p w14:paraId="74DCC4F6" w14:textId="77777777" w:rsidR="00D7024A" w:rsidRDefault="00D7024A" w:rsidP="00374F54"/>
    <w:p w14:paraId="547D0235" w14:textId="77777777" w:rsidR="00D7024A" w:rsidRDefault="002930AE" w:rsidP="00374F54">
      <w:pPr>
        <w:rPr>
          <w:b/>
        </w:rPr>
      </w:pPr>
      <w:r>
        <w:rPr>
          <w:b/>
        </w:rPr>
        <w:t>Develop tailored support for students with disability</w:t>
      </w:r>
    </w:p>
    <w:p w14:paraId="53141718" w14:textId="77777777" w:rsidR="00F80467" w:rsidRDefault="00F80467" w:rsidP="00F80467">
      <w:pPr>
        <w:pStyle w:val="ListParagraph"/>
        <w:numPr>
          <w:ilvl w:val="0"/>
          <w:numId w:val="40"/>
        </w:numPr>
      </w:pPr>
      <w:r>
        <w:t>Improve national consistency in post-school transition activities, building on what works best around the country</w:t>
      </w:r>
    </w:p>
    <w:p w14:paraId="44C6E3F6" w14:textId="77777777" w:rsidR="00F80467" w:rsidRDefault="00F80467" w:rsidP="00F80467">
      <w:pPr>
        <w:pStyle w:val="ListParagraph"/>
        <w:numPr>
          <w:ilvl w:val="0"/>
          <w:numId w:val="40"/>
        </w:numPr>
      </w:pPr>
      <w:r>
        <w:t>Include young people with disability and families in every stage of developing new post-school transition activities</w:t>
      </w:r>
    </w:p>
    <w:p w14:paraId="1D2431F4" w14:textId="77777777" w:rsidR="00F80467" w:rsidRDefault="00F80467" w:rsidP="00F80467">
      <w:pPr>
        <w:pStyle w:val="ListParagraph"/>
        <w:numPr>
          <w:ilvl w:val="0"/>
          <w:numId w:val="40"/>
        </w:numPr>
      </w:pPr>
      <w:r>
        <w:t>Ensure post-school transition programs are well-structured, outcome-oriented and student-focused</w:t>
      </w:r>
    </w:p>
    <w:p w14:paraId="109D3276" w14:textId="77777777" w:rsidR="00F80467" w:rsidRDefault="00F80467" w:rsidP="00F80467">
      <w:pPr>
        <w:pStyle w:val="ListParagraph"/>
        <w:numPr>
          <w:ilvl w:val="0"/>
          <w:numId w:val="40"/>
        </w:numPr>
      </w:pPr>
      <w:r>
        <w:t>Start post-school planning activities for all students with disability by at least the age of 15</w:t>
      </w:r>
    </w:p>
    <w:p w14:paraId="79A5A404" w14:textId="77777777" w:rsidR="00F80467" w:rsidRDefault="00F80467" w:rsidP="00F80467">
      <w:pPr>
        <w:pStyle w:val="ListParagraph"/>
        <w:numPr>
          <w:ilvl w:val="0"/>
          <w:numId w:val="40"/>
        </w:numPr>
      </w:pPr>
      <w:r>
        <w:t>Improve data collection about post-school transition programs, including their uptake, implementation and outcomes</w:t>
      </w:r>
    </w:p>
    <w:p w14:paraId="629234C6" w14:textId="77777777" w:rsidR="00F80467" w:rsidRDefault="00F80467" w:rsidP="00F80467">
      <w:pPr>
        <w:pStyle w:val="ListParagraph"/>
        <w:numPr>
          <w:ilvl w:val="0"/>
          <w:numId w:val="40"/>
        </w:numPr>
      </w:pPr>
      <w:r>
        <w:t>Review funding arrangements in all states and territories for school and post-school programs for students with disability.</w:t>
      </w:r>
    </w:p>
    <w:p w14:paraId="663AB374" w14:textId="77777777" w:rsidR="002930AE" w:rsidRDefault="002930AE" w:rsidP="00374F54"/>
    <w:p w14:paraId="75035688" w14:textId="0B2BAC52" w:rsidR="002930AE" w:rsidRDefault="002930AE" w:rsidP="00374F54">
      <w:pPr>
        <w:rPr>
          <w:b/>
        </w:rPr>
      </w:pPr>
      <w:r>
        <w:rPr>
          <w:b/>
        </w:rPr>
        <w:t xml:space="preserve">Provide more information to students </w:t>
      </w:r>
      <w:r w:rsidR="00F80467">
        <w:rPr>
          <w:b/>
        </w:rPr>
        <w:t xml:space="preserve">with disability </w:t>
      </w:r>
      <w:r>
        <w:rPr>
          <w:b/>
        </w:rPr>
        <w:t>and their families</w:t>
      </w:r>
    </w:p>
    <w:p w14:paraId="779CA523" w14:textId="77777777" w:rsidR="00F80467" w:rsidRDefault="00F80467" w:rsidP="00F80467">
      <w:pPr>
        <w:pStyle w:val="ListParagraph"/>
        <w:numPr>
          <w:ilvl w:val="0"/>
          <w:numId w:val="41"/>
        </w:numPr>
      </w:pPr>
      <w:r>
        <w:t>Improve national consistency in post-school transition activities, building on what works best around the country</w:t>
      </w:r>
    </w:p>
    <w:p w14:paraId="4F781AF0" w14:textId="77777777" w:rsidR="00F80467" w:rsidRDefault="00F80467" w:rsidP="00F80467">
      <w:pPr>
        <w:pStyle w:val="ListParagraph"/>
        <w:numPr>
          <w:ilvl w:val="0"/>
          <w:numId w:val="41"/>
        </w:numPr>
      </w:pPr>
      <w:r>
        <w:t>Include young people with disability and families in every stage of developing new post-school transition activities</w:t>
      </w:r>
    </w:p>
    <w:p w14:paraId="4DAE4054" w14:textId="77777777" w:rsidR="00F80467" w:rsidRDefault="00F80467" w:rsidP="00F80467">
      <w:pPr>
        <w:pStyle w:val="ListParagraph"/>
        <w:numPr>
          <w:ilvl w:val="0"/>
          <w:numId w:val="41"/>
        </w:numPr>
      </w:pPr>
      <w:r>
        <w:t>Ensure post-school transition programs are well-structured, outcome-oriented and student-focused</w:t>
      </w:r>
    </w:p>
    <w:p w14:paraId="30E6B9DF" w14:textId="77777777" w:rsidR="00F80467" w:rsidRDefault="00F80467" w:rsidP="00F80467">
      <w:pPr>
        <w:pStyle w:val="ListParagraph"/>
        <w:numPr>
          <w:ilvl w:val="0"/>
          <w:numId w:val="41"/>
        </w:numPr>
      </w:pPr>
      <w:r>
        <w:t>Start post-school planning activities for all students with disability by at least the age of 15</w:t>
      </w:r>
    </w:p>
    <w:p w14:paraId="1E75744F" w14:textId="77777777" w:rsidR="00F80467" w:rsidRDefault="00F80467" w:rsidP="00F80467">
      <w:pPr>
        <w:pStyle w:val="ListParagraph"/>
        <w:numPr>
          <w:ilvl w:val="0"/>
          <w:numId w:val="41"/>
        </w:numPr>
      </w:pPr>
      <w:r>
        <w:t>Improve data collection about post-school transition programs, including their uptake, implementation and outcomes</w:t>
      </w:r>
    </w:p>
    <w:p w14:paraId="1AFBBB71" w14:textId="77777777" w:rsidR="00F80467" w:rsidRDefault="00F80467" w:rsidP="00F80467">
      <w:pPr>
        <w:pStyle w:val="ListParagraph"/>
        <w:numPr>
          <w:ilvl w:val="0"/>
          <w:numId w:val="41"/>
        </w:numPr>
      </w:pPr>
      <w:r>
        <w:t>Review funding arrangements in all states and territories for school and post-school programs for students with disability.</w:t>
      </w:r>
    </w:p>
    <w:p w14:paraId="2BBF91E7" w14:textId="77777777" w:rsidR="002930AE" w:rsidRDefault="002930AE" w:rsidP="00374F54"/>
    <w:p w14:paraId="6F4D21B8" w14:textId="257E881A" w:rsidR="002930AE" w:rsidRDefault="002930AE" w:rsidP="00374F54">
      <w:pPr>
        <w:rPr>
          <w:b/>
        </w:rPr>
      </w:pPr>
      <w:r>
        <w:rPr>
          <w:b/>
        </w:rPr>
        <w:t>Deliver strong outcomes for students</w:t>
      </w:r>
      <w:r w:rsidR="00F80467">
        <w:rPr>
          <w:b/>
        </w:rPr>
        <w:t xml:space="preserve"> with disability</w:t>
      </w:r>
      <w:r>
        <w:rPr>
          <w:b/>
        </w:rPr>
        <w:t xml:space="preserve"> after school</w:t>
      </w:r>
    </w:p>
    <w:p w14:paraId="1A93B11D" w14:textId="77777777" w:rsidR="00C94C82" w:rsidRDefault="00C94C82" w:rsidP="00C94C82">
      <w:pPr>
        <w:pStyle w:val="ListParagraph"/>
        <w:numPr>
          <w:ilvl w:val="0"/>
          <w:numId w:val="43"/>
        </w:numPr>
      </w:pPr>
      <w:r>
        <w:t>Provide support for young people with disability for the first five years after school</w:t>
      </w:r>
    </w:p>
    <w:p w14:paraId="2EFE5CC2" w14:textId="77777777" w:rsidR="00C94C82" w:rsidRDefault="00C94C82" w:rsidP="00C94C82">
      <w:pPr>
        <w:pStyle w:val="ListParagraph"/>
        <w:numPr>
          <w:ilvl w:val="0"/>
          <w:numId w:val="43"/>
        </w:numPr>
      </w:pPr>
      <w:r>
        <w:t>Monitor outcomes of engagement in education, training and employment for students and young people with disability</w:t>
      </w:r>
    </w:p>
    <w:p w14:paraId="6F39534B" w14:textId="77777777" w:rsidR="00C94C82" w:rsidRDefault="00C94C82" w:rsidP="00C94C82">
      <w:pPr>
        <w:pStyle w:val="ListParagraph"/>
        <w:numPr>
          <w:ilvl w:val="0"/>
          <w:numId w:val="43"/>
        </w:numPr>
      </w:pPr>
      <w:r>
        <w:t>Develop a national strategy and framework to increase participation of students and young people with disability in general ‘open’ labour force, higher education and VET</w:t>
      </w:r>
    </w:p>
    <w:p w14:paraId="5C0D6187" w14:textId="3338B47E" w:rsidR="008C6B2F" w:rsidRDefault="00C94C82" w:rsidP="00C94C82">
      <w:pPr>
        <w:pStyle w:val="ListParagraph"/>
        <w:numPr>
          <w:ilvl w:val="0"/>
          <w:numId w:val="43"/>
        </w:numPr>
      </w:pPr>
      <w:r>
        <w:t>Review the disadvantage young people with disability face with income support.</w:t>
      </w:r>
      <w:r w:rsidR="008C6B2F">
        <w:br w:type="page"/>
      </w:r>
    </w:p>
    <w:p w14:paraId="086350C3" w14:textId="77777777" w:rsidR="008C6B2F" w:rsidRDefault="008C6B2F" w:rsidP="008C6B2F">
      <w:pPr>
        <w:keepNext/>
        <w:keepLines/>
        <w:spacing w:before="240" w:after="0"/>
        <w:outlineLvl w:val="0"/>
        <w:rPr>
          <w:rFonts w:ascii="Helvetica" w:eastAsiaTheme="majorEastAsia" w:hAnsi="Helvetica" w:cstheme="majorBidi"/>
          <w:color w:val="538135" w:themeColor="accent6" w:themeShade="BF"/>
          <w:sz w:val="32"/>
          <w:szCs w:val="32"/>
        </w:rPr>
      </w:pPr>
      <w:bookmarkStart w:id="2" w:name="_Toc27818908"/>
      <w:r w:rsidRPr="00155360">
        <w:rPr>
          <w:rFonts w:ascii="Helvetica" w:eastAsiaTheme="majorEastAsia" w:hAnsi="Helvetica" w:cstheme="majorBidi"/>
          <w:color w:val="538135" w:themeColor="accent6" w:themeShade="BF"/>
          <w:sz w:val="32"/>
          <w:szCs w:val="32"/>
        </w:rPr>
        <w:lastRenderedPageBreak/>
        <w:t>Introduction</w:t>
      </w:r>
      <w:bookmarkEnd w:id="2"/>
    </w:p>
    <w:p w14:paraId="651DFEB6" w14:textId="77777777" w:rsidR="008C6B2F" w:rsidRDefault="008C6B2F" w:rsidP="008C6B2F">
      <w:r>
        <w:t xml:space="preserve">Children and Young People with Disability Australia (CYDA) is the national representative organisation for children and young people with disability aged 0-25 years. CYDA has an extensive national membership of over 5,000 young people with disability, families and caregivers of children with disability, with the majority of our members being families. </w:t>
      </w:r>
    </w:p>
    <w:p w14:paraId="4AC17CF5" w14:textId="77777777" w:rsidR="008C6B2F" w:rsidRDefault="008C6B2F" w:rsidP="008C6B2F">
      <w:r>
        <w:t>CYDA’s purpose is to advocate systemically at the national level for the rights and interests of all children and young people with disability living in Australia. To do this, we focus on the following:</w:t>
      </w:r>
    </w:p>
    <w:p w14:paraId="7BE3B1F8" w14:textId="77777777" w:rsidR="008C6B2F" w:rsidRDefault="008C6B2F" w:rsidP="008C6B2F">
      <w:pPr>
        <w:pStyle w:val="ListParagraph"/>
        <w:numPr>
          <w:ilvl w:val="0"/>
          <w:numId w:val="10"/>
        </w:numPr>
        <w:ind w:left="714" w:hanging="357"/>
      </w:pPr>
      <w:r>
        <w:t>Listening and responding to the voices and experiences of children and young people with disability</w:t>
      </w:r>
    </w:p>
    <w:p w14:paraId="692F77AB" w14:textId="77777777" w:rsidR="008C6B2F" w:rsidRDefault="008C6B2F" w:rsidP="008C6B2F">
      <w:pPr>
        <w:pStyle w:val="ListParagraph"/>
        <w:numPr>
          <w:ilvl w:val="0"/>
          <w:numId w:val="10"/>
        </w:numPr>
        <w:ind w:left="714" w:hanging="357"/>
      </w:pPr>
      <w:r>
        <w:t>Advocating for children and young people with disability for equal opportunities, participation and inclusion in the Australian community</w:t>
      </w:r>
    </w:p>
    <w:p w14:paraId="5D0ECFA2" w14:textId="77777777" w:rsidR="008C6B2F" w:rsidRDefault="008C6B2F" w:rsidP="008C6B2F">
      <w:pPr>
        <w:pStyle w:val="ListParagraph"/>
        <w:numPr>
          <w:ilvl w:val="0"/>
          <w:numId w:val="10"/>
        </w:numPr>
        <w:ind w:left="714" w:hanging="357"/>
      </w:pPr>
      <w:r>
        <w:t>Educating national public policy-makers and the broader community about the experiences of children and young people with disability</w:t>
      </w:r>
    </w:p>
    <w:p w14:paraId="1C406500" w14:textId="77777777" w:rsidR="008C6B2F" w:rsidRDefault="008C6B2F" w:rsidP="008C6B2F">
      <w:pPr>
        <w:pStyle w:val="ListParagraph"/>
        <w:numPr>
          <w:ilvl w:val="0"/>
          <w:numId w:val="10"/>
        </w:numPr>
        <w:ind w:left="714" w:hanging="357"/>
      </w:pPr>
      <w:r>
        <w:t>Informing children and young people with disability, their families and care givers about their citizenship rights and entitlements</w:t>
      </w:r>
    </w:p>
    <w:p w14:paraId="6D6F8119" w14:textId="77777777" w:rsidR="008C6B2F" w:rsidRDefault="008C6B2F" w:rsidP="008C6B2F">
      <w:pPr>
        <w:pStyle w:val="ListParagraph"/>
        <w:numPr>
          <w:ilvl w:val="0"/>
          <w:numId w:val="10"/>
        </w:numPr>
        <w:ind w:left="714" w:hanging="357"/>
      </w:pPr>
      <w:r>
        <w:t>Celebrating the successes and achievements of children and young people with disability.</w:t>
      </w:r>
    </w:p>
    <w:p w14:paraId="69B87C96" w14:textId="37E9A590" w:rsidR="008C6B2F" w:rsidRDefault="008C6B2F" w:rsidP="008C6B2F">
      <w:r>
        <w:t>We are pleased to provide this submission to t</w:t>
      </w:r>
      <w:r w:rsidRPr="0086306E">
        <w:t>he Review of Senior Secondary Pathways into Work, Further Education and Training</w:t>
      </w:r>
      <w:r>
        <w:t xml:space="preserve">. </w:t>
      </w:r>
      <w:r w:rsidRPr="00155360">
        <w:t>Th</w:t>
      </w:r>
      <w:r>
        <w:t>e</w:t>
      </w:r>
      <w:r w:rsidRPr="00155360">
        <w:t xml:space="preserve"> submission is informed by </w:t>
      </w:r>
      <w:r>
        <w:t xml:space="preserve">CYDA’s research and policy work, and centres the voices of </w:t>
      </w:r>
      <w:r w:rsidRPr="00155360">
        <w:t>our members</w:t>
      </w:r>
      <w:r>
        <w:t xml:space="preserve">. It draws from the </w:t>
      </w:r>
      <w:r w:rsidRPr="00155360">
        <w:t xml:space="preserve">results </w:t>
      </w:r>
      <w:r>
        <w:t>of</w:t>
      </w:r>
      <w:r w:rsidRPr="00155360">
        <w:t xml:space="preserve"> a national survey </w:t>
      </w:r>
      <w:r>
        <w:t xml:space="preserve">we </w:t>
      </w:r>
      <w:r w:rsidRPr="00155360">
        <w:t xml:space="preserve">conducted </w:t>
      </w:r>
      <w:r>
        <w:t>i</w:t>
      </w:r>
      <w:r w:rsidRPr="00155360">
        <w:t xml:space="preserve">n </w:t>
      </w:r>
      <w:r w:rsidR="00EE4B1A">
        <w:t>November</w:t>
      </w:r>
      <w:r w:rsidRPr="00155360">
        <w:t xml:space="preserve"> 2019</w:t>
      </w:r>
      <w:r w:rsidR="00EE4B1A">
        <w:t xml:space="preserve"> and February 2020</w:t>
      </w:r>
      <w:r>
        <w:t xml:space="preserve"> to explore the experiences of senior students with disability. We received </w:t>
      </w:r>
      <w:r w:rsidR="00EE4B1A">
        <w:t>106</w:t>
      </w:r>
      <w:r>
        <w:t xml:space="preserve"> responses from </w:t>
      </w:r>
      <w:r w:rsidRPr="00155360">
        <w:t xml:space="preserve">young people with disability, families and caregivers of </w:t>
      </w:r>
      <w:r>
        <w:t>young people</w:t>
      </w:r>
      <w:r w:rsidRPr="00155360">
        <w:t xml:space="preserve"> with disability</w:t>
      </w:r>
      <w:r>
        <w:t xml:space="preserve">, and teachers. An overview of our respondents’ demographics is provided in Table 1 </w:t>
      </w:r>
      <w:r w:rsidR="00371188">
        <w:t>in Appendix A</w:t>
      </w:r>
      <w:r>
        <w:t>.</w:t>
      </w:r>
    </w:p>
    <w:p w14:paraId="659084E5" w14:textId="77777777" w:rsidR="008C6B2F" w:rsidRPr="00155360" w:rsidRDefault="008C6B2F" w:rsidP="008C6B2F"/>
    <w:p w14:paraId="74472F70" w14:textId="77777777" w:rsidR="008C6B2F" w:rsidRDefault="008C6B2F">
      <w:pPr>
        <w:spacing w:before="0" w:line="259" w:lineRule="auto"/>
        <w:rPr>
          <w:rFonts w:ascii="Helvetica" w:eastAsiaTheme="majorEastAsia" w:hAnsi="Helvetica" w:cstheme="majorBidi"/>
          <w:color w:val="538135" w:themeColor="accent6" w:themeShade="BF"/>
          <w:sz w:val="32"/>
          <w:szCs w:val="32"/>
        </w:rPr>
      </w:pPr>
      <w:r>
        <w:br w:type="page"/>
      </w:r>
    </w:p>
    <w:p w14:paraId="69F3CB41" w14:textId="77777777" w:rsidR="000D322E" w:rsidRDefault="00017775" w:rsidP="00374F54">
      <w:pPr>
        <w:pStyle w:val="Heading1"/>
      </w:pPr>
      <w:bookmarkStart w:id="3" w:name="_Toc27818909"/>
      <w:r>
        <w:t>Address exclusion in schools</w:t>
      </w:r>
      <w:bookmarkEnd w:id="3"/>
    </w:p>
    <w:p w14:paraId="48C96849" w14:textId="77777777" w:rsidR="000D322E" w:rsidRPr="000D322E" w:rsidRDefault="000D322E" w:rsidP="00374F54"/>
    <w:p w14:paraId="71B29308" w14:textId="77777777" w:rsidR="000D322E" w:rsidRPr="00374F54" w:rsidRDefault="000D322E" w:rsidP="00374F54">
      <w:pPr>
        <w:pBdr>
          <w:top w:val="single" w:sz="12" w:space="1" w:color="ED7D31" w:themeColor="accent2"/>
          <w:left w:val="single" w:sz="12" w:space="4" w:color="ED7D31" w:themeColor="accent2"/>
          <w:bottom w:val="single" w:sz="12" w:space="1" w:color="ED7D31" w:themeColor="accent2"/>
          <w:right w:val="single" w:sz="12" w:space="4" w:color="ED7D31" w:themeColor="accent2"/>
        </w:pBdr>
        <w:ind w:left="360"/>
        <w:rPr>
          <w:b/>
        </w:rPr>
      </w:pPr>
      <w:r>
        <w:rPr>
          <w:b/>
        </w:rPr>
        <w:t>Recommendations</w:t>
      </w:r>
    </w:p>
    <w:p w14:paraId="2BDBC840" w14:textId="7BF23238" w:rsidR="00750440" w:rsidRDefault="00750440" w:rsidP="00374F54">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Develop a National Inclusive Education Plan</w:t>
      </w:r>
      <w:r w:rsidR="00146EF6">
        <w:t xml:space="preserve"> which aims to phase out segregated education and realise inclusive education for students with disability</w:t>
      </w:r>
    </w:p>
    <w:p w14:paraId="6ABF83ED" w14:textId="77777777" w:rsidR="005535E0" w:rsidRDefault="00112909" w:rsidP="00374F54">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Strengthen</w:t>
      </w:r>
      <w:r w:rsidR="005535E0">
        <w:t xml:space="preserve"> mechanisms to monitor and </w:t>
      </w:r>
      <w:r>
        <w:t>address</w:t>
      </w:r>
      <w:r w:rsidR="005535E0">
        <w:t xml:space="preserve"> exclusion in schools</w:t>
      </w:r>
    </w:p>
    <w:p w14:paraId="2087A918" w14:textId="157D8422" w:rsidR="0001430A" w:rsidRDefault="005535E0" w:rsidP="00374F54">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Counter the narrative of ‘low expectations’ for students with disability</w:t>
      </w:r>
      <w:r w:rsidR="00146EF6">
        <w:t xml:space="preserve"> through concrete actions and monitor post-school outcomes for students with disability</w:t>
      </w:r>
    </w:p>
    <w:p w14:paraId="0F6ECC06" w14:textId="7261AF37" w:rsidR="00017775" w:rsidRDefault="0001430A" w:rsidP="00374F54">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Use the Federal Government’s loading for students with disability to support inclusive education</w:t>
      </w:r>
    </w:p>
    <w:p w14:paraId="2895AE8A" w14:textId="77777777" w:rsidR="000D322E" w:rsidRDefault="000D322E" w:rsidP="00112909"/>
    <w:p w14:paraId="1155ABFE" w14:textId="36C3D29E" w:rsidR="000D322E" w:rsidRDefault="00CB03FD" w:rsidP="00374F54">
      <w:pPr>
        <w:pStyle w:val="Heading2"/>
      </w:pPr>
      <w:r>
        <w:t>Phase out the o</w:t>
      </w:r>
      <w:r w:rsidR="000D322E">
        <w:t>ngoing segregation</w:t>
      </w:r>
      <w:r>
        <w:t xml:space="preserve"> of students with disability</w:t>
      </w:r>
      <w:r w:rsidR="000D322E">
        <w:t xml:space="preserve"> in Australians schools</w:t>
      </w:r>
    </w:p>
    <w:p w14:paraId="1EB3EA2B" w14:textId="77777777" w:rsidR="00112909" w:rsidRDefault="00112909" w:rsidP="00112909">
      <w:r>
        <w:t>Improving post-school outcomes for young people with disability, and supporting wellbeing throughout their lives, begins with positive and inclusive experiences in schools.</w:t>
      </w:r>
      <w:r w:rsidR="001A5C74">
        <w:t xml:space="preserve"> </w:t>
      </w:r>
      <w:r w:rsidR="00A91667">
        <w:t>P</w:t>
      </w:r>
      <w:r w:rsidR="001A5C74">
        <w:t>eople with disability in Australia are less likely to finish school and more likely</w:t>
      </w:r>
      <w:r w:rsidR="00A91667">
        <w:t xml:space="preserve"> to leave before the age of 16, and l</w:t>
      </w:r>
      <w:r w:rsidR="001A5C74">
        <w:t>ess than a third of people with disability aged 20 or over have completed Year 12-level schooling</w:t>
      </w:r>
      <w:r w:rsidR="00371188">
        <w:t xml:space="preserve"> – </w:t>
      </w:r>
      <w:r w:rsidR="001A5C74">
        <w:t>compared with 62 per cent of people without a disability.</w:t>
      </w:r>
      <w:r w:rsidR="001A5C74">
        <w:rPr>
          <w:rStyle w:val="FootnoteReference"/>
        </w:rPr>
        <w:footnoteReference w:id="2"/>
      </w:r>
      <w:r w:rsidR="001A5C74">
        <w:t xml:space="preserve"> High rates of school disengagement, lack of tailored support, and continuing segregating in schools contribute to poorer post-school opportunities and outcomes for young people with disability.</w:t>
      </w:r>
    </w:p>
    <w:p w14:paraId="772B449E" w14:textId="77777777" w:rsidR="00371188" w:rsidRDefault="001A5C74" w:rsidP="001A5C74">
      <w:r>
        <w:t>Evidence shows that inclusive education “has positive benefits for everyone”</w:t>
      </w:r>
      <w:r>
        <w:rPr>
          <w:rStyle w:val="FootnoteReference"/>
        </w:rPr>
        <w:footnoteReference w:id="3"/>
      </w:r>
      <w:r>
        <w:t xml:space="preserve"> – students with and without disabilities, as well as teachers and the broader school community – but a range of barriers prevent it from being implemented, and in many </w:t>
      </w:r>
      <w:r w:rsidR="00371188">
        <w:t>places</w:t>
      </w:r>
      <w:r>
        <w:t xml:space="preserve"> the rate of segregated schooling is actually increasing.</w:t>
      </w:r>
      <w:r>
        <w:rPr>
          <w:rStyle w:val="FootnoteReference"/>
        </w:rPr>
        <w:footnoteReference w:id="4"/>
      </w:r>
      <w:r w:rsidRPr="00112909">
        <w:t xml:space="preserve"> </w:t>
      </w:r>
    </w:p>
    <w:p w14:paraId="51F448CC" w14:textId="77777777" w:rsidR="00017775" w:rsidRDefault="001A5C74" w:rsidP="00017775">
      <w:r>
        <w:t>The United Nations Convention on the Rights of Persons with Disabilities (CRPD)</w:t>
      </w:r>
      <w:r w:rsidR="00E667F5">
        <w:t xml:space="preserve"> </w:t>
      </w:r>
      <w:r>
        <w:t>emphasises that no form of segregation constitutes inclusive education</w:t>
      </w:r>
      <w:r w:rsidR="00371188">
        <w:t>,</w:t>
      </w:r>
      <w:r>
        <w:rPr>
          <w:rStyle w:val="FootnoteReference"/>
        </w:rPr>
        <w:footnoteReference w:id="5"/>
      </w:r>
      <w:r w:rsidRPr="00112909">
        <w:t xml:space="preserve"> </w:t>
      </w:r>
      <w:r w:rsidR="00371188">
        <w:t>but m</w:t>
      </w:r>
      <w:r w:rsidR="00112909">
        <w:t xml:space="preserve">any students </w:t>
      </w:r>
      <w:r w:rsidR="00017775">
        <w:t>with disability</w:t>
      </w:r>
      <w:r w:rsidR="00112909">
        <w:t xml:space="preserve"> in Australia</w:t>
      </w:r>
      <w:r w:rsidR="00017775">
        <w:t xml:space="preserve"> </w:t>
      </w:r>
      <w:r w:rsidR="00112909">
        <w:t xml:space="preserve">currently experience </w:t>
      </w:r>
      <w:r w:rsidR="00017775">
        <w:t>segregated</w:t>
      </w:r>
      <w:r w:rsidR="00112909">
        <w:t xml:space="preserve"> education programs</w:t>
      </w:r>
      <w:r w:rsidR="00017775">
        <w:t xml:space="preserve">, </w:t>
      </w:r>
      <w:r w:rsidR="00112909">
        <w:t xml:space="preserve">including attending special schools, participating </w:t>
      </w:r>
      <w:r w:rsidR="00017775">
        <w:t xml:space="preserve">in special units in mainstream schools, or </w:t>
      </w:r>
      <w:r w:rsidR="00112909">
        <w:t xml:space="preserve">having no appropriate option except </w:t>
      </w:r>
      <w:r w:rsidR="00017775">
        <w:t>home</w:t>
      </w:r>
      <w:r w:rsidR="00E667F5">
        <w:noBreakHyphen/>
      </w:r>
      <w:r w:rsidR="00017775">
        <w:t>schooling</w:t>
      </w:r>
      <w:r w:rsidR="00112909">
        <w:t xml:space="preserve">. </w:t>
      </w:r>
      <w:r w:rsidR="00017775">
        <w:t>More students with disability are attending special schools over mainstreams schools than a decade ago</w:t>
      </w:r>
      <w:r w:rsidR="00112909">
        <w:t>.</w:t>
      </w:r>
      <w:r w:rsidR="00017775">
        <w:rPr>
          <w:rStyle w:val="FootnoteReference"/>
        </w:rPr>
        <w:footnoteReference w:id="6"/>
      </w:r>
      <w:r w:rsidR="00112909">
        <w:t xml:space="preserve"> </w:t>
      </w:r>
      <w:r w:rsidR="00E667F5">
        <w:t>For example, r</w:t>
      </w:r>
      <w:r w:rsidR="00112909">
        <w:t xml:space="preserve">ecent data shows that </w:t>
      </w:r>
      <w:r w:rsidR="00017775">
        <w:t xml:space="preserve">there are </w:t>
      </w:r>
      <w:r w:rsidR="00112909">
        <w:t xml:space="preserve">15,521 students enrolled in </w:t>
      </w:r>
      <w:r w:rsidR="00017775">
        <w:t>108 special schools</w:t>
      </w:r>
      <w:r w:rsidR="00112909" w:rsidRPr="00112909">
        <w:t xml:space="preserve"> </w:t>
      </w:r>
      <w:r w:rsidR="00112909">
        <w:t>across Victoria,</w:t>
      </w:r>
      <w:r w:rsidR="00017775">
        <w:t xml:space="preserve"> </w:t>
      </w:r>
      <w:r w:rsidR="00112909">
        <w:t>with</w:t>
      </w:r>
      <w:r w:rsidR="00017775">
        <w:t xml:space="preserve"> enrolment </w:t>
      </w:r>
      <w:r w:rsidR="00112909">
        <w:t xml:space="preserve">rates </w:t>
      </w:r>
      <w:r w:rsidR="00017775">
        <w:t xml:space="preserve">in special schools </w:t>
      </w:r>
      <w:r w:rsidR="00112909">
        <w:t>increasing</w:t>
      </w:r>
      <w:r w:rsidR="00017775">
        <w:t xml:space="preserve"> by 53</w:t>
      </w:r>
      <w:r w:rsidR="00112909">
        <w:t xml:space="preserve"> per cent</w:t>
      </w:r>
      <w:r w:rsidR="00017775">
        <w:t xml:space="preserve"> since 2010</w:t>
      </w:r>
      <w:r w:rsidR="00112909">
        <w:t>.</w:t>
      </w:r>
      <w:r w:rsidR="00112909">
        <w:rPr>
          <w:rStyle w:val="FootnoteReference"/>
        </w:rPr>
        <w:footnoteReference w:id="7"/>
      </w:r>
      <w:r w:rsidR="00017775">
        <w:t xml:space="preserve"> </w:t>
      </w:r>
    </w:p>
    <w:p w14:paraId="2399AD6D" w14:textId="5D58CA4A" w:rsidR="00017775" w:rsidRDefault="005535E0" w:rsidP="00017775">
      <w:r>
        <w:t xml:space="preserve">Just over half of </w:t>
      </w:r>
      <w:r w:rsidR="00CB5BEE">
        <w:t xml:space="preserve">the </w:t>
      </w:r>
      <w:r w:rsidR="00017775">
        <w:t>respondents</w:t>
      </w:r>
      <w:r w:rsidR="00CB5BEE">
        <w:t xml:space="preserve"> to </w:t>
      </w:r>
      <w:r w:rsidR="00112909">
        <w:t>CYDA’s recent</w:t>
      </w:r>
      <w:r w:rsidR="00CB5BEE">
        <w:t xml:space="preserve"> post-school survey (</w:t>
      </w:r>
      <w:r w:rsidR="00C11593">
        <w:t>59.4</w:t>
      </w:r>
      <w:r w:rsidR="00CB5BEE">
        <w:t xml:space="preserve"> per cent) </w:t>
      </w:r>
      <w:r w:rsidR="00017775">
        <w:t>are attending mainstream school</w:t>
      </w:r>
      <w:r w:rsidR="00CB5BEE">
        <w:t>s,</w:t>
      </w:r>
      <w:r w:rsidR="00017775">
        <w:t xml:space="preserve"> </w:t>
      </w:r>
      <w:r w:rsidR="00C11593">
        <w:t>with around 43.4</w:t>
      </w:r>
      <w:r w:rsidR="00CB5BEE">
        <w:t xml:space="preserve"> per cent </w:t>
      </w:r>
      <w:r w:rsidR="00017775">
        <w:t xml:space="preserve">segregated in </w:t>
      </w:r>
      <w:r w:rsidR="00CB5BEE">
        <w:t xml:space="preserve">either </w:t>
      </w:r>
      <w:r w:rsidR="00017775">
        <w:t xml:space="preserve">special schools, </w:t>
      </w:r>
      <w:r w:rsidR="00CB5BEE">
        <w:t xml:space="preserve">through </w:t>
      </w:r>
      <w:r w:rsidR="00017775">
        <w:t xml:space="preserve">dual enrolment </w:t>
      </w:r>
      <w:r w:rsidR="00CB5BEE">
        <w:t>(</w:t>
      </w:r>
      <w:r w:rsidR="00017775">
        <w:t xml:space="preserve">mainstream and </w:t>
      </w:r>
      <w:r w:rsidR="00CB5BEE">
        <w:t xml:space="preserve">a </w:t>
      </w:r>
      <w:r w:rsidR="00017775">
        <w:t>special school</w:t>
      </w:r>
      <w:r w:rsidR="00CB5BEE">
        <w:t>)</w:t>
      </w:r>
      <w:r w:rsidR="00017775">
        <w:t xml:space="preserve">, or </w:t>
      </w:r>
      <w:r w:rsidR="00CB5BEE">
        <w:t xml:space="preserve">being </w:t>
      </w:r>
      <w:r w:rsidR="00017775">
        <w:t>home</w:t>
      </w:r>
      <w:r w:rsidR="00E667F5">
        <w:t>-</w:t>
      </w:r>
      <w:r w:rsidR="00017775">
        <w:t>school</w:t>
      </w:r>
      <w:r w:rsidR="00CB5BEE">
        <w:t>ed (see Table 2</w:t>
      </w:r>
      <w:r w:rsidR="00E667F5">
        <w:t xml:space="preserve"> in Appendix A</w:t>
      </w:r>
      <w:r w:rsidR="00CB5BEE">
        <w:t>).</w:t>
      </w:r>
      <w:r w:rsidR="00CB5BEE" w:rsidRPr="00CB5BEE">
        <w:t xml:space="preserve"> </w:t>
      </w:r>
      <w:r w:rsidR="00C11593">
        <w:t>Additionally,</w:t>
      </w:r>
      <w:r w:rsidR="00CB5BEE">
        <w:t xml:space="preserve"> half of the students who reported attending a mainstream school </w:t>
      </w:r>
      <w:r w:rsidR="00C11593">
        <w:t>(49.9</w:t>
      </w:r>
      <w:r w:rsidR="00CB5BEE">
        <w:t> per cent) are separated in special units or a combination of regular class and a special unit (Table 3</w:t>
      </w:r>
      <w:r w:rsidR="0022288C">
        <w:t>,</w:t>
      </w:r>
      <w:r w:rsidR="00E667F5">
        <w:t xml:space="preserve"> Appendix A</w:t>
      </w:r>
      <w:r w:rsidR="00CB5BEE">
        <w:t>).</w:t>
      </w:r>
    </w:p>
    <w:p w14:paraId="599EF6FA" w14:textId="55BEC11A" w:rsidR="001A5C74" w:rsidRDefault="001A5C74" w:rsidP="00017775">
      <w:r>
        <w:t>Further data collected by CYDA through our 2019</w:t>
      </w:r>
      <w:r w:rsidRPr="001A5C74">
        <w:t xml:space="preserve"> </w:t>
      </w:r>
      <w:r>
        <w:t>National Education Survey</w:t>
      </w:r>
      <w:r>
        <w:rPr>
          <w:rStyle w:val="FootnoteReference"/>
        </w:rPr>
        <w:footnoteReference w:id="8"/>
      </w:r>
      <w:r>
        <w:t xml:space="preserve"> show</w:t>
      </w:r>
      <w:r w:rsidR="00750440">
        <w:t>ed</w:t>
      </w:r>
      <w:r>
        <w:t xml:space="preserve"> that:</w:t>
      </w:r>
    </w:p>
    <w:p w14:paraId="4275C07E" w14:textId="4A7A4DE0" w:rsidR="001A5C74" w:rsidRDefault="001A5C74" w:rsidP="00374F54">
      <w:pPr>
        <w:pStyle w:val="ListParagraph"/>
        <w:numPr>
          <w:ilvl w:val="0"/>
          <w:numId w:val="25"/>
        </w:numPr>
      </w:pPr>
      <w:r>
        <w:t xml:space="preserve">12.5 per cent of the 505 respondents report </w:t>
      </w:r>
      <w:r w:rsidR="00750440">
        <w:t>were</w:t>
      </w:r>
      <w:r>
        <w:t xml:space="preserve"> refused enrolment</w:t>
      </w:r>
    </w:p>
    <w:p w14:paraId="3A667C4A" w14:textId="15CA8E21" w:rsidR="001A5C74" w:rsidRDefault="001A5C74" w:rsidP="00374F54">
      <w:pPr>
        <w:pStyle w:val="ListParagraph"/>
        <w:numPr>
          <w:ilvl w:val="0"/>
          <w:numId w:val="25"/>
        </w:numPr>
      </w:pPr>
      <w:r>
        <w:t>16.6 per</w:t>
      </w:r>
      <w:r w:rsidR="00750440">
        <w:t xml:space="preserve"> cent do not attend school full-</w:t>
      </w:r>
      <w:r>
        <w:t>time</w:t>
      </w:r>
    </w:p>
    <w:p w14:paraId="08BAE68C" w14:textId="77777777" w:rsidR="001A5C74" w:rsidRDefault="001A5C74" w:rsidP="00374F54">
      <w:pPr>
        <w:pStyle w:val="ListParagraph"/>
        <w:numPr>
          <w:ilvl w:val="0"/>
          <w:numId w:val="25"/>
        </w:numPr>
      </w:pPr>
      <w:r>
        <w:t>14 per cent have been suspended</w:t>
      </w:r>
    </w:p>
    <w:p w14:paraId="052B3D2A" w14:textId="77777777" w:rsidR="00017775" w:rsidRDefault="001A5C74" w:rsidP="00374F54">
      <w:pPr>
        <w:pStyle w:val="ListParagraph"/>
        <w:numPr>
          <w:ilvl w:val="0"/>
          <w:numId w:val="25"/>
        </w:numPr>
      </w:pPr>
      <w:r w:rsidRPr="00FC7145">
        <w:t xml:space="preserve">1 in 4 </w:t>
      </w:r>
      <w:r>
        <w:t>have been</w:t>
      </w:r>
      <w:r w:rsidRPr="00FC7145">
        <w:t xml:space="preserve"> subject to abuse by being restrained or secluded</w:t>
      </w:r>
      <w:r>
        <w:t>.</w:t>
      </w:r>
    </w:p>
    <w:p w14:paraId="66D61F7D" w14:textId="77777777" w:rsidR="00A91667" w:rsidRDefault="001A5C74" w:rsidP="00017775">
      <w:r>
        <w:t xml:space="preserve">These negative experiences in school years, and </w:t>
      </w:r>
      <w:r w:rsidR="00017775">
        <w:t xml:space="preserve">lack of </w:t>
      </w:r>
      <w:r>
        <w:t xml:space="preserve">appropriate </w:t>
      </w:r>
      <w:r w:rsidR="00017775">
        <w:t xml:space="preserve">transition support </w:t>
      </w:r>
      <w:r>
        <w:t>contributes to lower school completion rates for young people with disability.</w:t>
      </w:r>
      <w:r w:rsidR="00A91667">
        <w:t xml:space="preserve"> Recent research from the University of Melbourne finds that at least 50,000 children and young people of school age are disengaged from the Australia education system, including students with disability, and to date there has been no national response to this issue.</w:t>
      </w:r>
      <w:r w:rsidR="00A91667">
        <w:rPr>
          <w:rStyle w:val="FootnoteReference"/>
        </w:rPr>
        <w:footnoteReference w:id="9"/>
      </w:r>
      <w:r w:rsidR="00A91667">
        <w:t xml:space="preserve"> </w:t>
      </w:r>
      <w:r w:rsidR="00017775">
        <w:t xml:space="preserve">CYDA recommends </w:t>
      </w:r>
      <w:r w:rsidR="00A91667">
        <w:t>urgent investigation of</w:t>
      </w:r>
      <w:r w:rsidR="00017775">
        <w:t xml:space="preserve"> the factors </w:t>
      </w:r>
      <w:r w:rsidR="00A91667">
        <w:t>underpinning</w:t>
      </w:r>
      <w:r w:rsidR="00017775">
        <w:t xml:space="preserve"> </w:t>
      </w:r>
      <w:r w:rsidR="00A91667">
        <w:t xml:space="preserve">this </w:t>
      </w:r>
      <w:r w:rsidR="00017775">
        <w:t>disengagement</w:t>
      </w:r>
      <w:r w:rsidR="00A91667">
        <w:t>,</w:t>
      </w:r>
      <w:r w:rsidR="00017775">
        <w:t xml:space="preserve"> and </w:t>
      </w:r>
      <w:r w:rsidR="00A91667">
        <w:t xml:space="preserve">the </w:t>
      </w:r>
      <w:r w:rsidR="00017775">
        <w:t>develop</w:t>
      </w:r>
      <w:r w:rsidR="00A91667">
        <w:t>ment of</w:t>
      </w:r>
      <w:r w:rsidR="00017775">
        <w:t xml:space="preserve"> a national strategy to keep senior students with disability in school.</w:t>
      </w:r>
    </w:p>
    <w:p w14:paraId="3199F481" w14:textId="687E84A8" w:rsidR="00750440" w:rsidRDefault="00750440" w:rsidP="00017775">
      <w:r>
        <w:t>CYDA’s submission</w:t>
      </w:r>
      <w:r w:rsidR="00146EF6">
        <w:rPr>
          <w:rStyle w:val="FootnoteReference"/>
        </w:rPr>
        <w:footnoteReference w:id="10"/>
      </w:r>
      <w:r>
        <w:t xml:space="preserve"> to the Disability Royal Commission makes extensive recommendations about addressing the</w:t>
      </w:r>
      <w:r w:rsidR="00146EF6">
        <w:t xml:space="preserve"> violence,</w:t>
      </w:r>
      <w:r>
        <w:t xml:space="preserve"> abuse and neglect of students with disability, along with recommendations to realise inclusi</w:t>
      </w:r>
      <w:r w:rsidR="00146EF6">
        <w:t>ve education as defined by the C</w:t>
      </w:r>
      <w:r>
        <w:t>PRD</w:t>
      </w:r>
      <w:r w:rsidR="00146EF6">
        <w:t xml:space="preserve"> which Australia has endorsed, but not realised.</w:t>
      </w:r>
    </w:p>
    <w:p w14:paraId="3F82F732" w14:textId="77777777" w:rsidR="00E23005" w:rsidRDefault="00E23005" w:rsidP="00017775"/>
    <w:p w14:paraId="1E520B83" w14:textId="08B56956" w:rsidR="00E23005" w:rsidRDefault="00CB03FD" w:rsidP="00374F54">
      <w:pPr>
        <w:pStyle w:val="Heading2"/>
      </w:pPr>
      <w:r>
        <w:t>Address l</w:t>
      </w:r>
      <w:r w:rsidR="00E23005">
        <w:t>ow expectations for students and young people with disability</w:t>
      </w:r>
    </w:p>
    <w:p w14:paraId="4C906BF8" w14:textId="77777777" w:rsidR="00F40CB4" w:rsidRDefault="00F40CB4" w:rsidP="00F40CB4">
      <w:r>
        <w:t xml:space="preserve">Low expectations for young people with disability from schools, communities, and government and policy approaches also undermines inclusion and can affect post-school planning and outcomes. </w:t>
      </w:r>
      <w:r w:rsidR="0001430A">
        <w:t>This is reflected by responses to our recent survey, in which 70 per cent of students with disability and their families reported facing</w:t>
      </w:r>
      <w:r w:rsidR="0001430A" w:rsidRPr="00BC5B07">
        <w:t xml:space="preserve"> specific challenges because they experience disability</w:t>
      </w:r>
      <w:r w:rsidR="0001430A">
        <w:t>:</w:t>
      </w:r>
    </w:p>
    <w:p w14:paraId="5B8AD897" w14:textId="77777777" w:rsidR="00D7024A" w:rsidRDefault="00F40CB4" w:rsidP="00F40CB4">
      <w:pPr>
        <w:shd w:val="clear" w:color="auto" w:fill="A8D08D" w:themeFill="accent6" w:themeFillTint="99"/>
        <w:ind w:left="567" w:right="567"/>
        <w:rPr>
          <w:sz w:val="20"/>
          <w:szCs w:val="20"/>
        </w:rPr>
      </w:pPr>
      <w:r>
        <w:rPr>
          <w:sz w:val="20"/>
          <w:szCs w:val="20"/>
        </w:rPr>
        <w:t>“</w:t>
      </w:r>
      <w:r w:rsidRPr="00BC5B07">
        <w:rPr>
          <w:sz w:val="20"/>
          <w:szCs w:val="20"/>
        </w:rPr>
        <w:t xml:space="preserve">Everyone just said I'd never get a job, even though I wanted to” </w:t>
      </w:r>
      <w:r>
        <w:rPr>
          <w:sz w:val="20"/>
          <w:szCs w:val="20"/>
        </w:rPr>
        <w:t xml:space="preserve">- </w:t>
      </w:r>
      <w:r w:rsidRPr="00BC5B07">
        <w:rPr>
          <w:sz w:val="20"/>
          <w:szCs w:val="20"/>
        </w:rPr>
        <w:t xml:space="preserve">young person with disability </w:t>
      </w:r>
      <w:r w:rsidR="00D7024A">
        <w:rPr>
          <w:sz w:val="20"/>
          <w:szCs w:val="20"/>
        </w:rPr>
        <w:t>over 25 years old, regional NSW</w:t>
      </w:r>
    </w:p>
    <w:p w14:paraId="78A40E57" w14:textId="77777777" w:rsidR="00F40CB4" w:rsidRDefault="00F40CB4" w:rsidP="00F40CB4">
      <w:pPr>
        <w:shd w:val="clear" w:color="auto" w:fill="A8D08D" w:themeFill="accent6" w:themeFillTint="99"/>
        <w:ind w:left="567" w:right="567"/>
        <w:rPr>
          <w:sz w:val="20"/>
          <w:szCs w:val="20"/>
        </w:rPr>
      </w:pPr>
      <w:r w:rsidRPr="00BC5B07">
        <w:rPr>
          <w:sz w:val="20"/>
          <w:szCs w:val="20"/>
        </w:rPr>
        <w:t xml:space="preserve">“Yes, I was told not to bother applying for postgraduate study due to my disability by a disability support officer.” </w:t>
      </w:r>
      <w:r>
        <w:rPr>
          <w:sz w:val="20"/>
          <w:szCs w:val="20"/>
        </w:rPr>
        <w:t xml:space="preserve">- </w:t>
      </w:r>
      <w:proofErr w:type="gramStart"/>
      <w:r w:rsidRPr="00BC5B07">
        <w:rPr>
          <w:sz w:val="20"/>
          <w:szCs w:val="20"/>
        </w:rPr>
        <w:t>young</w:t>
      </w:r>
      <w:proofErr w:type="gramEnd"/>
      <w:r w:rsidRPr="00BC5B07">
        <w:rPr>
          <w:sz w:val="20"/>
          <w:szCs w:val="20"/>
        </w:rPr>
        <w:t xml:space="preserve"> person with disability aged 19-20 years old, metropolitan QLD</w:t>
      </w:r>
    </w:p>
    <w:p w14:paraId="48C7189D" w14:textId="77777777" w:rsidR="00F40CB4" w:rsidRDefault="00F40CB4" w:rsidP="00374F54">
      <w:pPr>
        <w:shd w:val="clear" w:color="auto" w:fill="A8D08D" w:themeFill="accent6" w:themeFillTint="99"/>
        <w:ind w:left="567" w:right="567"/>
        <w:rPr>
          <w:sz w:val="20"/>
          <w:szCs w:val="20"/>
        </w:rPr>
      </w:pPr>
      <w:r>
        <w:rPr>
          <w:sz w:val="20"/>
          <w:szCs w:val="20"/>
        </w:rPr>
        <w:t>“</w:t>
      </w:r>
      <w:r w:rsidRPr="00534609">
        <w:rPr>
          <w:sz w:val="20"/>
          <w:szCs w:val="20"/>
        </w:rPr>
        <w:t>Yes, more difficult to know of suitable work options. Hard to get work plac</w:t>
      </w:r>
      <w:r>
        <w:rPr>
          <w:sz w:val="20"/>
          <w:szCs w:val="20"/>
        </w:rPr>
        <w:t>ements that are not lip service” - f</w:t>
      </w:r>
      <w:r w:rsidRPr="00534609">
        <w:rPr>
          <w:sz w:val="20"/>
          <w:szCs w:val="20"/>
        </w:rPr>
        <w:t>amily of a young p</w:t>
      </w:r>
      <w:r>
        <w:rPr>
          <w:sz w:val="20"/>
          <w:szCs w:val="20"/>
        </w:rPr>
        <w:t>erson with disability aged 21-22</w:t>
      </w:r>
      <w:r w:rsidRPr="00534609">
        <w:rPr>
          <w:sz w:val="20"/>
          <w:szCs w:val="20"/>
        </w:rPr>
        <w:t xml:space="preserve"> years old, metropolitan VIC</w:t>
      </w:r>
    </w:p>
    <w:p w14:paraId="1908265D" w14:textId="77777777" w:rsidR="008A7A04" w:rsidRPr="00374F54" w:rsidRDefault="008A7A04" w:rsidP="00374F54">
      <w:pPr>
        <w:shd w:val="clear" w:color="auto" w:fill="A8D08D" w:themeFill="accent6" w:themeFillTint="99"/>
        <w:ind w:left="567" w:right="567"/>
        <w:rPr>
          <w:sz w:val="20"/>
          <w:szCs w:val="20"/>
        </w:rPr>
      </w:pPr>
      <w:r>
        <w:rPr>
          <w:sz w:val="20"/>
          <w:szCs w:val="20"/>
        </w:rPr>
        <w:t>“</w:t>
      </w:r>
      <w:r w:rsidRPr="00B03B0F">
        <w:rPr>
          <w:sz w:val="20"/>
          <w:szCs w:val="20"/>
        </w:rPr>
        <w:t xml:space="preserve">Low expectations of students. Teachers told parents at an assembly that "most [students] would not "go onto university." Situation even worse for those with both </w:t>
      </w:r>
      <w:r>
        <w:rPr>
          <w:sz w:val="20"/>
          <w:szCs w:val="20"/>
        </w:rPr>
        <w:t>visible and invisible disabilities</w:t>
      </w:r>
      <w:r w:rsidRPr="00B03B0F">
        <w:rPr>
          <w:sz w:val="20"/>
          <w:szCs w:val="20"/>
        </w:rPr>
        <w:t>. My application for special consideration as part of HSC exams was denied by the schoo</w:t>
      </w:r>
      <w:r>
        <w:rPr>
          <w:sz w:val="20"/>
          <w:szCs w:val="20"/>
        </w:rPr>
        <w:t>l, without adequate explanation” - young person with Disability aged over 25 years old, metropolitan VIC</w:t>
      </w:r>
    </w:p>
    <w:p w14:paraId="68B483C4" w14:textId="77777777" w:rsidR="008A7A04" w:rsidRDefault="008A7A04" w:rsidP="008A7A04">
      <w:r>
        <w:t>A</w:t>
      </w:r>
      <w:r w:rsidR="00CC2641">
        <w:t xml:space="preserve"> further </w:t>
      </w:r>
      <w:r>
        <w:t xml:space="preserve">example of </w:t>
      </w:r>
      <w:r w:rsidR="00CC2641">
        <w:t>low expectations</w:t>
      </w:r>
      <w:r>
        <w:t xml:space="preserve"> is the lack of encouragement for students with disability to choose subjects that will lead to</w:t>
      </w:r>
      <w:r w:rsidRPr="00F51AD7">
        <w:t xml:space="preserve"> an Australian Tertiary Admission Rank</w:t>
      </w:r>
      <w:r>
        <w:t xml:space="preserve"> </w:t>
      </w:r>
      <w:r w:rsidR="00E667F5">
        <w:t>(</w:t>
      </w:r>
      <w:r>
        <w:t>ATAR</w:t>
      </w:r>
      <w:r w:rsidR="00E667F5">
        <w:t>)</w:t>
      </w:r>
      <w:r w:rsidRPr="00F51AD7">
        <w:t xml:space="preserve"> score</w:t>
      </w:r>
      <w:r>
        <w:t xml:space="preserve">. </w:t>
      </w:r>
      <w:r w:rsidR="00CC2641">
        <w:t xml:space="preserve">Roughly 70 per cent </w:t>
      </w:r>
      <w:r>
        <w:t xml:space="preserve">of students with disability </w:t>
      </w:r>
      <w:r w:rsidR="00CC2641">
        <w:t xml:space="preserve">responding to our survey report they </w:t>
      </w:r>
      <w:r>
        <w:t>were not encouraged to complete or to choose subjects to lead a good AT</w:t>
      </w:r>
      <w:r w:rsidR="00CC2641">
        <w:t>AR score for higher education</w:t>
      </w:r>
      <w:r w:rsidR="00C9676C">
        <w:t xml:space="preserve"> (Table 4</w:t>
      </w:r>
      <w:r w:rsidR="00E667F5">
        <w:t xml:space="preserve"> in Appendix A</w:t>
      </w:r>
      <w:r w:rsidR="00C9676C">
        <w:t>)</w:t>
      </w:r>
      <w:r w:rsidR="00CC2641">
        <w:t>.</w:t>
      </w:r>
    </w:p>
    <w:p w14:paraId="702FE911" w14:textId="77777777" w:rsidR="00597ADA" w:rsidRDefault="00597ADA" w:rsidP="00017775"/>
    <w:p w14:paraId="790D1C78" w14:textId="5B808030" w:rsidR="00E23005" w:rsidRDefault="00CB03FD" w:rsidP="00374F54">
      <w:pPr>
        <w:pStyle w:val="Heading2"/>
      </w:pPr>
      <w:r>
        <w:t>Boost</w:t>
      </w:r>
      <w:r w:rsidR="00E23005">
        <w:t xml:space="preserve"> investment from governments</w:t>
      </w:r>
      <w:r>
        <w:t xml:space="preserve"> for students with disability</w:t>
      </w:r>
    </w:p>
    <w:p w14:paraId="070A2BFF" w14:textId="16BB55EB" w:rsidR="00017775" w:rsidRDefault="0001430A" w:rsidP="00017775">
      <w:r>
        <w:t xml:space="preserve">To date, there is little prioritisation or commitment shown by governments across the </w:t>
      </w:r>
      <w:r w:rsidR="007F1599">
        <w:t>country for inclusive education, despite commitments through the UN CRPD</w:t>
      </w:r>
      <w:r w:rsidR="00E667F5">
        <w:t>.</w:t>
      </w:r>
      <w:r w:rsidR="007F1599">
        <w:t xml:space="preserve"> </w:t>
      </w:r>
      <w:r>
        <w:t>For example, t</w:t>
      </w:r>
      <w:r w:rsidR="00017775" w:rsidRPr="00F40516">
        <w:t xml:space="preserve">he </w:t>
      </w:r>
      <w:r>
        <w:t>2019</w:t>
      </w:r>
      <w:r w:rsidRPr="00F40516">
        <w:t xml:space="preserve"> </w:t>
      </w:r>
      <w:r w:rsidR="00017775" w:rsidRPr="00F40516">
        <w:t>Alice Springs (</w:t>
      </w:r>
      <w:proofErr w:type="spellStart"/>
      <w:r w:rsidR="00017775" w:rsidRPr="00F40516">
        <w:t>Mparntwe</w:t>
      </w:r>
      <w:proofErr w:type="spellEnd"/>
      <w:r w:rsidR="00017775" w:rsidRPr="00F40516">
        <w:t>) Education Declaration</w:t>
      </w:r>
      <w:r>
        <w:t>,</w:t>
      </w:r>
      <w:r w:rsidR="00017775">
        <w:rPr>
          <w:rStyle w:val="FootnoteReference"/>
        </w:rPr>
        <w:footnoteReference w:id="11"/>
      </w:r>
      <w:r w:rsidR="00017775" w:rsidRPr="00F40516">
        <w:t xml:space="preserve"> </w:t>
      </w:r>
      <w:r>
        <w:t xml:space="preserve">which aims to improve outcomes </w:t>
      </w:r>
      <w:r w:rsidR="00E667F5">
        <w:t>for</w:t>
      </w:r>
      <w:r>
        <w:t xml:space="preserve"> all young Australians and promote excellence and equity in the Australian education system, and</w:t>
      </w:r>
      <w:r w:rsidRPr="00F40516">
        <w:t xml:space="preserve"> </w:t>
      </w:r>
      <w:r>
        <w:t xml:space="preserve">has been </w:t>
      </w:r>
      <w:r w:rsidR="00750440">
        <w:t xml:space="preserve">recently </w:t>
      </w:r>
      <w:r w:rsidR="00017775" w:rsidRPr="00F40516">
        <w:t>endorsed by all Aust</w:t>
      </w:r>
      <w:r w:rsidR="00017775">
        <w:t>ralian Education Ministers</w:t>
      </w:r>
      <w:r>
        <w:t>,</w:t>
      </w:r>
      <w:r w:rsidR="00017775">
        <w:t xml:space="preserve"> </w:t>
      </w:r>
      <w:r>
        <w:t>only includes one me</w:t>
      </w:r>
      <w:r w:rsidR="00017775" w:rsidRPr="00F40516">
        <w:t>nt</w:t>
      </w:r>
      <w:r w:rsidR="00017775">
        <w:t>ion</w:t>
      </w:r>
      <w:r>
        <w:t xml:space="preserve"> of</w:t>
      </w:r>
      <w:r w:rsidR="00017775">
        <w:t xml:space="preserve"> the word ‘disability</w:t>
      </w:r>
      <w:r>
        <w:t>.</w:t>
      </w:r>
      <w:r w:rsidR="00017775">
        <w:t>’</w:t>
      </w:r>
      <w:r>
        <w:t xml:space="preserve"> </w:t>
      </w:r>
      <w:r w:rsidR="00017775">
        <w:t xml:space="preserve">The Australia Coalition for Inclusive Education </w:t>
      </w:r>
      <w:r>
        <w:t>(</w:t>
      </w:r>
      <w:r w:rsidR="00017775">
        <w:t>ACIE</w:t>
      </w:r>
      <w:r>
        <w:t>),</w:t>
      </w:r>
      <w:r w:rsidR="00017775">
        <w:t xml:space="preserve"> of which CYDA </w:t>
      </w:r>
      <w:r>
        <w:t>is a member</w:t>
      </w:r>
      <w:r w:rsidR="00017775">
        <w:t xml:space="preserve">, has expressed </w:t>
      </w:r>
      <w:r>
        <w:t>strong</w:t>
      </w:r>
      <w:r w:rsidR="00017775">
        <w:t xml:space="preserve"> disappointment </w:t>
      </w:r>
      <w:r>
        <w:t xml:space="preserve">with the lack of recognition for the needs of </w:t>
      </w:r>
      <w:r w:rsidR="00017775">
        <w:t>children and young people with disability in this plan</w:t>
      </w:r>
      <w:r>
        <w:t>,</w:t>
      </w:r>
      <w:r w:rsidR="00017775">
        <w:rPr>
          <w:rStyle w:val="FootnoteReference"/>
        </w:rPr>
        <w:footnoteReference w:id="12"/>
      </w:r>
      <w:r w:rsidR="00017775">
        <w:t xml:space="preserve"> </w:t>
      </w:r>
      <w:r>
        <w:t>which means</w:t>
      </w:r>
      <w:r w:rsidR="00017775">
        <w:t xml:space="preserve"> the systemic barriers to implementing inclusive education remain unresolved.</w:t>
      </w:r>
    </w:p>
    <w:p w14:paraId="2C46879E" w14:textId="77777777" w:rsidR="0001430A" w:rsidRDefault="0001430A" w:rsidP="00017775">
      <w:r>
        <w:t>A review of the Federal</w:t>
      </w:r>
      <w:r w:rsidR="00017775" w:rsidRPr="00B549AD">
        <w:t xml:space="preserve"> </w:t>
      </w:r>
      <w:r>
        <w:t>G</w:t>
      </w:r>
      <w:r w:rsidR="00017775" w:rsidRPr="00B549AD">
        <w:t>overnment</w:t>
      </w:r>
      <w:r>
        <w:t xml:space="preserve">’s approach to funding loading for students with disability is due to report by the end of 2019. The current approach, implemented following the </w:t>
      </w:r>
      <w:proofErr w:type="spellStart"/>
      <w:r>
        <w:t>Gonski</w:t>
      </w:r>
      <w:proofErr w:type="spellEnd"/>
      <w:r>
        <w:t xml:space="preserve"> reforms, provides additional resourcing for students with disability requiring educational adjustments.</w:t>
      </w:r>
      <w:r>
        <w:rPr>
          <w:rStyle w:val="FootnoteReference"/>
        </w:rPr>
        <w:footnoteReference w:id="13"/>
      </w:r>
      <w:r>
        <w:t xml:space="preserve"> It is critical that </w:t>
      </w:r>
      <w:r w:rsidR="00BF702C">
        <w:t>future approaches to funding and</w:t>
      </w:r>
      <w:r>
        <w:t xml:space="preserve"> loading </w:t>
      </w:r>
      <w:r w:rsidR="00BF702C">
        <w:t xml:space="preserve">for students with disability support the implementation of inclusive education, rather than maintaining segregated approaches. This could include modifying </w:t>
      </w:r>
      <w:r w:rsidR="00BF702C" w:rsidRPr="00B549AD">
        <w:t>mainstream environments where more resources are needed</w:t>
      </w:r>
      <w:r w:rsidR="00BF702C">
        <w:t>, as well as providing tailored individual support.</w:t>
      </w:r>
    </w:p>
    <w:p w14:paraId="28CD71CC" w14:textId="77777777" w:rsidR="00E667F5" w:rsidRPr="00E667F5" w:rsidRDefault="00E667F5"/>
    <w:p w14:paraId="0E01F3CA" w14:textId="77777777" w:rsidR="00146EF6" w:rsidRDefault="00146EF6">
      <w:pPr>
        <w:spacing w:before="0" w:line="259" w:lineRule="auto"/>
        <w:rPr>
          <w:rFonts w:ascii="Helvetica" w:eastAsiaTheme="majorEastAsia" w:hAnsi="Helvetica" w:cstheme="majorBidi"/>
          <w:color w:val="538135" w:themeColor="accent6" w:themeShade="BF"/>
          <w:sz w:val="32"/>
          <w:szCs w:val="32"/>
        </w:rPr>
      </w:pPr>
      <w:r>
        <w:br w:type="page"/>
      </w:r>
    </w:p>
    <w:p w14:paraId="6C9357D4" w14:textId="58B40A74" w:rsidR="00017775" w:rsidRDefault="00017775" w:rsidP="00017775">
      <w:pPr>
        <w:pStyle w:val="Heading1"/>
      </w:pPr>
      <w:bookmarkStart w:id="4" w:name="_Toc27818910"/>
      <w:r>
        <w:t xml:space="preserve">Develop </w:t>
      </w:r>
      <w:r w:rsidR="00E667F5">
        <w:t xml:space="preserve">tailored transition </w:t>
      </w:r>
      <w:r>
        <w:t>support for students with disability</w:t>
      </w:r>
      <w:bookmarkEnd w:id="4"/>
    </w:p>
    <w:p w14:paraId="6B9D4D1C" w14:textId="77777777" w:rsidR="00E23005" w:rsidRPr="00ED6D31" w:rsidRDefault="00E23005" w:rsidP="00E23005"/>
    <w:p w14:paraId="0CA416FF" w14:textId="77777777" w:rsidR="00E23005" w:rsidRPr="00ED6D31" w:rsidRDefault="00E23005" w:rsidP="00E23005">
      <w:pPr>
        <w:pBdr>
          <w:top w:val="single" w:sz="12" w:space="1" w:color="ED7D31" w:themeColor="accent2"/>
          <w:left w:val="single" w:sz="12" w:space="4" w:color="ED7D31" w:themeColor="accent2"/>
          <w:bottom w:val="single" w:sz="12" w:space="1" w:color="ED7D31" w:themeColor="accent2"/>
          <w:right w:val="single" w:sz="12" w:space="4" w:color="ED7D31" w:themeColor="accent2"/>
        </w:pBdr>
        <w:ind w:left="360"/>
        <w:rPr>
          <w:b/>
        </w:rPr>
      </w:pPr>
      <w:r>
        <w:rPr>
          <w:b/>
        </w:rPr>
        <w:t>Recommendations</w:t>
      </w:r>
    </w:p>
    <w:p w14:paraId="0E12F6CD" w14:textId="77777777" w:rsidR="00E167DA" w:rsidRDefault="00E167DA" w:rsidP="00E23005">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Improve national consistency in post-school transition activities, building on what works best around the country</w:t>
      </w:r>
    </w:p>
    <w:p w14:paraId="0892D8DD" w14:textId="77777777" w:rsidR="000D768C" w:rsidRDefault="000D768C" w:rsidP="00E23005">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Include young people with disability and families in every stage of developing new post-school transition activities</w:t>
      </w:r>
    </w:p>
    <w:p w14:paraId="04964738" w14:textId="77777777" w:rsidR="00E167DA" w:rsidRDefault="00E167DA" w:rsidP="00E23005">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 xml:space="preserve">Ensure post-school transition programs are </w:t>
      </w:r>
      <w:r w:rsidR="00351A0B">
        <w:t>well-</w:t>
      </w:r>
      <w:r>
        <w:t>structured</w:t>
      </w:r>
      <w:r w:rsidR="001E136E">
        <w:t xml:space="preserve">, </w:t>
      </w:r>
      <w:r w:rsidR="00351A0B">
        <w:t>outcome-oriented and</w:t>
      </w:r>
      <w:r>
        <w:t xml:space="preserve"> student-focused</w:t>
      </w:r>
    </w:p>
    <w:p w14:paraId="1436D3E9" w14:textId="77777777" w:rsidR="00E23005" w:rsidRDefault="00E167DA" w:rsidP="00E23005">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Start post-school planning activities for all students with disability by at least the age of 15</w:t>
      </w:r>
    </w:p>
    <w:p w14:paraId="166C5DB3" w14:textId="77777777" w:rsidR="00351A0B" w:rsidRDefault="00351A0B" w:rsidP="00351A0B">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Improve</w:t>
      </w:r>
      <w:r w:rsidRPr="00B70FD5">
        <w:t xml:space="preserve"> data collection </w:t>
      </w:r>
      <w:r>
        <w:t>about post-school transition</w:t>
      </w:r>
      <w:r w:rsidRPr="00B70FD5">
        <w:t xml:space="preserve"> program</w:t>
      </w:r>
      <w:r>
        <w:t>s, including their</w:t>
      </w:r>
      <w:r w:rsidRPr="00B70FD5">
        <w:t xml:space="preserve"> uptake, implementation and outcomes</w:t>
      </w:r>
    </w:p>
    <w:p w14:paraId="56535D83" w14:textId="77777777" w:rsidR="00B70FD5" w:rsidRDefault="00351A0B">
      <w:pPr>
        <w:pStyle w:val="ListParagraph"/>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Review funding arrangements in all states and territories for school and post</w:t>
      </w:r>
      <w:r w:rsidR="001E136E">
        <w:t>-</w:t>
      </w:r>
      <w:r>
        <w:t>school programs for students with disability</w:t>
      </w:r>
      <w:r w:rsidR="00B70FD5" w:rsidRPr="00B70FD5">
        <w:t>.</w:t>
      </w:r>
    </w:p>
    <w:p w14:paraId="5737615A" w14:textId="77777777" w:rsidR="00E23005" w:rsidRDefault="00E23005" w:rsidP="00374F54"/>
    <w:p w14:paraId="029E8FB8" w14:textId="480FF8B2" w:rsidR="00E23005" w:rsidRDefault="00CB03FD" w:rsidP="00374F54">
      <w:pPr>
        <w:pStyle w:val="Heading2"/>
      </w:pPr>
      <w:r>
        <w:t>Attend to the lack of</w:t>
      </w:r>
      <w:r w:rsidR="00E23005">
        <w:t xml:space="preserve"> appropriate support for students’ career-planning</w:t>
      </w:r>
    </w:p>
    <w:p w14:paraId="17FC270A" w14:textId="77777777" w:rsidR="008A7A04" w:rsidRDefault="008A7A04" w:rsidP="00374F54">
      <w:r>
        <w:t>In 2015, CYDA released a report into the experiences of young people with disability during their post-school transitions. The report found that, while the transition from school is a critical period and young people have a variety of options, “many young people with disability however have extremely poor post school transition experiences</w:t>
      </w:r>
      <w:proofErr w:type="gramStart"/>
      <w:r>
        <w:t>…[</w:t>
      </w:r>
      <w:proofErr w:type="gramEnd"/>
      <w:r>
        <w:t>which] is impacting negatively on life outcomes</w:t>
      </w:r>
      <w:r w:rsidR="00896726">
        <w:t>,</w:t>
      </w:r>
      <w:r>
        <w:t xml:space="preserve"> where there is low participation in employment and tertiary study, and social exclusion remains high.</w:t>
      </w:r>
      <w:r w:rsidR="006C4214" w:rsidRPr="006C4214">
        <w:t xml:space="preserve"> </w:t>
      </w:r>
      <w:r w:rsidR="006C4214">
        <w:t>While there are pockets of good post school transition practice, generally programs and preparation for this transition are fragmented with minimal coordination and guidance regarding what should occur during this time.”</w:t>
      </w:r>
      <w:r>
        <w:rPr>
          <w:rStyle w:val="FootnoteReference"/>
        </w:rPr>
        <w:footnoteReference w:id="14"/>
      </w:r>
    </w:p>
    <w:p w14:paraId="3F727005" w14:textId="77777777" w:rsidR="008A7A04" w:rsidRDefault="008A7A04" w:rsidP="008A7A04">
      <w:r>
        <w:t>Sadly, the situation at the end of 2019 remains very similar to that outlined in the</w:t>
      </w:r>
      <w:r w:rsidR="006C4214">
        <w:t xml:space="preserve"> above</w:t>
      </w:r>
      <w:r>
        <w:t xml:space="preserve"> report.</w:t>
      </w:r>
    </w:p>
    <w:p w14:paraId="244041F1" w14:textId="6B5D7799" w:rsidR="008A7A04" w:rsidRDefault="008A7A04" w:rsidP="008A7A04">
      <w:r w:rsidRPr="00374F54">
        <w:t>A</w:t>
      </w:r>
      <w:r w:rsidR="006C4214">
        <w:t>s shown in Figure 1</w:t>
      </w:r>
      <w:r w:rsidR="00896726">
        <w:t xml:space="preserve"> (see Appendix A)</w:t>
      </w:r>
      <w:r w:rsidR="006C4214">
        <w:t>, a</w:t>
      </w:r>
      <w:r w:rsidRPr="00374F54">
        <w:t xml:space="preserve"> significant </w:t>
      </w:r>
      <w:r w:rsidRPr="008A7A04">
        <w:t>majority of</w:t>
      </w:r>
      <w:r>
        <w:t xml:space="preserve"> our 2019 survey respondents </w:t>
      </w:r>
      <w:r w:rsidR="006C4214">
        <w:t>reported</w:t>
      </w:r>
      <w:r>
        <w:t xml:space="preserve"> that their school </w:t>
      </w:r>
      <w:r w:rsidR="006C4214">
        <w:t>did not provide</w:t>
      </w:r>
      <w:r>
        <w:t xml:space="preserve"> support or appropriate information about career planning</w:t>
      </w:r>
      <w:r w:rsidR="00B65EB8">
        <w:t xml:space="preserve"> (80 per cent, 85</w:t>
      </w:r>
      <w:r w:rsidR="006C4214">
        <w:t xml:space="preserve"> respondents), and more than </w:t>
      </w:r>
      <w:r>
        <w:t xml:space="preserve">half </w:t>
      </w:r>
      <w:r w:rsidR="006C4214">
        <w:t>reported that</w:t>
      </w:r>
      <w:r>
        <w:t xml:space="preserve"> </w:t>
      </w:r>
      <w:r w:rsidR="006C4214">
        <w:t>they did</w:t>
      </w:r>
      <w:r>
        <w:t xml:space="preserve"> </w:t>
      </w:r>
      <w:r w:rsidR="006C4214">
        <w:t>not receive</w:t>
      </w:r>
      <w:r>
        <w:t xml:space="preserve"> adequate support to think about and plan for their future</w:t>
      </w:r>
      <w:r w:rsidR="00B65EB8">
        <w:t xml:space="preserve"> (54 per cent, 43</w:t>
      </w:r>
      <w:r w:rsidR="006C4214">
        <w:t xml:space="preserve"> respondents) or that they did not find the assistance and information available throu</w:t>
      </w:r>
      <w:r w:rsidR="00B65EB8">
        <w:t>gh their school to be useful (50.5</w:t>
      </w:r>
      <w:r w:rsidR="006C4214">
        <w:t xml:space="preserve"> per cent). Additionally, almost two thirds of respondents felt that the school did not have high expectations of the student with disability regarding employment or further education after school (</w:t>
      </w:r>
      <w:r w:rsidR="002253B8">
        <w:t>60</w:t>
      </w:r>
      <w:r w:rsidR="006C4214">
        <w:t xml:space="preserve"> per cent).</w:t>
      </w:r>
    </w:p>
    <w:p w14:paraId="502E7106" w14:textId="77777777" w:rsidR="00896726" w:rsidRDefault="00017775" w:rsidP="00017775">
      <w:r>
        <w:t xml:space="preserve">Students </w:t>
      </w:r>
      <w:r w:rsidR="00C9676C">
        <w:t>report they</w:t>
      </w:r>
      <w:r>
        <w:t xml:space="preserve"> have received </w:t>
      </w:r>
      <w:r w:rsidR="00C9676C">
        <w:t xml:space="preserve">a variety of </w:t>
      </w:r>
      <w:r>
        <w:t>different forms o</w:t>
      </w:r>
      <w:r w:rsidR="00896726">
        <w:t>f</w:t>
      </w:r>
      <w:r>
        <w:t xml:space="preserve"> support for career planning at school</w:t>
      </w:r>
      <w:r w:rsidR="005D1DE8">
        <w:t xml:space="preserve"> (Table 5</w:t>
      </w:r>
      <w:r w:rsidR="00896726">
        <w:t xml:space="preserve"> in Appendix A</w:t>
      </w:r>
      <w:r w:rsidR="005D1DE8">
        <w:t>)</w:t>
      </w:r>
      <w:r>
        <w:t xml:space="preserve">. </w:t>
      </w:r>
      <w:r w:rsidR="005D1DE8">
        <w:t xml:space="preserve">Work experience was highlighted as the most common form of support provided to students, with almost half of students reporting they have been involved in this. The next most common forms of support are </w:t>
      </w:r>
      <w:r>
        <w:t>individual career counselling</w:t>
      </w:r>
      <w:r w:rsidR="005D1DE8">
        <w:t>,</w:t>
      </w:r>
      <w:r>
        <w:t xml:space="preserve"> and advice and participation</w:t>
      </w:r>
      <w:r w:rsidR="005D1DE8">
        <w:t xml:space="preserve"> in career</w:t>
      </w:r>
      <w:r w:rsidR="005D1DE8">
        <w:noBreakHyphen/>
        <w:t>related activities – however only around 30 per cent of respondents report being involved in each of these.</w:t>
      </w:r>
      <w:r>
        <w:t xml:space="preserve"> </w:t>
      </w:r>
    </w:p>
    <w:p w14:paraId="20B2CF0B" w14:textId="77777777" w:rsidR="00BE420B" w:rsidRDefault="005D1DE8" w:rsidP="00017775">
      <w:r>
        <w:t xml:space="preserve">Fewer than one in five students report receiving </w:t>
      </w:r>
      <w:r w:rsidR="00017775">
        <w:t xml:space="preserve">assistance in understanding their strengths and skills for </w:t>
      </w:r>
      <w:r w:rsidR="00017775" w:rsidRPr="00BC0F64">
        <w:t>post</w:t>
      </w:r>
      <w:r>
        <w:noBreakHyphen/>
      </w:r>
      <w:r w:rsidR="00017775" w:rsidRPr="00BC0F64">
        <w:t>school transition</w:t>
      </w:r>
      <w:r>
        <w:t>;</w:t>
      </w:r>
      <w:r w:rsidR="00017775">
        <w:t xml:space="preserve"> practical assistance </w:t>
      </w:r>
      <w:r>
        <w:t>such as</w:t>
      </w:r>
      <w:r w:rsidR="00017775">
        <w:t xml:space="preserve"> resume</w:t>
      </w:r>
      <w:r>
        <w:noBreakHyphen/>
      </w:r>
      <w:r w:rsidR="00017775">
        <w:t>writing</w:t>
      </w:r>
      <w:r>
        <w:t>;</w:t>
      </w:r>
      <w:r w:rsidR="00017775">
        <w:t xml:space="preserve"> </w:t>
      </w:r>
      <w:r>
        <w:t>or</w:t>
      </w:r>
      <w:r w:rsidR="00017775">
        <w:t xml:space="preserve"> assistance</w:t>
      </w:r>
      <w:r>
        <w:t xml:space="preserve"> to plan any study or training. Additionally, p</w:t>
      </w:r>
      <w:r w:rsidR="00017775">
        <w:t xml:space="preserve">arents </w:t>
      </w:r>
      <w:r>
        <w:t>report</w:t>
      </w:r>
      <w:r w:rsidR="00017775">
        <w:t xml:space="preserve"> </w:t>
      </w:r>
      <w:r>
        <w:t>feeling a significant degree of responsibility for the career-planning process, and note that the support provided is generally not tailored to students with disability, and therefore options are limited.</w:t>
      </w:r>
    </w:p>
    <w:p w14:paraId="06BDA700" w14:textId="77777777" w:rsidR="00017775" w:rsidRDefault="00017775" w:rsidP="00017775">
      <w:r>
        <w:t xml:space="preserve">Comments from </w:t>
      </w:r>
      <w:r w:rsidR="00007635">
        <w:t xml:space="preserve">young people and </w:t>
      </w:r>
      <w:r>
        <w:t xml:space="preserve">families </w:t>
      </w:r>
      <w:r w:rsidR="00007635">
        <w:t>illustrate the limited support available in many places:</w:t>
      </w:r>
    </w:p>
    <w:p w14:paraId="34BC61D9" w14:textId="552078F4" w:rsidR="00017775" w:rsidRDefault="00017775" w:rsidP="00017775">
      <w:pPr>
        <w:shd w:val="clear" w:color="auto" w:fill="A8D08D" w:themeFill="accent6" w:themeFillTint="99"/>
        <w:ind w:left="567" w:right="567"/>
        <w:rPr>
          <w:sz w:val="20"/>
          <w:szCs w:val="20"/>
        </w:rPr>
      </w:pPr>
      <w:r>
        <w:rPr>
          <w:sz w:val="20"/>
          <w:szCs w:val="20"/>
        </w:rPr>
        <w:t>“</w:t>
      </w:r>
      <w:r w:rsidRPr="00D66006">
        <w:rPr>
          <w:sz w:val="20"/>
          <w:szCs w:val="20"/>
        </w:rPr>
        <w:t xml:space="preserve">Very little </w:t>
      </w:r>
      <w:r w:rsidR="001E31EC" w:rsidRPr="00D66006">
        <w:rPr>
          <w:sz w:val="20"/>
          <w:szCs w:val="20"/>
        </w:rPr>
        <w:t>assist</w:t>
      </w:r>
      <w:r w:rsidR="001E31EC">
        <w:rPr>
          <w:sz w:val="20"/>
          <w:szCs w:val="20"/>
        </w:rPr>
        <w:t xml:space="preserve"> [</w:t>
      </w:r>
      <w:proofErr w:type="spellStart"/>
      <w:r w:rsidR="00D335BC">
        <w:rPr>
          <w:sz w:val="20"/>
          <w:szCs w:val="20"/>
        </w:rPr>
        <w:t>ance</w:t>
      </w:r>
      <w:proofErr w:type="spellEnd"/>
      <w:r w:rsidR="00D335BC">
        <w:rPr>
          <w:sz w:val="20"/>
          <w:szCs w:val="20"/>
        </w:rPr>
        <w:t>]</w:t>
      </w:r>
      <w:r w:rsidRPr="00D66006">
        <w:rPr>
          <w:sz w:val="20"/>
          <w:szCs w:val="20"/>
        </w:rPr>
        <w:t xml:space="preserve"> was given due to lack of options and lack of funding to individually support my son</w:t>
      </w:r>
      <w:r>
        <w:rPr>
          <w:sz w:val="20"/>
          <w:szCs w:val="20"/>
        </w:rPr>
        <w:t xml:space="preserve">” </w:t>
      </w:r>
      <w:r w:rsidR="005D1DE8">
        <w:rPr>
          <w:sz w:val="20"/>
          <w:szCs w:val="20"/>
        </w:rPr>
        <w:t>- f</w:t>
      </w:r>
      <w:r>
        <w:rPr>
          <w:sz w:val="20"/>
          <w:szCs w:val="20"/>
        </w:rPr>
        <w:t xml:space="preserve">amily of </w:t>
      </w:r>
      <w:r w:rsidRPr="00D66006">
        <w:rPr>
          <w:sz w:val="20"/>
          <w:szCs w:val="20"/>
        </w:rPr>
        <w:t>a young person with disability 19-20 years old, metropolitan</w:t>
      </w:r>
      <w:r w:rsidR="00D335BC">
        <w:rPr>
          <w:sz w:val="20"/>
          <w:szCs w:val="20"/>
        </w:rPr>
        <w:t xml:space="preserve"> VIC</w:t>
      </w:r>
    </w:p>
    <w:p w14:paraId="3A029A2C" w14:textId="77777777" w:rsidR="00017775" w:rsidRDefault="00017775" w:rsidP="00017775">
      <w:pPr>
        <w:shd w:val="clear" w:color="auto" w:fill="A8D08D" w:themeFill="accent6" w:themeFillTint="99"/>
        <w:ind w:left="567" w:right="567"/>
        <w:rPr>
          <w:sz w:val="20"/>
          <w:szCs w:val="20"/>
        </w:rPr>
      </w:pPr>
      <w:r>
        <w:rPr>
          <w:sz w:val="20"/>
          <w:szCs w:val="20"/>
        </w:rPr>
        <w:t>“</w:t>
      </w:r>
      <w:r w:rsidRPr="00827C3C">
        <w:rPr>
          <w:sz w:val="20"/>
          <w:szCs w:val="20"/>
        </w:rPr>
        <w:t>Career counselling available was of extremely poor quality and not suited to the current issues for school-leavers. Huge disconnect between a regional public high school in a low-SES area about post-school life and particularly on scholarships to universities and open days, etc.</w:t>
      </w:r>
      <w:r>
        <w:rPr>
          <w:sz w:val="20"/>
          <w:szCs w:val="20"/>
        </w:rPr>
        <w:t xml:space="preserve">” </w:t>
      </w:r>
      <w:r w:rsidR="005D1DE8">
        <w:rPr>
          <w:sz w:val="20"/>
          <w:szCs w:val="20"/>
        </w:rPr>
        <w:t>- y</w:t>
      </w:r>
      <w:r>
        <w:rPr>
          <w:sz w:val="20"/>
          <w:szCs w:val="20"/>
        </w:rPr>
        <w:t xml:space="preserve">oung person with disability </w:t>
      </w:r>
      <w:r w:rsidR="00D335BC">
        <w:rPr>
          <w:sz w:val="20"/>
          <w:szCs w:val="20"/>
        </w:rPr>
        <w:t>over 25 years old, metropolitan</w:t>
      </w:r>
      <w:r>
        <w:rPr>
          <w:sz w:val="20"/>
          <w:szCs w:val="20"/>
        </w:rPr>
        <w:t xml:space="preserve"> VIC</w:t>
      </w:r>
    </w:p>
    <w:p w14:paraId="10E169BF" w14:textId="77777777" w:rsidR="00017775" w:rsidRDefault="00017775" w:rsidP="00017775">
      <w:pPr>
        <w:shd w:val="clear" w:color="auto" w:fill="A8D08D" w:themeFill="accent6" w:themeFillTint="99"/>
        <w:ind w:left="567" w:right="567"/>
        <w:rPr>
          <w:sz w:val="20"/>
          <w:szCs w:val="20"/>
        </w:rPr>
      </w:pPr>
      <w:r>
        <w:rPr>
          <w:sz w:val="20"/>
          <w:szCs w:val="20"/>
        </w:rPr>
        <w:t>“</w:t>
      </w:r>
      <w:r w:rsidRPr="00D66006">
        <w:rPr>
          <w:sz w:val="20"/>
          <w:szCs w:val="20"/>
        </w:rPr>
        <w:t>Only Work-Related Skills subject for VCAL no other assistance</w:t>
      </w:r>
      <w:r>
        <w:rPr>
          <w:sz w:val="20"/>
          <w:szCs w:val="20"/>
        </w:rPr>
        <w:t xml:space="preserve">” </w:t>
      </w:r>
      <w:r w:rsidR="005D1DE8">
        <w:rPr>
          <w:sz w:val="20"/>
          <w:szCs w:val="20"/>
        </w:rPr>
        <w:t>- f</w:t>
      </w:r>
      <w:r w:rsidRPr="001071E6">
        <w:rPr>
          <w:sz w:val="20"/>
          <w:szCs w:val="20"/>
        </w:rPr>
        <w:t>amily of a yo</w:t>
      </w:r>
      <w:r>
        <w:rPr>
          <w:sz w:val="20"/>
          <w:szCs w:val="20"/>
        </w:rPr>
        <w:t>ung person with disability 17-18 years old, regional</w:t>
      </w:r>
      <w:r w:rsidR="00D335BC">
        <w:rPr>
          <w:sz w:val="20"/>
          <w:szCs w:val="20"/>
        </w:rPr>
        <w:t xml:space="preserve"> VIC</w:t>
      </w:r>
    </w:p>
    <w:p w14:paraId="32A27D1C" w14:textId="6D39E62A" w:rsidR="00017775" w:rsidRDefault="00017775" w:rsidP="00017775">
      <w:pPr>
        <w:shd w:val="clear" w:color="auto" w:fill="A8D08D" w:themeFill="accent6" w:themeFillTint="99"/>
        <w:ind w:left="567" w:right="567"/>
        <w:rPr>
          <w:sz w:val="20"/>
          <w:szCs w:val="20"/>
        </w:rPr>
      </w:pPr>
      <w:r>
        <w:rPr>
          <w:sz w:val="20"/>
          <w:szCs w:val="20"/>
        </w:rPr>
        <w:t>“</w:t>
      </w:r>
      <w:r w:rsidRPr="001071E6">
        <w:rPr>
          <w:sz w:val="20"/>
          <w:szCs w:val="20"/>
        </w:rPr>
        <w:t>My daughter attended TAFE one 1/2 day a week and school 4 days on a life skills curriculum with a 2</w:t>
      </w:r>
      <w:r w:rsidR="00D335BC">
        <w:rPr>
          <w:sz w:val="20"/>
          <w:szCs w:val="20"/>
        </w:rPr>
        <w:t xml:space="preserve"> </w:t>
      </w:r>
      <w:r w:rsidRPr="001071E6">
        <w:rPr>
          <w:sz w:val="20"/>
          <w:szCs w:val="20"/>
        </w:rPr>
        <w:t>hour a week extended work experience placement external to the school. I coordinated this program for my daughter. This is not normally available in NSW schools.</w:t>
      </w:r>
      <w:r>
        <w:rPr>
          <w:sz w:val="20"/>
          <w:szCs w:val="20"/>
        </w:rPr>
        <w:t xml:space="preserve">” </w:t>
      </w:r>
      <w:r w:rsidR="005D1DE8">
        <w:rPr>
          <w:sz w:val="20"/>
          <w:szCs w:val="20"/>
        </w:rPr>
        <w:t xml:space="preserve">- </w:t>
      </w:r>
      <w:r w:rsidR="001E31EC">
        <w:rPr>
          <w:sz w:val="20"/>
          <w:szCs w:val="20"/>
        </w:rPr>
        <w:t>Family</w:t>
      </w:r>
      <w:r w:rsidRPr="00334558">
        <w:rPr>
          <w:sz w:val="20"/>
          <w:szCs w:val="20"/>
        </w:rPr>
        <w:t xml:space="preserve"> of a young person with disability 19</w:t>
      </w:r>
      <w:r w:rsidR="00D335BC">
        <w:rPr>
          <w:sz w:val="20"/>
          <w:szCs w:val="20"/>
        </w:rPr>
        <w:t>-20 years old, regional NSW</w:t>
      </w:r>
    </w:p>
    <w:p w14:paraId="1EA661E8" w14:textId="77777777" w:rsidR="00017775" w:rsidRDefault="00017775" w:rsidP="00017775">
      <w:pPr>
        <w:shd w:val="clear" w:color="auto" w:fill="A8D08D" w:themeFill="accent6" w:themeFillTint="99"/>
        <w:ind w:left="567" w:right="567"/>
        <w:rPr>
          <w:sz w:val="20"/>
          <w:szCs w:val="20"/>
        </w:rPr>
      </w:pPr>
      <w:r>
        <w:rPr>
          <w:sz w:val="20"/>
          <w:szCs w:val="20"/>
        </w:rPr>
        <w:t>“Support for a</w:t>
      </w:r>
      <w:r w:rsidRPr="00D66006">
        <w:rPr>
          <w:sz w:val="20"/>
          <w:szCs w:val="20"/>
        </w:rPr>
        <w:t>ssessment for NDIS SLES program</w:t>
      </w:r>
      <w:r w:rsidR="005D1DE8">
        <w:rPr>
          <w:sz w:val="20"/>
          <w:szCs w:val="20"/>
        </w:rPr>
        <w:t>” - f</w:t>
      </w:r>
      <w:r>
        <w:rPr>
          <w:sz w:val="20"/>
          <w:szCs w:val="20"/>
        </w:rPr>
        <w:t xml:space="preserve">amily of a young person with disability 19-20 years old, metropolitan ACT. </w:t>
      </w:r>
    </w:p>
    <w:p w14:paraId="7006C6BD" w14:textId="77777777" w:rsidR="00007635" w:rsidRDefault="00007635" w:rsidP="00017775"/>
    <w:p w14:paraId="4F03291C" w14:textId="28C55BC8" w:rsidR="000D768C" w:rsidRDefault="000D768C" w:rsidP="000D768C">
      <w:r>
        <w:t>Around three quarters of our survey respondents agreed that much more needs to be done to support post-school planning and to help stude</w:t>
      </w:r>
      <w:r w:rsidR="001E31EC">
        <w:t>nts to achieve their goals (72.6</w:t>
      </w:r>
      <w:r>
        <w:t xml:space="preserve"> per cent). Suggestions </w:t>
      </w:r>
      <w:r w:rsidR="00896726">
        <w:t xml:space="preserve">for further investment </w:t>
      </w:r>
      <w:r>
        <w:t>include assistance with life skills, more teacher support, tailored work experience with interest and abilities, more community integration for students and more information for families.</w:t>
      </w:r>
    </w:p>
    <w:p w14:paraId="474CF91A" w14:textId="77777777" w:rsidR="000D768C" w:rsidRDefault="000D768C" w:rsidP="00017775"/>
    <w:p w14:paraId="6EFD43CB" w14:textId="70CD0AA4" w:rsidR="00E23005" w:rsidRDefault="00CB03FD" w:rsidP="00374F54">
      <w:pPr>
        <w:pStyle w:val="Heading2"/>
      </w:pPr>
      <w:r>
        <w:t>Address i</w:t>
      </w:r>
      <w:r w:rsidR="00E23005" w:rsidRPr="00374F54">
        <w:t>nconsistencies around the country</w:t>
      </w:r>
    </w:p>
    <w:p w14:paraId="051EAB6D" w14:textId="77777777" w:rsidR="00F511C3" w:rsidRDefault="00017775" w:rsidP="00017775">
      <w:r>
        <w:t>The provision of current school programs for senior students with disability varies in every state and territory</w:t>
      </w:r>
      <w:r w:rsidR="00F511C3">
        <w:t>,</w:t>
      </w:r>
      <w:r>
        <w:t xml:space="preserve"> which means the system is fragmented and inconsistent. </w:t>
      </w:r>
      <w:r w:rsidR="00F511C3">
        <w:t>Additionally, m</w:t>
      </w:r>
      <w:r>
        <w:t>any families</w:t>
      </w:r>
      <w:r w:rsidR="00F511C3">
        <w:t xml:space="preserve"> report they</w:t>
      </w:r>
      <w:r>
        <w:t xml:space="preserve"> are not aware of these programs</w:t>
      </w:r>
      <w:r w:rsidR="00F511C3">
        <w:t xml:space="preserve">, for a number of reasons, including </w:t>
      </w:r>
      <w:r>
        <w:t>the student not finish</w:t>
      </w:r>
      <w:r w:rsidR="00F511C3">
        <w:t>ing</w:t>
      </w:r>
      <w:r>
        <w:t xml:space="preserve"> school or </w:t>
      </w:r>
      <w:r w:rsidR="00F511C3">
        <w:t xml:space="preserve">not being provided appropriate support and opportunities to develop skills </w:t>
      </w:r>
      <w:r>
        <w:t>due to lower expectations and exclusion.</w:t>
      </w:r>
      <w:r w:rsidR="00747CF0">
        <w:t xml:space="preserve"> </w:t>
      </w:r>
      <w:r w:rsidR="00F511C3">
        <w:t xml:space="preserve">Table </w:t>
      </w:r>
      <w:r w:rsidR="003D19C9">
        <w:t>6</w:t>
      </w:r>
      <w:r w:rsidR="00F511C3">
        <w:t xml:space="preserve"> provides an overview of the relevant programs in each state and territory</w:t>
      </w:r>
      <w:r w:rsidR="00BF7595">
        <w:t xml:space="preserve"> (see Appendix A)</w:t>
      </w:r>
      <w:r w:rsidR="00F511C3">
        <w:t>.</w:t>
      </w:r>
    </w:p>
    <w:p w14:paraId="04A31EA3" w14:textId="77777777" w:rsidR="000D768C" w:rsidRDefault="00F511C3" w:rsidP="00017775">
      <w:r>
        <w:t xml:space="preserve">Although there are </w:t>
      </w:r>
      <w:r w:rsidR="00BF7595">
        <w:t>a range of</w:t>
      </w:r>
      <w:r>
        <w:t xml:space="preserve"> benefits </w:t>
      </w:r>
      <w:r w:rsidR="00BF7595">
        <w:t>provided by</w:t>
      </w:r>
      <w:r>
        <w:t xml:space="preserve"> the programs outlined in Table </w:t>
      </w:r>
      <w:r w:rsidR="003D19C9">
        <w:t>6</w:t>
      </w:r>
      <w:r>
        <w:t xml:space="preserve">, </w:t>
      </w:r>
      <w:r w:rsidR="00BF7595">
        <w:t xml:space="preserve">there is a high level of variance across the country, particularly in terms of what is offered and the </w:t>
      </w:r>
      <w:r>
        <w:t>level of resourcing provided</w:t>
      </w:r>
      <w:r w:rsidR="00BF7595">
        <w:t xml:space="preserve">; </w:t>
      </w:r>
      <w:r>
        <w:t>and a number of programs</w:t>
      </w:r>
      <w:r w:rsidR="00017775">
        <w:t xml:space="preserve"> are not tailored to senior students with disability. </w:t>
      </w:r>
      <w:r>
        <w:t>T</w:t>
      </w:r>
      <w:r w:rsidR="00017775">
        <w:t xml:space="preserve">he age for </w:t>
      </w:r>
      <w:r>
        <w:t>career-</w:t>
      </w:r>
      <w:r w:rsidR="00017775">
        <w:t xml:space="preserve">planning also </w:t>
      </w:r>
      <w:r>
        <w:t xml:space="preserve">varies significantly across states and territories, with </w:t>
      </w:r>
      <w:r w:rsidR="00017775">
        <w:t>some start</w:t>
      </w:r>
      <w:r>
        <w:t>ing</w:t>
      </w:r>
      <w:r w:rsidR="00017775">
        <w:t xml:space="preserve"> </w:t>
      </w:r>
      <w:r w:rsidR="00BF7595">
        <w:t xml:space="preserve">for students </w:t>
      </w:r>
      <w:r w:rsidR="00017775">
        <w:t xml:space="preserve">in </w:t>
      </w:r>
      <w:r>
        <w:t>Y</w:t>
      </w:r>
      <w:r w:rsidR="00017775">
        <w:t xml:space="preserve">ear 7 </w:t>
      </w:r>
      <w:r>
        <w:t>(e.g.</w:t>
      </w:r>
      <w:r w:rsidR="00017775">
        <w:t xml:space="preserve"> Victoria</w:t>
      </w:r>
      <w:r>
        <w:t>) and</w:t>
      </w:r>
      <w:r w:rsidR="00017775">
        <w:t xml:space="preserve"> others</w:t>
      </w:r>
      <w:r>
        <w:t xml:space="preserve"> not until</w:t>
      </w:r>
      <w:r w:rsidR="00017775">
        <w:t xml:space="preserve"> </w:t>
      </w:r>
      <w:r>
        <w:t>Y</w:t>
      </w:r>
      <w:r w:rsidR="00017775">
        <w:t>ear</w:t>
      </w:r>
      <w:r>
        <w:t>s</w:t>
      </w:r>
      <w:r w:rsidR="00017775">
        <w:t xml:space="preserve"> 10 or 11. </w:t>
      </w:r>
    </w:p>
    <w:p w14:paraId="00DB02E0" w14:textId="77777777" w:rsidR="00017775" w:rsidRDefault="00017775" w:rsidP="00017775"/>
    <w:p w14:paraId="6D09EC91" w14:textId="3C973152" w:rsidR="00F511C3" w:rsidRDefault="00CB03FD" w:rsidP="00F511C3">
      <w:pPr>
        <w:pStyle w:val="Heading2"/>
      </w:pPr>
      <w:r>
        <w:t>Start career</w:t>
      </w:r>
      <w:r w:rsidR="00F511C3">
        <w:t xml:space="preserve"> planning earlier</w:t>
      </w:r>
    </w:p>
    <w:p w14:paraId="30C5626D" w14:textId="7910E106" w:rsidR="00F511C3" w:rsidRDefault="00F511C3" w:rsidP="00F511C3">
      <w:r>
        <w:t>Around 80 per cent of our survey respondents report that they have received a form of career pla</w:t>
      </w:r>
      <w:r w:rsidR="009130BC">
        <w:t>nning at school (78.3 per cent, 83</w:t>
      </w:r>
      <w:r>
        <w:t xml:space="preserve"> respondents). Almost 30 per cent of these students report </w:t>
      </w:r>
      <w:r w:rsidR="00E167DA">
        <w:t xml:space="preserve">they started </w:t>
      </w:r>
      <w:r>
        <w:t xml:space="preserve">receiving </w:t>
      </w:r>
      <w:r w:rsidR="00E167DA">
        <w:t xml:space="preserve">career-planning </w:t>
      </w:r>
      <w:r>
        <w:t xml:space="preserve">support in </w:t>
      </w:r>
      <w:r w:rsidR="009130BC">
        <w:t>Year 12, with around 40</w:t>
      </w:r>
      <w:r>
        <w:t xml:space="preserve"> per cent receiving support in either Year 10 or 11</w:t>
      </w:r>
      <w:r w:rsidR="00E167DA">
        <w:t xml:space="preserve"> (see Table </w:t>
      </w:r>
      <w:r w:rsidR="003D19C9">
        <w:t>7</w:t>
      </w:r>
      <w:r w:rsidR="00BF7595">
        <w:t xml:space="preserve"> in Appendix A</w:t>
      </w:r>
      <w:r w:rsidR="00E167DA">
        <w:t>)</w:t>
      </w:r>
      <w:r w:rsidR="009130BC">
        <w:t>. Fewer than 7</w:t>
      </w:r>
      <w:r>
        <w:t xml:space="preserve"> per cent of respondents report receiving support in Year 9. These results confirm the discrepancies for career planning in different states and late start </w:t>
      </w:r>
      <w:r w:rsidR="00E167DA">
        <w:t>that is often</w:t>
      </w:r>
      <w:r>
        <w:t xml:space="preserve"> provided.</w:t>
      </w:r>
    </w:p>
    <w:p w14:paraId="1F5DB642" w14:textId="77777777" w:rsidR="00F511C3" w:rsidRDefault="00F511C3" w:rsidP="00F511C3"/>
    <w:p w14:paraId="6925C077" w14:textId="77777777" w:rsidR="00E167DA" w:rsidRDefault="00F511C3">
      <w:pPr>
        <w:shd w:val="clear" w:color="auto" w:fill="A8D08D" w:themeFill="accent6" w:themeFillTint="99"/>
        <w:ind w:left="567" w:right="567"/>
        <w:rPr>
          <w:sz w:val="20"/>
          <w:szCs w:val="20"/>
        </w:rPr>
      </w:pPr>
      <w:r>
        <w:rPr>
          <w:sz w:val="20"/>
          <w:szCs w:val="20"/>
        </w:rPr>
        <w:t>“</w:t>
      </w:r>
      <w:r w:rsidRPr="00AE0E3E">
        <w:rPr>
          <w:sz w:val="20"/>
          <w:szCs w:val="20"/>
        </w:rPr>
        <w:t>Year 12, yes, but it was very limited - one session with a teacher to talk about what we were thinking of doing. Many people were pushed earlier into trades at TAFE, rather than focusing on them getting into university. Students with disabilities that impacted on their results, who stayed until year 11 and 12 were pressured into segregated 'life skills' classes, meaning they did not receive their HSC (this happened to my brother, even though he has ASD, but was completely capable of completing the HSC</w:t>
      </w:r>
      <w:r w:rsidR="00E167DA">
        <w:rPr>
          <w:sz w:val="20"/>
          <w:szCs w:val="20"/>
        </w:rPr>
        <w:t>)</w:t>
      </w:r>
      <w:r>
        <w:rPr>
          <w:sz w:val="20"/>
          <w:szCs w:val="20"/>
        </w:rPr>
        <w:t xml:space="preserve">” </w:t>
      </w:r>
      <w:r w:rsidR="00E167DA">
        <w:rPr>
          <w:sz w:val="20"/>
          <w:szCs w:val="20"/>
        </w:rPr>
        <w:t>- y</w:t>
      </w:r>
      <w:r w:rsidRPr="00AE0E3E">
        <w:rPr>
          <w:sz w:val="20"/>
          <w:szCs w:val="20"/>
        </w:rPr>
        <w:t>oung person with Disability aged over 25 years old, metropolitan VIC</w:t>
      </w:r>
    </w:p>
    <w:p w14:paraId="685581CD" w14:textId="77777777" w:rsidR="00E167DA" w:rsidRPr="00BF1398" w:rsidRDefault="00E167DA">
      <w:pPr>
        <w:shd w:val="clear" w:color="auto" w:fill="A8D08D" w:themeFill="accent6" w:themeFillTint="99"/>
        <w:ind w:left="567" w:right="567"/>
        <w:rPr>
          <w:sz w:val="20"/>
          <w:szCs w:val="20"/>
        </w:rPr>
      </w:pPr>
      <w:r>
        <w:rPr>
          <w:sz w:val="20"/>
          <w:szCs w:val="20"/>
        </w:rPr>
        <w:t>“</w:t>
      </w:r>
      <w:r w:rsidRPr="00BB52D6">
        <w:rPr>
          <w:sz w:val="20"/>
          <w:szCs w:val="20"/>
        </w:rPr>
        <w:t>Begin the process a lot earlier than end of year 11. Presume competence. Inform, encourage and support families to be involved in the process. Give them all the options and assist in making these happen. Education department to work with NDIS to understand, support and fund real transiti</w:t>
      </w:r>
      <w:r>
        <w:rPr>
          <w:sz w:val="20"/>
          <w:szCs w:val="20"/>
        </w:rPr>
        <w:t xml:space="preserve">ons” - family of a student with disability aged 17-18 years old, metropolitan NSW. </w:t>
      </w:r>
    </w:p>
    <w:p w14:paraId="336176E1" w14:textId="77777777" w:rsidR="00B70FD5" w:rsidRDefault="00B70FD5" w:rsidP="00374F54">
      <w:pPr>
        <w:keepNext/>
      </w:pPr>
    </w:p>
    <w:p w14:paraId="3D1A74AC" w14:textId="77777777" w:rsidR="00F511C3" w:rsidRDefault="00F511C3" w:rsidP="00374F54">
      <w:pPr>
        <w:keepNext/>
      </w:pPr>
      <w:r>
        <w:t>Students with disability need extra support for the transition from secondary school to any career pathway and it is beneficial to start the career planning earlier. A number of studi</w:t>
      </w:r>
      <w:r w:rsidR="00E167DA">
        <w:t>es have confirmed that post-</w:t>
      </w:r>
      <w:r>
        <w:t>school transition planning for young people with disability need</w:t>
      </w:r>
      <w:r w:rsidR="00BF7595">
        <w:t>s</w:t>
      </w:r>
      <w:r>
        <w:t xml:space="preserve"> to include five key areas:</w:t>
      </w:r>
      <w:r>
        <w:rPr>
          <w:rStyle w:val="FootnoteReference"/>
        </w:rPr>
        <w:footnoteReference w:id="15"/>
      </w:r>
    </w:p>
    <w:p w14:paraId="3AFAC9A5" w14:textId="77777777" w:rsidR="00F511C3" w:rsidRDefault="00F511C3" w:rsidP="00374F54">
      <w:pPr>
        <w:pStyle w:val="ListParagraph"/>
        <w:keepNext/>
        <w:numPr>
          <w:ilvl w:val="3"/>
          <w:numId w:val="19"/>
        </w:numPr>
        <w:ind w:left="426" w:hanging="284"/>
      </w:pPr>
      <w:r>
        <w:t>Student-focused planning</w:t>
      </w:r>
    </w:p>
    <w:p w14:paraId="42168CA4" w14:textId="77777777" w:rsidR="00F511C3" w:rsidRDefault="00F511C3" w:rsidP="00374F54">
      <w:pPr>
        <w:pStyle w:val="ListParagraph"/>
        <w:keepNext/>
        <w:numPr>
          <w:ilvl w:val="3"/>
          <w:numId w:val="19"/>
        </w:numPr>
        <w:ind w:left="426" w:hanging="284"/>
      </w:pPr>
      <w:r>
        <w:t>Student development</w:t>
      </w:r>
    </w:p>
    <w:p w14:paraId="761E5747" w14:textId="77777777" w:rsidR="00F511C3" w:rsidRDefault="00F511C3" w:rsidP="00374F54">
      <w:pPr>
        <w:pStyle w:val="ListParagraph"/>
        <w:keepNext/>
        <w:numPr>
          <w:ilvl w:val="3"/>
          <w:numId w:val="19"/>
        </w:numPr>
        <w:ind w:left="426" w:hanging="284"/>
      </w:pPr>
      <w:r>
        <w:t xml:space="preserve">Family involvement </w:t>
      </w:r>
    </w:p>
    <w:p w14:paraId="0507279F" w14:textId="77777777" w:rsidR="00F511C3" w:rsidRDefault="00F511C3" w:rsidP="00374F54">
      <w:pPr>
        <w:pStyle w:val="ListParagraph"/>
        <w:keepNext/>
        <w:numPr>
          <w:ilvl w:val="3"/>
          <w:numId w:val="19"/>
        </w:numPr>
        <w:ind w:left="426" w:hanging="284"/>
      </w:pPr>
      <w:r>
        <w:t>Program structure</w:t>
      </w:r>
    </w:p>
    <w:p w14:paraId="7E87B6BB" w14:textId="77777777" w:rsidR="00F511C3" w:rsidRDefault="00F511C3" w:rsidP="00374F54">
      <w:pPr>
        <w:pStyle w:val="ListParagraph"/>
        <w:keepNext/>
        <w:numPr>
          <w:ilvl w:val="3"/>
          <w:numId w:val="19"/>
        </w:numPr>
        <w:ind w:left="426" w:hanging="284"/>
      </w:pPr>
      <w:r>
        <w:t>Interagency collaboration.</w:t>
      </w:r>
    </w:p>
    <w:p w14:paraId="377A1813" w14:textId="77777777" w:rsidR="00E167DA" w:rsidRDefault="00F511C3" w:rsidP="00E167DA">
      <w:pPr>
        <w:rPr>
          <w:b/>
        </w:rPr>
      </w:pPr>
      <w:r>
        <w:t xml:space="preserve">CYDA recommends taking a unified approach across the country and introducing career-planning activities that include the five key areas for all students with disability by the age of 15 years. To build the skills of the students </w:t>
      </w:r>
      <w:r w:rsidR="00BF7595">
        <w:t xml:space="preserve">it will be </w:t>
      </w:r>
      <w:r>
        <w:t xml:space="preserve">important to include practical subjects </w:t>
      </w:r>
      <w:r w:rsidR="00BF7595">
        <w:t>as well as</w:t>
      </w:r>
      <w:r>
        <w:t xml:space="preserve"> work experience or exposure to different work industries where students have expressed interest.</w:t>
      </w:r>
    </w:p>
    <w:p w14:paraId="61FA595B" w14:textId="77777777" w:rsidR="000D768C" w:rsidRDefault="000D768C" w:rsidP="00E167DA">
      <w:r>
        <w:t>It is critical that young people with disability, and families, are involved in the development of any new transition planning activities or programs from the beginning and throughout the development and implementation process.</w:t>
      </w:r>
    </w:p>
    <w:p w14:paraId="5C42EAB3" w14:textId="77777777" w:rsidR="000D768C" w:rsidRPr="00374F54" w:rsidRDefault="000D768C" w:rsidP="00374F54">
      <w:pPr>
        <w:shd w:val="clear" w:color="auto" w:fill="A8D08D" w:themeFill="accent6" w:themeFillTint="99"/>
        <w:ind w:left="567" w:right="567"/>
        <w:rPr>
          <w:sz w:val="20"/>
          <w:szCs w:val="20"/>
        </w:rPr>
      </w:pPr>
      <w:r w:rsidRPr="00374F54">
        <w:rPr>
          <w:sz w:val="20"/>
          <w:szCs w:val="20"/>
        </w:rPr>
        <w:t>“Working with young people in defining the problems and issues that affect them can lead to new understandings about the source of such problems as well as potential responses. Young people’s involvement also helps to build credibility and rapport for the project and ensure that their values and attitudes are accounted for.</w:t>
      </w:r>
    </w:p>
    <w:p w14:paraId="0E32AB6C" w14:textId="77777777" w:rsidR="000D768C" w:rsidRDefault="000D768C" w:rsidP="00374F54">
      <w:pPr>
        <w:shd w:val="clear" w:color="auto" w:fill="A8D08D" w:themeFill="accent6" w:themeFillTint="99"/>
        <w:ind w:left="567" w:right="567"/>
        <w:rPr>
          <w:sz w:val="20"/>
          <w:szCs w:val="20"/>
        </w:rPr>
      </w:pPr>
      <w:r w:rsidRPr="00374F54">
        <w:rPr>
          <w:sz w:val="20"/>
          <w:szCs w:val="20"/>
        </w:rPr>
        <w:t>Pragmatically, a Participatory Design approach helps us to develop interventions that are engaging to young people and therefore are more likely to be used, increasing the overall reach and impact of the intervention.”</w:t>
      </w:r>
    </w:p>
    <w:p w14:paraId="48E71245" w14:textId="77777777" w:rsidR="000D768C" w:rsidRPr="00374F54" w:rsidRDefault="000D768C" w:rsidP="00374F54">
      <w:pPr>
        <w:shd w:val="clear" w:color="auto" w:fill="A8D08D" w:themeFill="accent6" w:themeFillTint="99"/>
        <w:ind w:left="567" w:right="567"/>
        <w:rPr>
          <w:sz w:val="20"/>
          <w:szCs w:val="20"/>
        </w:rPr>
      </w:pPr>
      <w:r>
        <w:rPr>
          <w:sz w:val="20"/>
          <w:szCs w:val="20"/>
        </w:rPr>
        <w:t>-Young and Well Cooperative Research Centre, 2012</w:t>
      </w:r>
      <w:r>
        <w:rPr>
          <w:rStyle w:val="FootnoteReference"/>
          <w:sz w:val="20"/>
          <w:szCs w:val="20"/>
        </w:rPr>
        <w:footnoteReference w:id="16"/>
      </w:r>
    </w:p>
    <w:p w14:paraId="63B4B835" w14:textId="77777777" w:rsidR="00017775" w:rsidRDefault="00017775"/>
    <w:p w14:paraId="270BAC9C" w14:textId="6F24849D" w:rsidR="00E23005" w:rsidRDefault="00CB03FD" w:rsidP="00374F54">
      <w:pPr>
        <w:pStyle w:val="Heading2"/>
      </w:pPr>
      <w:r>
        <w:t>Collect</w:t>
      </w:r>
      <w:r w:rsidR="00E23005">
        <w:t xml:space="preserve"> relevant data</w:t>
      </w:r>
    </w:p>
    <w:p w14:paraId="05E9B0F8" w14:textId="77777777" w:rsidR="00B70FD5" w:rsidRDefault="00B70FD5" w:rsidP="00E23005">
      <w:r>
        <w:t xml:space="preserve">CYDA’s examination of the programs outlined in Table </w:t>
      </w:r>
      <w:r w:rsidR="003D19C9">
        <w:t>6</w:t>
      </w:r>
      <w:r>
        <w:t xml:space="preserve"> also </w:t>
      </w:r>
      <w:r w:rsidR="00E23005">
        <w:t xml:space="preserve">found that the </w:t>
      </w:r>
      <w:r>
        <w:t>programs are ‘</w:t>
      </w:r>
      <w:r w:rsidR="00E23005">
        <w:t>process</w:t>
      </w:r>
      <w:r>
        <w:noBreakHyphen/>
        <w:t>oriented’</w:t>
      </w:r>
      <w:r w:rsidR="00E23005">
        <w:t xml:space="preserve"> </w:t>
      </w:r>
      <w:r>
        <w:t>rather than ‘outcome-</w:t>
      </w:r>
      <w:r w:rsidR="00E23005">
        <w:t>oriented</w:t>
      </w:r>
      <w:r>
        <w:t>.’ Along with a significant</w:t>
      </w:r>
      <w:r w:rsidRPr="00B70FD5">
        <w:t xml:space="preserve"> </w:t>
      </w:r>
      <w:r>
        <w:t>lack of data in this area, this makes it very difficult to measure and evaluate program appropriateness and effectiveness. Improved data collection around program uptake, implementation and outcomes is strongly recommended.</w:t>
      </w:r>
    </w:p>
    <w:p w14:paraId="7136DAD4" w14:textId="77777777" w:rsidR="00017775" w:rsidRDefault="00017775" w:rsidP="00017775"/>
    <w:p w14:paraId="6075F4D2" w14:textId="11298ECD" w:rsidR="00017775" w:rsidRDefault="00017775" w:rsidP="00374F54">
      <w:pPr>
        <w:pStyle w:val="Heading1"/>
      </w:pPr>
      <w:bookmarkStart w:id="5" w:name="_Toc27818911"/>
      <w:r>
        <w:t xml:space="preserve">Provide more information to students </w:t>
      </w:r>
      <w:r w:rsidR="005B7F0C">
        <w:t xml:space="preserve">with disability </w:t>
      </w:r>
      <w:r>
        <w:t>and their families</w:t>
      </w:r>
      <w:bookmarkEnd w:id="5"/>
    </w:p>
    <w:p w14:paraId="283DF53B" w14:textId="77777777" w:rsidR="00B70FD5" w:rsidRPr="00ED6D31" w:rsidRDefault="00B70FD5" w:rsidP="00374F54">
      <w:pPr>
        <w:keepNext/>
      </w:pPr>
    </w:p>
    <w:p w14:paraId="6BF5A336" w14:textId="77777777" w:rsidR="00B70FD5" w:rsidRPr="00ED6D31" w:rsidRDefault="00B70FD5" w:rsidP="00374F54">
      <w:pPr>
        <w:keepNext/>
        <w:pBdr>
          <w:top w:val="single" w:sz="12" w:space="1" w:color="ED7D31" w:themeColor="accent2"/>
          <w:left w:val="single" w:sz="12" w:space="4" w:color="ED7D31" w:themeColor="accent2"/>
          <w:bottom w:val="single" w:sz="12" w:space="1" w:color="ED7D31" w:themeColor="accent2"/>
          <w:right w:val="single" w:sz="12" w:space="4" w:color="ED7D31" w:themeColor="accent2"/>
        </w:pBdr>
        <w:ind w:left="360"/>
        <w:rPr>
          <w:b/>
        </w:rPr>
      </w:pPr>
      <w:r>
        <w:rPr>
          <w:b/>
        </w:rPr>
        <w:t>Recommendations</w:t>
      </w:r>
    </w:p>
    <w:p w14:paraId="494C0FE3" w14:textId="3F21A70B" w:rsidR="00B70FD5" w:rsidRDefault="00B70FD5" w:rsidP="00374F54">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rsidRPr="00B70FD5">
        <w:t xml:space="preserve">Develop </w:t>
      </w:r>
      <w:r w:rsidR="00115708">
        <w:t xml:space="preserve">‘high-expectations’ </w:t>
      </w:r>
      <w:r w:rsidRPr="00B70FD5">
        <w:t xml:space="preserve">information resources for families and students with disability about </w:t>
      </w:r>
      <w:r w:rsidR="00646A4D">
        <w:t>post-</w:t>
      </w:r>
      <w:r w:rsidRPr="00B70FD5">
        <w:t>school options, application process, f</w:t>
      </w:r>
      <w:r w:rsidR="00646A4D">
        <w:t>unding and subsidies available</w:t>
      </w:r>
    </w:p>
    <w:p w14:paraId="060A4E16" w14:textId="77777777" w:rsidR="00351A0B" w:rsidRDefault="00351A0B" w:rsidP="00374F54">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rsidRPr="00351A0B">
        <w:t>Create a strategy for information and linkages between schools and outside stakeho</w:t>
      </w:r>
      <w:r>
        <w:t xml:space="preserve">lders such as universities, TAFEs, and </w:t>
      </w:r>
      <w:r w:rsidRPr="00351A0B">
        <w:t>disability organisations</w:t>
      </w:r>
    </w:p>
    <w:p w14:paraId="54625491" w14:textId="2CA23A10" w:rsidR="00351A0B" w:rsidRDefault="00646A4D" w:rsidP="00374F54">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Ensure relevant organisations are involved in ca</w:t>
      </w:r>
      <w:r w:rsidR="005B7F0C">
        <w:t>reer-planning where appropriate</w:t>
      </w:r>
    </w:p>
    <w:p w14:paraId="147D7946" w14:textId="5634ECD5" w:rsidR="005B7F0C" w:rsidRDefault="005B7F0C" w:rsidP="005B7F0C">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rsidRPr="005B7F0C">
        <w:t>Ensure students with disability receive the transition support as their non-disabled peers</w:t>
      </w:r>
    </w:p>
    <w:p w14:paraId="2DF9BEB0" w14:textId="77777777" w:rsidR="006A3486" w:rsidRDefault="006A3486" w:rsidP="00374F54">
      <w:pPr>
        <w:pStyle w:val="Heading2"/>
      </w:pPr>
    </w:p>
    <w:p w14:paraId="215E4968" w14:textId="0F6EEFFF" w:rsidR="00A4795E" w:rsidRDefault="00A4795E" w:rsidP="00374F54">
      <w:pPr>
        <w:pStyle w:val="Heading2"/>
      </w:pPr>
      <w:r>
        <w:t>Improve support for parents and family members</w:t>
      </w:r>
    </w:p>
    <w:p w14:paraId="3932E483" w14:textId="77777777" w:rsidR="00A4795E" w:rsidRDefault="00B70FD5" w:rsidP="00017775">
      <w:r>
        <w:t xml:space="preserve">Parents, family members </w:t>
      </w:r>
      <w:r w:rsidR="00A4795E">
        <w:t xml:space="preserve">and other adults </w:t>
      </w:r>
      <w:r>
        <w:t xml:space="preserve">play an important role </w:t>
      </w:r>
      <w:r w:rsidR="00A4795E">
        <w:t>in post-school planning for all students. For students with disability, family can be particularly important as there are so many barriers to access</w:t>
      </w:r>
      <w:r w:rsidR="006C404E">
        <w:t>ing</w:t>
      </w:r>
      <w:r w:rsidR="00A4795E">
        <w:t xml:space="preserve"> other forms of support. CYDA’s 2015 report found that “families and caregivers of children with disability are often expected to take on the responsibility for their child’s post school transition. Consultations with families revealed how they are often the ones required to do extensive research to identify the various post school options and supports available.”</w:t>
      </w:r>
      <w:r w:rsidR="00A4795E">
        <w:rPr>
          <w:rStyle w:val="FootnoteReference"/>
        </w:rPr>
        <w:footnoteReference w:id="17"/>
      </w:r>
    </w:p>
    <w:p w14:paraId="7075453C" w14:textId="3613C4F9" w:rsidR="00A4795E" w:rsidRDefault="0076734C" w:rsidP="00017775">
      <w:r>
        <w:t>Over</w:t>
      </w:r>
      <w:r w:rsidR="00A4795E">
        <w:t xml:space="preserve"> 40 per cent of respondents to our 2019</w:t>
      </w:r>
      <w:r w:rsidR="004C4DE5">
        <w:t>-2020</w:t>
      </w:r>
      <w:r w:rsidR="00A4795E">
        <w:t xml:space="preserve"> survey report that they have not been involved in their child’s career-pla</w:t>
      </w:r>
      <w:r w:rsidR="00061E45">
        <w:t>nning process, with a further 18</w:t>
      </w:r>
      <w:r w:rsidR="00A4795E">
        <w:t xml:space="preserve"> per cent reporting ‘very little’ involvement (see Table </w:t>
      </w:r>
      <w:r w:rsidR="003D19C9">
        <w:t>8</w:t>
      </w:r>
      <w:r w:rsidR="006C404E">
        <w:t xml:space="preserve"> in Appendix A</w:t>
      </w:r>
      <w:r w:rsidR="00061E45">
        <w:t xml:space="preserve">). </w:t>
      </w:r>
    </w:p>
    <w:p w14:paraId="5DEE1238" w14:textId="77777777" w:rsidR="00A4795E" w:rsidRDefault="00A4795E" w:rsidP="00A4795E">
      <w:r>
        <w:t xml:space="preserve">Engaging parents and other relevant adults </w:t>
      </w:r>
      <w:r w:rsidR="006C404E">
        <w:t xml:space="preserve">effectively </w:t>
      </w:r>
      <w:r>
        <w:t xml:space="preserve">in career-planning conversations is essential, and </w:t>
      </w:r>
      <w:r w:rsidR="0019520A">
        <w:t xml:space="preserve">further </w:t>
      </w:r>
      <w:r>
        <w:t xml:space="preserve">information resources for families </w:t>
      </w:r>
      <w:r w:rsidR="0019520A">
        <w:t>would be welcome</w:t>
      </w:r>
      <w:r>
        <w:t>. Schools must ensure support for both parents</w:t>
      </w:r>
      <w:r w:rsidR="0019520A">
        <w:t>/families</w:t>
      </w:r>
      <w:r>
        <w:t xml:space="preserve"> and students with disability during all stages of career planning process.</w:t>
      </w:r>
    </w:p>
    <w:p w14:paraId="113DDF44" w14:textId="77777777" w:rsidR="00A4795E" w:rsidRDefault="00A4795E"/>
    <w:p w14:paraId="0DAADCEB" w14:textId="77777777" w:rsidR="00017775" w:rsidRDefault="00017775" w:rsidP="00017775">
      <w:pPr>
        <w:shd w:val="clear" w:color="auto" w:fill="A8D08D" w:themeFill="accent6" w:themeFillTint="99"/>
        <w:ind w:left="567" w:right="567"/>
        <w:rPr>
          <w:sz w:val="20"/>
          <w:szCs w:val="20"/>
        </w:rPr>
      </w:pPr>
      <w:r>
        <w:rPr>
          <w:sz w:val="20"/>
          <w:szCs w:val="20"/>
        </w:rPr>
        <w:t>“</w:t>
      </w:r>
      <w:r w:rsidRPr="00996D67">
        <w:rPr>
          <w:sz w:val="20"/>
          <w:szCs w:val="20"/>
        </w:rPr>
        <w:t xml:space="preserve">I contacted the school to request my child have work experience opportunities. Attended a transition meeting yesterday. It was more a data collection with an emphasis on families to source and choose after school options. We live in a different geographical location than the school and I was refused contact details for local transition teacher. It was stressed that it is up to the family to </w:t>
      </w:r>
      <w:r>
        <w:rPr>
          <w:sz w:val="20"/>
          <w:szCs w:val="20"/>
        </w:rPr>
        <w:t>research and find organisations”</w:t>
      </w:r>
      <w:r w:rsidR="00A4795E">
        <w:rPr>
          <w:sz w:val="20"/>
          <w:szCs w:val="20"/>
        </w:rPr>
        <w:t xml:space="preserve"> - f</w:t>
      </w:r>
      <w:r>
        <w:rPr>
          <w:sz w:val="20"/>
          <w:szCs w:val="20"/>
        </w:rPr>
        <w:t>amily of a young student with disability aged 17-18 years old, metropolitan NSW.</w:t>
      </w:r>
    </w:p>
    <w:p w14:paraId="6EE9D319" w14:textId="5B5ECFE4" w:rsidR="00017775" w:rsidRDefault="00017775" w:rsidP="00017775">
      <w:pPr>
        <w:shd w:val="clear" w:color="auto" w:fill="A8D08D" w:themeFill="accent6" w:themeFillTint="99"/>
        <w:ind w:left="567" w:right="567"/>
        <w:rPr>
          <w:sz w:val="20"/>
          <w:szCs w:val="20"/>
        </w:rPr>
      </w:pPr>
      <w:r>
        <w:rPr>
          <w:sz w:val="20"/>
          <w:szCs w:val="20"/>
        </w:rPr>
        <w:t>“</w:t>
      </w:r>
      <w:r w:rsidRPr="00447A02">
        <w:rPr>
          <w:sz w:val="20"/>
          <w:szCs w:val="20"/>
        </w:rPr>
        <w:t xml:space="preserve">His learning support teacher did everything, the careers advisor was hopeless and didn't see him as </w:t>
      </w:r>
      <w:r w:rsidR="00A4795E">
        <w:rPr>
          <w:sz w:val="20"/>
          <w:szCs w:val="20"/>
        </w:rPr>
        <w:t>TAFE</w:t>
      </w:r>
      <w:r w:rsidRPr="00447A02">
        <w:rPr>
          <w:sz w:val="20"/>
          <w:szCs w:val="20"/>
        </w:rPr>
        <w:t xml:space="preserve"> worthy.</w:t>
      </w:r>
      <w:r>
        <w:rPr>
          <w:sz w:val="20"/>
          <w:szCs w:val="20"/>
        </w:rPr>
        <w:t xml:space="preserve">” </w:t>
      </w:r>
      <w:r w:rsidR="00A4795E">
        <w:rPr>
          <w:sz w:val="20"/>
          <w:szCs w:val="20"/>
        </w:rPr>
        <w:t xml:space="preserve">- </w:t>
      </w:r>
      <w:r w:rsidR="004C4DE5">
        <w:rPr>
          <w:sz w:val="20"/>
          <w:szCs w:val="20"/>
        </w:rPr>
        <w:t>Family</w:t>
      </w:r>
      <w:r>
        <w:rPr>
          <w:sz w:val="20"/>
          <w:szCs w:val="20"/>
        </w:rPr>
        <w:t xml:space="preserve"> of a young person with disability aged 23-25 years old, regional QLD.</w:t>
      </w:r>
    </w:p>
    <w:p w14:paraId="1B545AF9" w14:textId="3D8FA1A6" w:rsidR="00017775" w:rsidRDefault="00017775" w:rsidP="00017775">
      <w:pPr>
        <w:shd w:val="clear" w:color="auto" w:fill="A8D08D" w:themeFill="accent6" w:themeFillTint="99"/>
        <w:ind w:left="567" w:right="567"/>
        <w:rPr>
          <w:sz w:val="20"/>
          <w:szCs w:val="20"/>
        </w:rPr>
      </w:pPr>
      <w:r>
        <w:rPr>
          <w:sz w:val="20"/>
          <w:szCs w:val="20"/>
        </w:rPr>
        <w:t>“</w:t>
      </w:r>
      <w:r w:rsidRPr="00447A02">
        <w:rPr>
          <w:sz w:val="20"/>
          <w:szCs w:val="20"/>
        </w:rPr>
        <w:t>Not much was done. The school was used to relying on the FFYA DHS program to drive the process but that program had ended due to NDIS arriving. No program within the special school setting was in place to replace FFYA and initiate individual planning for post school.</w:t>
      </w:r>
      <w:r>
        <w:rPr>
          <w:sz w:val="20"/>
          <w:szCs w:val="20"/>
        </w:rPr>
        <w:t xml:space="preserve">” </w:t>
      </w:r>
      <w:r w:rsidR="00A4795E">
        <w:rPr>
          <w:sz w:val="20"/>
          <w:szCs w:val="20"/>
        </w:rPr>
        <w:t xml:space="preserve">- </w:t>
      </w:r>
      <w:r w:rsidR="004C4DE5">
        <w:rPr>
          <w:sz w:val="20"/>
          <w:szCs w:val="20"/>
        </w:rPr>
        <w:t>Family</w:t>
      </w:r>
      <w:r w:rsidRPr="00447A02">
        <w:rPr>
          <w:sz w:val="20"/>
          <w:szCs w:val="20"/>
        </w:rPr>
        <w:t xml:space="preserve"> of a young p</w:t>
      </w:r>
      <w:r>
        <w:rPr>
          <w:sz w:val="20"/>
          <w:szCs w:val="20"/>
        </w:rPr>
        <w:t>erson with disability aged 19-20 years old, metropolitan VIC</w:t>
      </w:r>
      <w:r w:rsidRPr="00447A02">
        <w:rPr>
          <w:sz w:val="20"/>
          <w:szCs w:val="20"/>
        </w:rPr>
        <w:t>.</w:t>
      </w:r>
    </w:p>
    <w:p w14:paraId="0E32C3B9" w14:textId="77777777" w:rsidR="00017775" w:rsidRDefault="00017775"/>
    <w:p w14:paraId="4C8B4BB3" w14:textId="77777777" w:rsidR="00017775" w:rsidRDefault="00A4795E" w:rsidP="00374F54">
      <w:pPr>
        <w:pStyle w:val="Heading2"/>
      </w:pPr>
      <w:r>
        <w:t>Provide relevant information to organisations in students’ lives</w:t>
      </w:r>
    </w:p>
    <w:p w14:paraId="16E3F469" w14:textId="77777777" w:rsidR="0019520A" w:rsidRDefault="00017775" w:rsidP="00017775">
      <w:r>
        <w:t xml:space="preserve">Students with disability </w:t>
      </w:r>
      <w:r w:rsidR="0019520A">
        <w:t>may receive</w:t>
      </w:r>
      <w:r>
        <w:t xml:space="preserve"> assistance and information about </w:t>
      </w:r>
      <w:r w:rsidR="0019520A">
        <w:t xml:space="preserve">their </w:t>
      </w:r>
      <w:r>
        <w:t>post</w:t>
      </w:r>
      <w:r w:rsidR="0019520A">
        <w:t>-</w:t>
      </w:r>
      <w:r>
        <w:t xml:space="preserve">school </w:t>
      </w:r>
      <w:r w:rsidR="0019520A">
        <w:t>options from other avenues and organisations in their lives, but there is a risk that certain options (such as supported employment) may be privileged and that others may not be promoted (such as VET or higher education).</w:t>
      </w:r>
    </w:p>
    <w:p w14:paraId="42242694" w14:textId="0D33D894" w:rsidR="005B27F2" w:rsidRDefault="00017775">
      <w:r>
        <w:t xml:space="preserve">Overall, </w:t>
      </w:r>
      <w:r w:rsidR="0019520A">
        <w:t>around 78 per cent</w:t>
      </w:r>
      <w:r>
        <w:t xml:space="preserve"> of students </w:t>
      </w:r>
      <w:r w:rsidR="0019520A">
        <w:t xml:space="preserve">responding to our survey reported </w:t>
      </w:r>
      <w:r>
        <w:t>receiv</w:t>
      </w:r>
      <w:r w:rsidR="0019520A">
        <w:t>ing</w:t>
      </w:r>
      <w:r>
        <w:t xml:space="preserve"> assistance or information to assist with life after school </w:t>
      </w:r>
      <w:r w:rsidR="0019520A">
        <w:t xml:space="preserve">from sources </w:t>
      </w:r>
      <w:r>
        <w:t xml:space="preserve">other </w:t>
      </w:r>
      <w:r w:rsidR="006C404E">
        <w:t xml:space="preserve">than </w:t>
      </w:r>
      <w:r>
        <w:t>school</w:t>
      </w:r>
      <w:r w:rsidR="004C4DE5">
        <w:t xml:space="preserve"> (82</w:t>
      </w:r>
      <w:r w:rsidR="0019520A">
        <w:t xml:space="preserve"> respondents). O</w:t>
      </w:r>
      <w:r>
        <w:t>f these</w:t>
      </w:r>
      <w:r w:rsidR="0019520A">
        <w:t>,</w:t>
      </w:r>
      <w:r>
        <w:t xml:space="preserve"> the most common assistance was from NDIS provider</w:t>
      </w:r>
      <w:r w:rsidR="0019520A">
        <w:t>s</w:t>
      </w:r>
      <w:r>
        <w:t xml:space="preserve"> or disability provider</w:t>
      </w:r>
      <w:r w:rsidR="0019520A">
        <w:t>s</w:t>
      </w:r>
      <w:r>
        <w:t>, followed by disability employment service provider</w:t>
      </w:r>
      <w:r w:rsidR="0019520A">
        <w:t xml:space="preserve">s (see Table </w:t>
      </w:r>
      <w:r w:rsidR="003D19C9">
        <w:t>9</w:t>
      </w:r>
      <w:r w:rsidR="006C404E">
        <w:t xml:space="preserve"> in Appendix A</w:t>
      </w:r>
      <w:r w:rsidR="0019520A">
        <w:t>)</w:t>
      </w:r>
      <w:r>
        <w:t xml:space="preserve">. Other responses include assistance from </w:t>
      </w:r>
      <w:r w:rsidR="0019520A">
        <w:t>relevant government departments</w:t>
      </w:r>
      <w:r>
        <w:t xml:space="preserve">, NDIS </w:t>
      </w:r>
      <w:r w:rsidR="0019520A">
        <w:t>p</w:t>
      </w:r>
      <w:r>
        <w:t>lan manager</w:t>
      </w:r>
      <w:r w:rsidR="0019520A">
        <w:t>s</w:t>
      </w:r>
      <w:r>
        <w:t xml:space="preserve">, </w:t>
      </w:r>
      <w:r w:rsidR="0019520A">
        <w:t xml:space="preserve">the </w:t>
      </w:r>
      <w:r>
        <w:t xml:space="preserve">NDIS </w:t>
      </w:r>
      <w:r w:rsidR="0019520A" w:rsidRPr="0019520A">
        <w:t>School Leaver Employment Supports</w:t>
      </w:r>
      <w:r w:rsidR="0019520A">
        <w:t xml:space="preserve"> (</w:t>
      </w:r>
      <w:r>
        <w:t>SLES</w:t>
      </w:r>
      <w:r w:rsidR="0019520A">
        <w:t>)</w:t>
      </w:r>
      <w:r>
        <w:t xml:space="preserve"> program</w:t>
      </w:r>
      <w:r w:rsidR="0019520A">
        <w:t xml:space="preserve">, and </w:t>
      </w:r>
      <w:r>
        <w:t>specialist employment</w:t>
      </w:r>
      <w:r w:rsidR="0019520A" w:rsidRPr="0019520A">
        <w:t xml:space="preserve"> </w:t>
      </w:r>
      <w:r w:rsidR="0019520A">
        <w:t>support</w:t>
      </w:r>
      <w:r>
        <w:t>.</w:t>
      </w:r>
    </w:p>
    <w:p w14:paraId="1C90E631" w14:textId="77777777" w:rsidR="00115708" w:rsidRDefault="00646A4D">
      <w:r>
        <w:t>In line with evidence that shows the importance of interagency collaboration during post-school planning,</w:t>
      </w:r>
      <w:r>
        <w:rPr>
          <w:rStyle w:val="FootnoteReference"/>
        </w:rPr>
        <w:footnoteReference w:id="18"/>
      </w:r>
      <w:r>
        <w:t xml:space="preserve"> </w:t>
      </w:r>
      <w:r w:rsidR="00017775">
        <w:t xml:space="preserve">CYDA recommends </w:t>
      </w:r>
      <w:r>
        <w:t>relevant organisations</w:t>
      </w:r>
      <w:r w:rsidRPr="00646A4D">
        <w:t xml:space="preserve"> </w:t>
      </w:r>
      <w:r>
        <w:t xml:space="preserve">be included in planning activities, and that independent advice is also provided and promoted. </w:t>
      </w:r>
    </w:p>
    <w:p w14:paraId="3F158145" w14:textId="77777777" w:rsidR="00115708" w:rsidRDefault="00115708"/>
    <w:p w14:paraId="370D085D" w14:textId="2FACB7B4" w:rsidR="00115708" w:rsidRDefault="00115708" w:rsidP="00115708">
      <w:pPr>
        <w:pStyle w:val="Heading2"/>
      </w:pPr>
      <w:r>
        <w:t xml:space="preserve">Ensure students with disability receive the same </w:t>
      </w:r>
      <w:r w:rsidR="005B7F0C">
        <w:t xml:space="preserve">post-school </w:t>
      </w:r>
      <w:r>
        <w:t>transition support as their non-disabled peers</w:t>
      </w:r>
    </w:p>
    <w:p w14:paraId="7FE8CBB6" w14:textId="12DBAF72" w:rsidR="00646A4D" w:rsidRDefault="00CB03FD">
      <w:r>
        <w:t>In fully inclusive schools, students with dis</w:t>
      </w:r>
      <w:r w:rsidR="00115708">
        <w:t>ability should be included in high expectations career and educational planning in the same way as their non-disabled peers</w:t>
      </w:r>
      <w:r w:rsidR="00646A4D">
        <w:t>.</w:t>
      </w:r>
      <w:r w:rsidR="00115708">
        <w:t xml:space="preserve"> This includes ensuring all the options that are available to their non-disabled peers are promoted to students with disability. Overcoming the barriers to post-school options and employment for students with disability will require intensive effort. While segregated education exists, an examination of the post school transition support provided to these students need to be undertaken to address low expectations and ensure they are provided with the full suite of options.  </w:t>
      </w:r>
    </w:p>
    <w:p w14:paraId="20DBFE0E" w14:textId="77777777" w:rsidR="00017775" w:rsidRDefault="00017775" w:rsidP="00017775"/>
    <w:p w14:paraId="32AE1928" w14:textId="476E8929" w:rsidR="00017775" w:rsidRDefault="00017775" w:rsidP="00017775">
      <w:pPr>
        <w:pStyle w:val="Heading1"/>
      </w:pPr>
      <w:bookmarkStart w:id="6" w:name="_Toc27818912"/>
      <w:r>
        <w:t xml:space="preserve">Deliver strong outcomes for students </w:t>
      </w:r>
      <w:r w:rsidR="005B7F0C">
        <w:t xml:space="preserve">with disability </w:t>
      </w:r>
      <w:r>
        <w:t>after school</w:t>
      </w:r>
      <w:bookmarkEnd w:id="6"/>
    </w:p>
    <w:p w14:paraId="5C07E49A" w14:textId="77777777" w:rsidR="00FD5CAD" w:rsidRPr="00ED6D31" w:rsidRDefault="00FD5CAD" w:rsidP="00FD5CAD">
      <w:pPr>
        <w:keepNext/>
      </w:pPr>
    </w:p>
    <w:p w14:paraId="35D9D651" w14:textId="77777777" w:rsidR="00FD5CAD" w:rsidRPr="00ED6D31" w:rsidRDefault="00FD5CAD" w:rsidP="00FD5CAD">
      <w:pPr>
        <w:keepNext/>
        <w:pBdr>
          <w:top w:val="single" w:sz="12" w:space="1" w:color="ED7D31" w:themeColor="accent2"/>
          <w:left w:val="single" w:sz="12" w:space="4" w:color="ED7D31" w:themeColor="accent2"/>
          <w:bottom w:val="single" w:sz="12" w:space="1" w:color="ED7D31" w:themeColor="accent2"/>
          <w:right w:val="single" w:sz="12" w:space="4" w:color="ED7D31" w:themeColor="accent2"/>
        </w:pBdr>
        <w:ind w:left="360"/>
        <w:rPr>
          <w:b/>
        </w:rPr>
      </w:pPr>
      <w:r>
        <w:rPr>
          <w:b/>
        </w:rPr>
        <w:t>Recommendations</w:t>
      </w:r>
    </w:p>
    <w:p w14:paraId="00FFAA43" w14:textId="77777777" w:rsidR="00FD5CAD" w:rsidRDefault="00FD5CAD" w:rsidP="00FD5CAD">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Provide support for young people with disability for the first five years after school</w:t>
      </w:r>
    </w:p>
    <w:p w14:paraId="6B336EBB" w14:textId="2679BB43" w:rsidR="00FD5CAD" w:rsidRDefault="00FD5CAD" w:rsidP="00FD5CAD">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 xml:space="preserve">Monitor outcomes of engagement in education, training and employment for students </w:t>
      </w:r>
      <w:r w:rsidR="00B21CDF">
        <w:t xml:space="preserve">and young people </w:t>
      </w:r>
      <w:r>
        <w:t>with disability</w:t>
      </w:r>
    </w:p>
    <w:p w14:paraId="2F2BE416" w14:textId="0202AFDD" w:rsidR="00FD5CAD" w:rsidRDefault="00FD5CAD" w:rsidP="00FD5CAD">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 xml:space="preserve">Develop a national strategy and framework to increase participation of students </w:t>
      </w:r>
      <w:r w:rsidR="00B21CDF">
        <w:t xml:space="preserve">and young people </w:t>
      </w:r>
      <w:r>
        <w:t xml:space="preserve">with disability in general </w:t>
      </w:r>
      <w:r w:rsidR="00B21CDF">
        <w:t xml:space="preserve">‘open’ </w:t>
      </w:r>
      <w:r>
        <w:t xml:space="preserve">labour </w:t>
      </w:r>
      <w:r w:rsidR="006A3486">
        <w:t>force, higher education and VET</w:t>
      </w:r>
    </w:p>
    <w:p w14:paraId="3C216B35" w14:textId="691A9364" w:rsidR="006A3486" w:rsidRDefault="006A3486" w:rsidP="00FD5CAD">
      <w:pPr>
        <w:pStyle w:val="ListParagraph"/>
        <w:keepNext/>
        <w:numPr>
          <w:ilvl w:val="0"/>
          <w:numId w:val="22"/>
        </w:numPr>
        <w:pBdr>
          <w:top w:val="single" w:sz="12" w:space="1" w:color="ED7D31" w:themeColor="accent2"/>
          <w:left w:val="single" w:sz="12" w:space="4" w:color="ED7D31" w:themeColor="accent2"/>
          <w:bottom w:val="single" w:sz="12" w:space="1" w:color="ED7D31" w:themeColor="accent2"/>
          <w:right w:val="single" w:sz="12" w:space="4" w:color="ED7D31" w:themeColor="accent2"/>
        </w:pBdr>
      </w:pPr>
      <w:r>
        <w:t>Review the disadvantage young people with disability face with income support.</w:t>
      </w:r>
    </w:p>
    <w:p w14:paraId="41D9F171" w14:textId="77777777" w:rsidR="00D23EA3" w:rsidRDefault="00D23EA3" w:rsidP="00D23EA3"/>
    <w:p w14:paraId="61104089" w14:textId="3D0B5705" w:rsidR="00FD5CAD" w:rsidRPr="00D23EA3" w:rsidRDefault="00115708" w:rsidP="00FD5CAD">
      <w:pPr>
        <w:pStyle w:val="Heading2"/>
      </w:pPr>
      <w:r>
        <w:t>Deliver e</w:t>
      </w:r>
      <w:r w:rsidR="00FD5CAD">
        <w:t>mployment outcomes for young people with disability</w:t>
      </w:r>
    </w:p>
    <w:p w14:paraId="4788A25C" w14:textId="77777777" w:rsidR="003D449C" w:rsidRPr="00385D76" w:rsidRDefault="003D449C" w:rsidP="00374F54">
      <w:r>
        <w:t xml:space="preserve">Inclusion begins at school. School systems that promote segregation and exclusion contribute to continued educational, economic and social exclusion for people with disability throughout their lives. </w:t>
      </w:r>
      <w:r w:rsidR="00E704C5">
        <w:t>Early school leaving and the disengagement of students with disability in post-school pathways also an impact on the Australian economy, with direct fiscal and social costs, such as higher reliance on welfare and government health programs, reduced tax payments and productivity losses.</w:t>
      </w:r>
      <w:r w:rsidR="00E704C5">
        <w:rPr>
          <w:rStyle w:val="FootnoteReference"/>
        </w:rPr>
        <w:footnoteReference w:id="19"/>
      </w:r>
      <w:r w:rsidR="00E704C5">
        <w:t xml:space="preserve"> </w:t>
      </w:r>
      <w:r w:rsidR="004D020A">
        <w:t>In order to improve post-school outcomes for students with disability, it will be important for the current review to take into account the attitudinal, structural and systemic issues facing these students and young people.</w:t>
      </w:r>
      <w:r w:rsidR="00E704C5">
        <w:t xml:space="preserve"> </w:t>
      </w:r>
    </w:p>
    <w:p w14:paraId="5FC96E0D" w14:textId="77777777" w:rsidR="00A905C4" w:rsidRDefault="00A905C4" w:rsidP="004206E5">
      <w:r w:rsidRPr="008434C4">
        <w:t>Compared with other OECD</w:t>
      </w:r>
      <w:r w:rsidRPr="00B66933">
        <w:rPr>
          <w:rStyle w:val="FootnoteReference"/>
          <w:rFonts w:cs="Arial"/>
          <w:sz w:val="20"/>
          <w:szCs w:val="20"/>
        </w:rPr>
        <w:footnoteReference w:id="20"/>
      </w:r>
      <w:r w:rsidRPr="008434C4">
        <w:t xml:space="preserve"> countries, </w:t>
      </w:r>
      <w:r w:rsidRPr="003062BD">
        <w:rPr>
          <w:color w:val="000000" w:themeColor="text1"/>
        </w:rPr>
        <w:t>Australia has one of the lowest employment participation rates for people with disability</w:t>
      </w:r>
      <w:r w:rsidRPr="00B66933">
        <w:rPr>
          <w:rStyle w:val="FootnoteReference"/>
          <w:rFonts w:cs="Arial"/>
          <w:color w:val="000000" w:themeColor="text1"/>
          <w:sz w:val="20"/>
          <w:szCs w:val="20"/>
        </w:rPr>
        <w:footnoteReference w:id="21"/>
      </w:r>
      <w:r>
        <w:rPr>
          <w:color w:val="000000" w:themeColor="text1"/>
        </w:rPr>
        <w:t>.</w:t>
      </w:r>
      <w:r w:rsidRPr="003062BD">
        <w:rPr>
          <w:color w:val="000000" w:themeColor="text1"/>
        </w:rPr>
        <w:t xml:space="preserve"> </w:t>
      </w:r>
      <w:r w:rsidRPr="008434C4">
        <w:t xml:space="preserve">Only </w:t>
      </w:r>
      <w:r w:rsidR="00C76DB3">
        <w:t>nine per cent</w:t>
      </w:r>
      <w:r w:rsidRPr="008434C4">
        <w:t xml:space="preserve"> of people with disability report they have the same employment opportunities as other people</w:t>
      </w:r>
      <w:r w:rsidR="00374F54">
        <w:t>,</w:t>
      </w:r>
      <w:r w:rsidRPr="00B66933">
        <w:rPr>
          <w:rStyle w:val="FootnoteReference"/>
          <w:rFonts w:cs="Arial"/>
          <w:sz w:val="20"/>
          <w:szCs w:val="20"/>
        </w:rPr>
        <w:footnoteReference w:id="22"/>
      </w:r>
      <w:r w:rsidRPr="008434C4">
        <w:t xml:space="preserve"> </w:t>
      </w:r>
      <w:r w:rsidR="004206E5">
        <w:t>and c</w:t>
      </w:r>
      <w:r w:rsidRPr="008434C4">
        <w:t>omplaints about discrimination in employment make up a significant proportion of all disability discrimination complaints made to Australian anti-discrimination agencies.</w:t>
      </w:r>
      <w:r w:rsidRPr="009E068D">
        <w:rPr>
          <w:rStyle w:val="FootnoteReference"/>
          <w:rFonts w:cs="Arial"/>
          <w:sz w:val="20"/>
          <w:szCs w:val="20"/>
        </w:rPr>
        <w:footnoteReference w:id="23"/>
      </w:r>
    </w:p>
    <w:p w14:paraId="4D8FBF44" w14:textId="77777777" w:rsidR="00A601A8" w:rsidRDefault="00A905C4" w:rsidP="00A601A8">
      <w:pPr>
        <w:rPr>
          <w:rFonts w:cs="Arial"/>
          <w:lang w:val="en-US"/>
        </w:rPr>
      </w:pPr>
      <w:r>
        <w:rPr>
          <w:rFonts w:cs="Arial"/>
        </w:rPr>
        <w:t xml:space="preserve">The youth unemployment rate in Australia </w:t>
      </w:r>
      <w:r w:rsidR="004206E5">
        <w:rPr>
          <w:rFonts w:cs="Arial"/>
        </w:rPr>
        <w:t>remains stubbornly high at</w:t>
      </w:r>
      <w:r>
        <w:rPr>
          <w:rFonts w:cs="Arial"/>
        </w:rPr>
        <w:t xml:space="preserve"> </w:t>
      </w:r>
      <w:r w:rsidRPr="0040228E">
        <w:rPr>
          <w:rFonts w:cs="Arial"/>
        </w:rPr>
        <w:t>11.2</w:t>
      </w:r>
      <w:r w:rsidR="004206E5">
        <w:rPr>
          <w:rFonts w:cs="Arial"/>
        </w:rPr>
        <w:t xml:space="preserve"> per cent</w:t>
      </w:r>
      <w:r w:rsidRPr="0040228E">
        <w:rPr>
          <w:rFonts w:cs="Arial"/>
        </w:rPr>
        <w:t xml:space="preserve"> for </w:t>
      </w:r>
      <w:r w:rsidR="004206E5">
        <w:rPr>
          <w:rFonts w:cs="Arial"/>
        </w:rPr>
        <w:t>people</w:t>
      </w:r>
      <w:r w:rsidRPr="0040228E">
        <w:rPr>
          <w:rFonts w:cs="Arial"/>
        </w:rPr>
        <w:t xml:space="preserve"> </w:t>
      </w:r>
      <w:r w:rsidR="004206E5" w:rsidRPr="0040228E">
        <w:rPr>
          <w:rFonts w:cs="Arial"/>
        </w:rPr>
        <w:t xml:space="preserve">in the labour force </w:t>
      </w:r>
      <w:r w:rsidRPr="0040228E">
        <w:rPr>
          <w:rFonts w:cs="Arial"/>
        </w:rPr>
        <w:t>aged 15 to 24</w:t>
      </w:r>
      <w:r w:rsidR="004206E5">
        <w:rPr>
          <w:rFonts w:cs="Arial"/>
        </w:rPr>
        <w:t xml:space="preserve"> years – </w:t>
      </w:r>
      <w:r w:rsidRPr="0040228E">
        <w:rPr>
          <w:rFonts w:cs="Arial"/>
        </w:rPr>
        <w:t xml:space="preserve">more than twice Australia’s overall unemployment rate </w:t>
      </w:r>
      <w:r w:rsidR="004206E5">
        <w:rPr>
          <w:rFonts w:cs="Arial"/>
        </w:rPr>
        <w:t>of five per cent</w:t>
      </w:r>
      <w:r>
        <w:rPr>
          <w:rFonts w:cs="Arial"/>
        </w:rPr>
        <w:t>.</w:t>
      </w:r>
      <w:r>
        <w:rPr>
          <w:rStyle w:val="FootnoteReference"/>
          <w:rFonts w:cs="Arial"/>
        </w:rPr>
        <w:footnoteReference w:id="24"/>
      </w:r>
      <w:r>
        <w:rPr>
          <w:rFonts w:cs="Arial"/>
        </w:rPr>
        <w:t xml:space="preserve"> Unemployment for young people with disability is not well measured, but </w:t>
      </w:r>
      <w:r w:rsidR="004206E5">
        <w:rPr>
          <w:rFonts w:cs="Arial"/>
        </w:rPr>
        <w:t>is likely to</w:t>
      </w:r>
      <w:r>
        <w:rPr>
          <w:rFonts w:cs="Arial"/>
        </w:rPr>
        <w:t xml:space="preserve"> be considerably higher as </w:t>
      </w:r>
      <w:r w:rsidRPr="00611133">
        <w:rPr>
          <w:rFonts w:cs="Arial"/>
          <w:lang w:val="en-US"/>
        </w:rPr>
        <w:t>Australia has one of the lowest employment participation rates for people with disability.</w:t>
      </w:r>
      <w:r w:rsidRPr="00611133">
        <w:rPr>
          <w:rFonts w:cs="Arial"/>
          <w:vertAlign w:val="superscript"/>
          <w:lang w:val="en-US"/>
        </w:rPr>
        <w:footnoteReference w:id="25"/>
      </w:r>
      <w:r w:rsidRPr="00611133">
        <w:rPr>
          <w:rFonts w:cs="Arial"/>
          <w:lang w:val="en-US"/>
        </w:rPr>
        <w:t xml:space="preserve"> </w:t>
      </w:r>
    </w:p>
    <w:p w14:paraId="1EA965AD" w14:textId="77777777" w:rsidR="00A905C4" w:rsidRDefault="00A601A8" w:rsidP="004206E5">
      <w:r>
        <w:t>According to the NDIS Employment Outcomes Report 2018, only 41 per cent of 15 to 24 year-olds have a paid job in open employment at full award wages, with a further 14 per cent in open employment at less than full award wages, and 35 per cent working in an Australia Disability Enterprise.</w:t>
      </w:r>
      <w:r>
        <w:rPr>
          <w:rStyle w:val="FootnoteReference"/>
        </w:rPr>
        <w:footnoteReference w:id="26"/>
      </w:r>
      <w:r>
        <w:t xml:space="preserve"> There is little evidence to date that the NDIS has improved employment outcomes for many people with disability, with an NDIS Participant Employment Taskforce established in early 2019</w:t>
      </w:r>
      <w:r>
        <w:rPr>
          <w:rStyle w:val="FootnoteReference"/>
        </w:rPr>
        <w:footnoteReference w:id="27"/>
      </w:r>
      <w:r>
        <w:t xml:space="preserve"> – for 15 to 24 year-olds this has increased from 15 to 18 per cent since the Scheme started. This means young people with disability are also likely to rely heavily on income support such as the Disability Support Pension, Newstart Allowance or Youth Allowance. </w:t>
      </w:r>
    </w:p>
    <w:p w14:paraId="463A7850" w14:textId="3AC4AEFC" w:rsidR="00B21CDF" w:rsidRPr="00A601A8" w:rsidRDefault="00B21CDF" w:rsidP="004206E5">
      <w:r>
        <w:t>Like segregated education, segregated employment in Australian Disability Employment ‘sheltered workshops’ constitutes a form of neglect of people’s rights. This is a topic we will be investigating further in our next submission to the Disability Royal Commission and be making extensive recommendations.</w:t>
      </w:r>
    </w:p>
    <w:p w14:paraId="63AE6CBF" w14:textId="7763BF59" w:rsidR="00B5429F" w:rsidRPr="00B83B88" w:rsidRDefault="001D359F" w:rsidP="00B5429F">
      <w:r>
        <w:t>Survey respondents who are no longer at school were asked about the activities th</w:t>
      </w:r>
      <w:r w:rsidR="00A905C4">
        <w:t>ey</w:t>
      </w:r>
      <w:r>
        <w:t xml:space="preserve"> are currently undertaking</w:t>
      </w:r>
      <w:r w:rsidR="00A905C4">
        <w:t>. Almost 30 per cent are currently working in some capacity (ranging</w:t>
      </w:r>
      <w:r w:rsidR="004A78E9">
        <w:t xml:space="preserve"> from full-time to casual), 22.9</w:t>
      </w:r>
      <w:r w:rsidR="00A905C4">
        <w:t xml:space="preserve"> per cent are undertaking vol</w:t>
      </w:r>
      <w:r w:rsidR="004A78E9">
        <w:t>unteer work, 21.6</w:t>
      </w:r>
      <w:r w:rsidR="00A905C4">
        <w:t xml:space="preserve"> per cent parti</w:t>
      </w:r>
      <w:r w:rsidR="004A78E9">
        <w:t>cipate in day programs, and 16.2</w:t>
      </w:r>
      <w:r w:rsidR="00A905C4">
        <w:t xml:space="preserve"> per cent are studying or training part time</w:t>
      </w:r>
      <w:r w:rsidR="00B43693">
        <w:t xml:space="preserve"> (Table 10, Appendix A)</w:t>
      </w:r>
      <w:r w:rsidR="00A905C4">
        <w:t xml:space="preserve">. </w:t>
      </w:r>
      <w:r w:rsidR="00A601A8">
        <w:t>However, less than half of the respondents who are currently in the labour force are working in open employment (Table 1</w:t>
      </w:r>
      <w:r w:rsidR="00B43693">
        <w:t>1</w:t>
      </w:r>
      <w:r w:rsidR="00A601A8">
        <w:t>, Appendix A)</w:t>
      </w:r>
      <w:r w:rsidR="004A78E9">
        <w:t>. Additionally, 40 per cent</w:t>
      </w:r>
      <w:r w:rsidR="00B5429F">
        <w:t xml:space="preserve"> of our survey respondents who are currently in work report that they are paid less than a full award wage (Table 1</w:t>
      </w:r>
      <w:r w:rsidR="00B43693">
        <w:t>2</w:t>
      </w:r>
      <w:r w:rsidR="00B5429F">
        <w:t xml:space="preserve">, Appendix A). </w:t>
      </w:r>
    </w:p>
    <w:p w14:paraId="358EBF7E" w14:textId="77777777" w:rsidR="00714CE7" w:rsidRDefault="00714CE7"/>
    <w:p w14:paraId="40551206" w14:textId="459073CA" w:rsidR="00FC09CD" w:rsidRDefault="00FC09CD" w:rsidP="00FC09CD">
      <w:pPr>
        <w:shd w:val="clear" w:color="auto" w:fill="A8D08D" w:themeFill="accent6" w:themeFillTint="99"/>
        <w:ind w:left="567" w:right="567"/>
        <w:rPr>
          <w:sz w:val="20"/>
          <w:szCs w:val="20"/>
        </w:rPr>
      </w:pPr>
      <w:r>
        <w:rPr>
          <w:sz w:val="20"/>
          <w:szCs w:val="20"/>
        </w:rPr>
        <w:t>“</w:t>
      </w:r>
      <w:r w:rsidRPr="00FC09CD">
        <w:rPr>
          <w:sz w:val="20"/>
          <w:szCs w:val="20"/>
        </w:rPr>
        <w:t>Currently in open employment. However, after graduating from my degree, I spent about 1 year in unemployment and on Centrelink, with Job Active reporting requirements. I believe disability discrimination was a barrier to employment. Due to my disability type (mental health) did not even bother trying to go through DSP, went onto Newstart and was tormented by Centrelink staff and Job Active providers, making me more unwell, and destroying my confidence. However, have been in work since.</w:t>
      </w:r>
      <w:r>
        <w:rPr>
          <w:sz w:val="20"/>
          <w:szCs w:val="20"/>
        </w:rPr>
        <w:t xml:space="preserve">” </w:t>
      </w:r>
      <w:r w:rsidR="00FD5CAD">
        <w:rPr>
          <w:sz w:val="20"/>
          <w:szCs w:val="20"/>
        </w:rPr>
        <w:t xml:space="preserve">- </w:t>
      </w:r>
      <w:r w:rsidR="004A78E9">
        <w:rPr>
          <w:sz w:val="20"/>
          <w:szCs w:val="20"/>
        </w:rPr>
        <w:t>Young</w:t>
      </w:r>
      <w:r w:rsidRPr="00FC09CD">
        <w:rPr>
          <w:sz w:val="20"/>
          <w:szCs w:val="20"/>
        </w:rPr>
        <w:t xml:space="preserve"> person with disability over 25 years old</w:t>
      </w:r>
      <w:r w:rsidR="00FD5CAD">
        <w:rPr>
          <w:sz w:val="20"/>
          <w:szCs w:val="20"/>
        </w:rPr>
        <w:t>, m</w:t>
      </w:r>
      <w:r w:rsidRPr="00FC09CD">
        <w:rPr>
          <w:sz w:val="20"/>
          <w:szCs w:val="20"/>
        </w:rPr>
        <w:t>etropolitan VIC</w:t>
      </w:r>
    </w:p>
    <w:p w14:paraId="1AA15470" w14:textId="77777777" w:rsidR="00A601A8" w:rsidRDefault="00A601A8" w:rsidP="008434C4"/>
    <w:p w14:paraId="3A310183" w14:textId="515F056B" w:rsidR="00FD5CAD" w:rsidRDefault="006A3486" w:rsidP="00FD5CAD">
      <w:pPr>
        <w:pStyle w:val="Heading2"/>
      </w:pPr>
      <w:r>
        <w:t>Review i</w:t>
      </w:r>
      <w:r w:rsidR="00FD5CAD">
        <w:t>ncome support programs</w:t>
      </w:r>
      <w:r>
        <w:t xml:space="preserve"> for young people with disability</w:t>
      </w:r>
    </w:p>
    <w:p w14:paraId="0513DA9B" w14:textId="77777777" w:rsidR="009C18B0" w:rsidRDefault="009C18B0" w:rsidP="009C18B0">
      <w:pPr>
        <w:spacing w:before="240"/>
      </w:pPr>
      <w:r>
        <w:t>Nearly half of young people with disability aged 15 to 24 years (49 per cent) rely on income support payments, compared to 14 per cent of people aged 15 to 24 years without a disability.</w:t>
      </w:r>
      <w:r>
        <w:rPr>
          <w:rStyle w:val="FootnoteReference"/>
        </w:rPr>
        <w:footnoteReference w:id="28"/>
      </w:r>
      <w:r>
        <w:t xml:space="preserve">. Changes to the eligibility criteria for the Disability Support Pension (DSP) since 2012 </w:t>
      </w:r>
      <w:r w:rsidR="00B5429F">
        <w:t xml:space="preserve">mean that many young people must instead </w:t>
      </w:r>
      <w:r>
        <w:t xml:space="preserve">apply </w:t>
      </w:r>
      <w:r w:rsidR="00B5429F">
        <w:t>for</w:t>
      </w:r>
      <w:r>
        <w:t xml:space="preserve"> Newstart </w:t>
      </w:r>
      <w:r w:rsidR="00B5429F">
        <w:t>or Youth A</w:t>
      </w:r>
      <w:r>
        <w:t>llowance</w:t>
      </w:r>
      <w:r w:rsidR="00B5429F">
        <w:t>, which provide a significantly lower rate of pay than the DSP.</w:t>
      </w:r>
      <w:r>
        <w:rPr>
          <w:rStyle w:val="FootnoteReference"/>
        </w:rPr>
        <w:footnoteReference w:id="29"/>
      </w:r>
      <w:r w:rsidR="00B5429F">
        <w:rPr>
          <w:vertAlign w:val="superscript"/>
        </w:rPr>
        <w:t>,</w:t>
      </w:r>
      <w:r>
        <w:rPr>
          <w:rStyle w:val="FootnoteReference"/>
        </w:rPr>
        <w:footnoteReference w:id="30"/>
      </w:r>
      <w:r w:rsidR="00B5429F">
        <w:rPr>
          <w:vertAlign w:val="superscript"/>
        </w:rPr>
        <w:t>,</w:t>
      </w:r>
      <w:r>
        <w:rPr>
          <w:rStyle w:val="FootnoteReference"/>
        </w:rPr>
        <w:footnoteReference w:id="31"/>
      </w:r>
      <w:r>
        <w:t xml:space="preserve">. </w:t>
      </w:r>
    </w:p>
    <w:p w14:paraId="65B621E1" w14:textId="402EFE7B" w:rsidR="00E70B9C" w:rsidRPr="00E70B9C" w:rsidRDefault="00E70B9C" w:rsidP="008434C4">
      <w:r w:rsidRPr="00E70B9C">
        <w:t xml:space="preserve">A </w:t>
      </w:r>
      <w:r>
        <w:t xml:space="preserve">total of </w:t>
      </w:r>
      <w:r w:rsidR="004A78E9">
        <w:t>54.7</w:t>
      </w:r>
      <w:r w:rsidR="00B5429F">
        <w:t xml:space="preserve"> per cent</w:t>
      </w:r>
      <w:r w:rsidRPr="00E70B9C">
        <w:rPr>
          <w:color w:val="FF0000"/>
        </w:rPr>
        <w:t xml:space="preserve"> </w:t>
      </w:r>
      <w:r w:rsidRPr="00E70B9C">
        <w:t>of CYDA survey respondents receive income support payments</w:t>
      </w:r>
      <w:r w:rsidR="00B5429F">
        <w:t>,</w:t>
      </w:r>
      <w:r w:rsidR="00AD4467">
        <w:t xml:space="preserve"> with </w:t>
      </w:r>
      <w:r w:rsidR="00B5429F">
        <w:t xml:space="preserve">DSP the most common of these. </w:t>
      </w:r>
      <w:r w:rsidR="00AD4467">
        <w:t>A significant portion of survey respondents do not receive any i</w:t>
      </w:r>
      <w:r w:rsidR="00C800DF">
        <w:t xml:space="preserve">ncome support payments (Table </w:t>
      </w:r>
      <w:r w:rsidR="006E2DA0">
        <w:t>1</w:t>
      </w:r>
      <w:r w:rsidR="00B43693">
        <w:t>3</w:t>
      </w:r>
      <w:r w:rsidR="00B5429F">
        <w:t>, Appendix A</w:t>
      </w:r>
      <w:r w:rsidR="00AD4467">
        <w:t>)</w:t>
      </w:r>
      <w:r w:rsidR="00B5429F">
        <w:t>.</w:t>
      </w:r>
    </w:p>
    <w:p w14:paraId="173EB013" w14:textId="2A97074B" w:rsidR="00B5429F" w:rsidRDefault="00D355CF" w:rsidP="008434C4">
      <w:r>
        <w:t xml:space="preserve">As at June 2019, </w:t>
      </w:r>
      <w:r w:rsidR="00B5429F">
        <w:t xml:space="preserve">data shows that </w:t>
      </w:r>
      <w:r w:rsidR="00DA401C">
        <w:t>approximately 10.5</w:t>
      </w:r>
      <w:r w:rsidR="00B5429F">
        <w:t xml:space="preserve"> per cent of</w:t>
      </w:r>
      <w:r w:rsidR="00DA401C">
        <w:t xml:space="preserve"> </w:t>
      </w:r>
      <w:r w:rsidR="00B5429F">
        <w:t>all recipients of Newstart and Youth Allowance –</w:t>
      </w:r>
      <w:r w:rsidR="00DA401C">
        <w:t xml:space="preserve"> 31</w:t>
      </w:r>
      <w:r w:rsidR="00B5429F">
        <w:t>,</w:t>
      </w:r>
      <w:r w:rsidR="00DA401C">
        <w:t>798</w:t>
      </w:r>
      <w:r w:rsidR="00B5429F">
        <w:t xml:space="preserve"> people – </w:t>
      </w:r>
      <w:r w:rsidR="00015374">
        <w:t>are</w:t>
      </w:r>
      <w:r w:rsidR="001919A1">
        <w:t xml:space="preserve"> people with a partial capacity to work from illness or disability</w:t>
      </w:r>
      <w:r w:rsidR="009663E3">
        <w:t>, however,</w:t>
      </w:r>
      <w:r w:rsidR="001919A1">
        <w:t xml:space="preserve"> this</w:t>
      </w:r>
      <w:r w:rsidR="00A0232A">
        <w:t xml:space="preserve"> public data</w:t>
      </w:r>
      <w:r w:rsidR="001919A1">
        <w:t xml:space="preserve"> is not broken down by age. </w:t>
      </w:r>
      <w:r w:rsidR="00B5429F">
        <w:t xml:space="preserve">Data obtained </w:t>
      </w:r>
      <w:r w:rsidR="005B7F0C">
        <w:t xml:space="preserve">by CYDA from the Department of Social Services </w:t>
      </w:r>
      <w:r w:rsidR="00B5429F">
        <w:t>shows that:</w:t>
      </w:r>
    </w:p>
    <w:p w14:paraId="5AF57BA1" w14:textId="77777777" w:rsidR="00B5429F" w:rsidRDefault="00B5429F" w:rsidP="00B5429F">
      <w:pPr>
        <w:pStyle w:val="ListParagraph"/>
        <w:numPr>
          <w:ilvl w:val="0"/>
          <w:numId w:val="37"/>
        </w:numPr>
      </w:pPr>
      <w:r>
        <w:t xml:space="preserve">The number of </w:t>
      </w:r>
      <w:r w:rsidR="00570085">
        <w:t>New</w:t>
      </w:r>
      <w:r w:rsidR="009238BA">
        <w:t xml:space="preserve">start </w:t>
      </w:r>
      <w:r w:rsidR="00570085">
        <w:t xml:space="preserve">recipients </w:t>
      </w:r>
      <w:r>
        <w:t>aged between</w:t>
      </w:r>
      <w:r w:rsidR="00570085">
        <w:t xml:space="preserve"> 20 and 25 years</w:t>
      </w:r>
      <w:r>
        <w:t xml:space="preserve"> </w:t>
      </w:r>
      <w:r w:rsidR="00570085">
        <w:t>with</w:t>
      </w:r>
      <w:r>
        <w:t xml:space="preserve"> </w:t>
      </w:r>
      <w:r w:rsidR="00570085">
        <w:t xml:space="preserve">partial capacity to work </w:t>
      </w:r>
      <w:r>
        <w:t xml:space="preserve">has increased by 258 per cent in the decade from 2009, growing from </w:t>
      </w:r>
      <w:r w:rsidR="00570085">
        <w:t>5</w:t>
      </w:r>
      <w:r>
        <w:t>,</w:t>
      </w:r>
      <w:r w:rsidR="00570085">
        <w:t>308</w:t>
      </w:r>
      <w:r>
        <w:t xml:space="preserve"> in 2009 to</w:t>
      </w:r>
      <w:r w:rsidR="00570085">
        <w:t xml:space="preserve"> 19</w:t>
      </w:r>
      <w:r>
        <w:t>,</w:t>
      </w:r>
      <w:r w:rsidR="00570085">
        <w:t>017 in 2019</w:t>
      </w:r>
    </w:p>
    <w:p w14:paraId="1694A835" w14:textId="77777777" w:rsidR="00B5429F" w:rsidRDefault="00B5429F" w:rsidP="00B5429F">
      <w:pPr>
        <w:pStyle w:val="ListParagraph"/>
        <w:numPr>
          <w:ilvl w:val="0"/>
          <w:numId w:val="37"/>
        </w:numPr>
      </w:pPr>
      <w:r>
        <w:t xml:space="preserve">The number of </w:t>
      </w:r>
      <w:r w:rsidR="00376C91">
        <w:t xml:space="preserve">Youth Allowance recipients under 19 years old </w:t>
      </w:r>
      <w:r>
        <w:t>with</w:t>
      </w:r>
      <w:r w:rsidR="00376C91">
        <w:t xml:space="preserve"> partial capacity to work has increased </w:t>
      </w:r>
      <w:r>
        <w:t xml:space="preserve">by </w:t>
      </w:r>
      <w:r w:rsidR="00376C91" w:rsidRPr="00A72D0B">
        <w:t>121</w:t>
      </w:r>
      <w:r w:rsidR="00A72D0B" w:rsidRPr="00A72D0B">
        <w:t>.8</w:t>
      </w:r>
      <w:r>
        <w:t xml:space="preserve"> per cent, from </w:t>
      </w:r>
      <w:r w:rsidR="00376C91">
        <w:t>2</w:t>
      </w:r>
      <w:r>
        <w:t>,</w:t>
      </w:r>
      <w:r w:rsidR="00376C91">
        <w:t>299 in 2009 to 5</w:t>
      </w:r>
      <w:r>
        <w:t>,</w:t>
      </w:r>
      <w:r w:rsidR="00376C91">
        <w:t>100 in 2019</w:t>
      </w:r>
    </w:p>
    <w:p w14:paraId="6005AF20" w14:textId="77777777" w:rsidR="00B5429F" w:rsidRDefault="00B5429F" w:rsidP="00B5429F">
      <w:pPr>
        <w:pStyle w:val="ListParagraph"/>
        <w:numPr>
          <w:ilvl w:val="0"/>
          <w:numId w:val="37"/>
        </w:numPr>
      </w:pPr>
      <w:r>
        <w:t>The number of Y</w:t>
      </w:r>
      <w:r w:rsidR="00425F1A">
        <w:t xml:space="preserve">outh </w:t>
      </w:r>
      <w:r>
        <w:t>A</w:t>
      </w:r>
      <w:r w:rsidR="00425F1A">
        <w:t>llowance recipients</w:t>
      </w:r>
      <w:r>
        <w:t xml:space="preserve"> aged between</w:t>
      </w:r>
      <w:r w:rsidR="00425F1A">
        <w:t xml:space="preserve"> 20 </w:t>
      </w:r>
      <w:r>
        <w:t>and</w:t>
      </w:r>
      <w:r w:rsidR="00425F1A">
        <w:t xml:space="preserve"> 25 years with partial capacity to work </w:t>
      </w:r>
      <w:r>
        <w:t xml:space="preserve">has </w:t>
      </w:r>
      <w:r w:rsidR="00425F1A">
        <w:t>increased</w:t>
      </w:r>
      <w:r>
        <w:t xml:space="preserve"> by</w:t>
      </w:r>
      <w:r w:rsidR="00425F1A">
        <w:t xml:space="preserve"> 720</w:t>
      </w:r>
      <w:r w:rsidR="00A72D0B">
        <w:t>.6</w:t>
      </w:r>
      <w:r>
        <w:t xml:space="preserve"> per cent, from 936 i</w:t>
      </w:r>
      <w:r w:rsidR="00425F1A">
        <w:t>n 2009 to 7</w:t>
      </w:r>
      <w:r>
        <w:t>,</w:t>
      </w:r>
      <w:r w:rsidR="00425F1A">
        <w:t>681 in 2019</w:t>
      </w:r>
    </w:p>
    <w:p w14:paraId="551C4F77" w14:textId="77777777" w:rsidR="00B5429F" w:rsidRDefault="00B5429F" w:rsidP="00750440">
      <w:pPr>
        <w:pStyle w:val="ListParagraph"/>
        <w:numPr>
          <w:ilvl w:val="0"/>
          <w:numId w:val="37"/>
        </w:numPr>
      </w:pPr>
      <w:r>
        <w:t>The number of DSP recipients under 19 years old has decreased by</w:t>
      </w:r>
      <w:r w:rsidR="00E751AF">
        <w:t xml:space="preserve"> </w:t>
      </w:r>
      <w:r w:rsidR="00A0232A">
        <w:t>24.8</w:t>
      </w:r>
      <w:r>
        <w:t xml:space="preserve"> per cent, from </w:t>
      </w:r>
      <w:r w:rsidR="00B822B7">
        <w:t>18</w:t>
      </w:r>
      <w:r>
        <w:t>,</w:t>
      </w:r>
      <w:r w:rsidR="00B822B7">
        <w:t xml:space="preserve">414 </w:t>
      </w:r>
      <w:r>
        <w:t xml:space="preserve">in 2009 </w:t>
      </w:r>
      <w:r w:rsidR="00B822B7">
        <w:t xml:space="preserve">to </w:t>
      </w:r>
      <w:r w:rsidR="00E751AF">
        <w:t>13</w:t>
      </w:r>
      <w:r>
        <w:t>,</w:t>
      </w:r>
      <w:r w:rsidR="00E751AF">
        <w:t>843 in 2019</w:t>
      </w:r>
    </w:p>
    <w:p w14:paraId="3A217733" w14:textId="77777777" w:rsidR="00E704C5" w:rsidRDefault="00B5429F" w:rsidP="00750440">
      <w:pPr>
        <w:pStyle w:val="ListParagraph"/>
        <w:numPr>
          <w:ilvl w:val="0"/>
          <w:numId w:val="37"/>
        </w:numPr>
      </w:pPr>
      <w:r>
        <w:t xml:space="preserve">The number of DSP recipients aged between 20 and 25 years has increased slightly, by 10.9 per cent, from </w:t>
      </w:r>
      <w:r w:rsidR="00B822B7">
        <w:t>36</w:t>
      </w:r>
      <w:r>
        <w:t>,</w:t>
      </w:r>
      <w:r w:rsidR="00B822B7">
        <w:t>128</w:t>
      </w:r>
      <w:r w:rsidR="00E751AF">
        <w:t xml:space="preserve"> in 2009 </w:t>
      </w:r>
      <w:r w:rsidR="00D355CF">
        <w:t>compared</w:t>
      </w:r>
      <w:r w:rsidR="00B822B7">
        <w:t xml:space="preserve"> to 40</w:t>
      </w:r>
      <w:r>
        <w:t>,</w:t>
      </w:r>
      <w:r w:rsidR="00B822B7">
        <w:t>092</w:t>
      </w:r>
      <w:r w:rsidR="00E751AF">
        <w:t xml:space="preserve"> in 2019</w:t>
      </w:r>
      <w:r w:rsidR="00E704C5">
        <w:t>.</w:t>
      </w:r>
    </w:p>
    <w:p w14:paraId="546A3247" w14:textId="5994178E" w:rsidR="006A3486" w:rsidRDefault="006A3486" w:rsidP="006A3486">
      <w:r>
        <w:t>These data are highlighted in Figures 2 and 3 in Appendix A.</w:t>
      </w:r>
    </w:p>
    <w:p w14:paraId="30E6B9BE" w14:textId="5EA9853A" w:rsidR="00787E78" w:rsidRDefault="006A3486" w:rsidP="00E704C5">
      <w:r>
        <w:t xml:space="preserve">Because of the barriers young people with disability face in employment, the disadvantage they face with income support and being forced to live in abject poverty needs to be addressed. The income support for young people with disability needs to be reviewed, to ensure they are assisted to find work appropriately. </w:t>
      </w:r>
    </w:p>
    <w:p w14:paraId="1E707C2D" w14:textId="77777777" w:rsidR="00E704C5" w:rsidRDefault="00E704C5" w:rsidP="00E704C5"/>
    <w:p w14:paraId="5C588F21" w14:textId="77777777" w:rsidR="00E704C5" w:rsidRDefault="00E704C5" w:rsidP="00E704C5">
      <w:pPr>
        <w:pStyle w:val="Heading2"/>
      </w:pPr>
      <w:r>
        <w:t>Access to further education</w:t>
      </w:r>
    </w:p>
    <w:p w14:paraId="4C77DB73" w14:textId="77777777" w:rsidR="00E704C5" w:rsidRDefault="00E704C5" w:rsidP="00E704C5">
      <w:r>
        <w:t xml:space="preserve">Students with disability continue to face significant barriers to accessing and participating in higher education. </w:t>
      </w:r>
      <w:r w:rsidRPr="00610B72">
        <w:t xml:space="preserve">Within the 15-65 year age group, only 17 per cent of people with disability have a bachelor degree or higher, compared to 30 per cent for individuals without disability. People with disability are more likely to have attained a </w:t>
      </w:r>
      <w:r>
        <w:t>c</w:t>
      </w:r>
      <w:r w:rsidRPr="00610B72">
        <w:t>ertificate</w:t>
      </w:r>
      <w:r>
        <w:t>-</w:t>
      </w:r>
      <w:r w:rsidRPr="00610B72">
        <w:t>level qualification (28.4 per cent) than those with</w:t>
      </w:r>
      <w:r>
        <w:t>out disability (22.5 per cent).</w:t>
      </w:r>
      <w:r>
        <w:rPr>
          <w:rStyle w:val="FootnoteReference"/>
        </w:rPr>
        <w:footnoteReference w:id="32"/>
      </w:r>
      <w:r>
        <w:t xml:space="preserve">. </w:t>
      </w:r>
    </w:p>
    <w:p w14:paraId="2D2AAB49" w14:textId="350FCA8C" w:rsidR="00E704C5" w:rsidRDefault="00E704C5" w:rsidP="00E704C5">
      <w:r>
        <w:t xml:space="preserve">The impact of exclusion and poor post-school planning opportunities on students’ further education is highlighted by our survey respondents. Almost half of our respondents have completed Year 12 but have not completed </w:t>
      </w:r>
      <w:r w:rsidR="00784F7E">
        <w:t>further education, and around 21</w:t>
      </w:r>
      <w:r>
        <w:t xml:space="preserve"> per cent have completed Year 10 or 11 as their highest educational attainment to date (Table 1</w:t>
      </w:r>
      <w:r w:rsidR="00A3312C">
        <w:t>4</w:t>
      </w:r>
      <w:r w:rsidR="00784F7E">
        <w:t xml:space="preserve"> in Appendix A). 13</w:t>
      </w:r>
      <w:r>
        <w:t xml:space="preserve"> per cent have completed some form of higher degree or certificate.</w:t>
      </w:r>
    </w:p>
    <w:p w14:paraId="58F9E78F" w14:textId="77777777" w:rsidR="007B1E49" w:rsidRDefault="00E704C5" w:rsidP="008434C4">
      <w:r>
        <w:t xml:space="preserve">Improving </w:t>
      </w:r>
      <w:r w:rsidR="00E55792">
        <w:t xml:space="preserve">participation </w:t>
      </w:r>
      <w:r>
        <w:t>rates for</w:t>
      </w:r>
      <w:r w:rsidR="00E55792">
        <w:t xml:space="preserve"> students with disability in employment, education and training</w:t>
      </w:r>
      <w:r>
        <w:t xml:space="preserve"> will require </w:t>
      </w:r>
      <w:r w:rsidR="00E55792">
        <w:t>review</w:t>
      </w:r>
      <w:r>
        <w:t>ing</w:t>
      </w:r>
      <w:r w:rsidR="00E55792">
        <w:t xml:space="preserve"> funding </w:t>
      </w:r>
      <w:r>
        <w:t>approaches to</w:t>
      </w:r>
      <w:r w:rsidR="00E55792">
        <w:t xml:space="preserve"> </w:t>
      </w:r>
      <w:r>
        <w:t xml:space="preserve">further education and </w:t>
      </w:r>
      <w:r w:rsidR="00E55792">
        <w:t>post</w:t>
      </w:r>
      <w:r>
        <w:t>-</w:t>
      </w:r>
      <w:r w:rsidR="00E55792">
        <w:t xml:space="preserve">school options. </w:t>
      </w:r>
      <w:r w:rsidR="00BB49FD">
        <w:t>A recent paper from the Mitchell Institute recommends addressing the different funding arrangements for universities and the VET sector, and reforming the Australia Qualifications Framework (AQF) to removing inappropriate hierarchies in the descriptions of VET and higher education. It also recommends including micro-credentials as a recognised short-term learning program in the AQF structure.</w:t>
      </w:r>
      <w:r w:rsidR="00BB49FD">
        <w:rPr>
          <w:rStyle w:val="FootnoteReference"/>
        </w:rPr>
        <w:footnoteReference w:id="33"/>
      </w:r>
      <w:r w:rsidR="00BB49FD">
        <w:t xml:space="preserve"> </w:t>
      </w:r>
      <w:r w:rsidR="00D63601">
        <w:t xml:space="preserve">CYDA </w:t>
      </w:r>
      <w:r w:rsidR="006971E3">
        <w:t xml:space="preserve">agrees </w:t>
      </w:r>
      <w:r w:rsidR="00BB49FD">
        <w:t>that</w:t>
      </w:r>
      <w:r w:rsidR="006971E3">
        <w:t xml:space="preserve"> </w:t>
      </w:r>
      <w:r w:rsidR="00BB49FD">
        <w:t>a new, more cohesive approach to funding the tertiary education sector is required, and urges the consideration of appropriate funding and support for students with disability as part of this.</w:t>
      </w:r>
    </w:p>
    <w:p w14:paraId="06354334" w14:textId="77777777" w:rsidR="00597ADA" w:rsidRDefault="00597ADA" w:rsidP="00F44BAE">
      <w:r>
        <w:br w:type="page"/>
      </w:r>
    </w:p>
    <w:p w14:paraId="445FC4BB" w14:textId="10967B94" w:rsidR="004515A0" w:rsidRDefault="00597ADA">
      <w:pPr>
        <w:pStyle w:val="Heading1"/>
      </w:pPr>
      <w:bookmarkStart w:id="7" w:name="_Toc27818913"/>
      <w:r>
        <w:t>Appendix A: Results from CYDA’s 2019 survey</w:t>
      </w:r>
      <w:r w:rsidR="00AE3F74">
        <w:t xml:space="preserve"> and supplementary information</w:t>
      </w:r>
      <w:bookmarkEnd w:id="7"/>
    </w:p>
    <w:p w14:paraId="730A496B" w14:textId="52B7E1D6" w:rsidR="004515A0" w:rsidRPr="00032F71" w:rsidRDefault="004515A0" w:rsidP="004515A0">
      <w:r>
        <w:t>CYDA conducted a national surv</w:t>
      </w:r>
      <w:r w:rsidR="00770F12">
        <w:t>ey between November</w:t>
      </w:r>
      <w:r>
        <w:t xml:space="preserve"> 2019</w:t>
      </w:r>
      <w:r w:rsidR="00770F12">
        <w:t xml:space="preserve"> and February 2020</w:t>
      </w:r>
      <w:r w:rsidR="00AE3F74">
        <w:t xml:space="preserve"> </w:t>
      </w:r>
      <w:r w:rsidR="00AE3F74" w:rsidRPr="00AE3F74">
        <w:rPr>
          <w:i/>
        </w:rPr>
        <w:t>‘Pathways for young people with disability after school’</w:t>
      </w:r>
      <w:r>
        <w:t xml:space="preserve"> to collect information about the experience of senior students with disability and their families with career planning and post-school options.</w:t>
      </w:r>
    </w:p>
    <w:p w14:paraId="269023CA" w14:textId="77777777" w:rsidR="00234212" w:rsidRPr="00234212" w:rsidRDefault="00234212" w:rsidP="00234212">
      <w:r w:rsidRPr="00234212">
        <w:t>In total, 106 people had responded to the survey at the time of writing this submission. This included representation from all states and territories, and from metropolitan, regional, rural and remote areas. The majority of the respondents were from families of young students with disability (78.3 per cent), followed by students with disability (17.9 per cent) and advocate, teachers and other school staff (3.7 per cent).</w:t>
      </w:r>
    </w:p>
    <w:p w14:paraId="3C657C15" w14:textId="02B9C418" w:rsidR="004515A0" w:rsidRDefault="004515A0">
      <w:r>
        <w:t>Key findings are presented below in support of our submission.</w:t>
      </w:r>
    </w:p>
    <w:p w14:paraId="1C5604F4" w14:textId="77777777" w:rsidR="0022288C" w:rsidRPr="0022288C" w:rsidRDefault="003D19C9" w:rsidP="0022288C">
      <w:pPr>
        <w:pStyle w:val="Heading2"/>
        <w:rPr>
          <w:color w:val="538135" w:themeColor="accent6" w:themeShade="BF"/>
        </w:rPr>
      </w:pPr>
      <w:r>
        <w:rPr>
          <w:color w:val="538135" w:themeColor="accent6" w:themeShade="BF"/>
        </w:rPr>
        <w:t>Introduction</w:t>
      </w:r>
    </w:p>
    <w:p w14:paraId="2B08B785" w14:textId="77777777" w:rsidR="00597ADA" w:rsidRDefault="00BE420B" w:rsidP="00374F54">
      <w:pPr>
        <w:pStyle w:val="Heading2"/>
        <w:rPr>
          <w:b w:val="0"/>
          <w:bCs/>
          <w:i/>
          <w:iCs/>
        </w:rPr>
      </w:pPr>
      <w:r w:rsidRPr="0022288C">
        <w:rPr>
          <w:b w:val="0"/>
          <w:bCs/>
          <w:i/>
          <w:iCs/>
        </w:rPr>
        <w:t>Respondents’ demographic data</w:t>
      </w:r>
    </w:p>
    <w:p w14:paraId="08A89C1A" w14:textId="77777777" w:rsidR="00234212" w:rsidRPr="00234212" w:rsidRDefault="00234212" w:rsidP="00234212"/>
    <w:p w14:paraId="7C719452" w14:textId="77777777" w:rsidR="00234212" w:rsidRPr="00234212" w:rsidRDefault="00234212" w:rsidP="00234212">
      <w:pPr>
        <w:spacing w:before="0" w:line="259" w:lineRule="auto"/>
        <w:rPr>
          <w:b/>
          <w:bCs/>
        </w:rPr>
      </w:pPr>
      <w:r w:rsidRPr="00234212">
        <w:rPr>
          <w:b/>
          <w:bCs/>
        </w:rPr>
        <w:t>Table 1. Demographic characteristics of senior students with disability (n=106)</w:t>
      </w:r>
    </w:p>
    <w:tbl>
      <w:tblPr>
        <w:tblStyle w:val="TableGrid"/>
        <w:tblW w:w="0" w:type="auto"/>
        <w:tblLook w:val="04A0" w:firstRow="1" w:lastRow="0" w:firstColumn="1" w:lastColumn="0" w:noHBand="0" w:noVBand="1"/>
      </w:tblPr>
      <w:tblGrid>
        <w:gridCol w:w="6091"/>
        <w:gridCol w:w="1842"/>
        <w:gridCol w:w="1803"/>
      </w:tblGrid>
      <w:tr w:rsidR="00234212" w:rsidRPr="00234212" w14:paraId="7B95500E" w14:textId="77777777" w:rsidTr="00234212">
        <w:trPr>
          <w:tblHeader/>
        </w:trPr>
        <w:tc>
          <w:tcPr>
            <w:tcW w:w="6091" w:type="dxa"/>
          </w:tcPr>
          <w:p w14:paraId="2C53FDF5" w14:textId="77777777" w:rsidR="00234212" w:rsidRPr="00234212" w:rsidRDefault="00234212" w:rsidP="00234212">
            <w:pPr>
              <w:rPr>
                <w:b/>
              </w:rPr>
            </w:pPr>
            <w:r w:rsidRPr="00234212">
              <w:rPr>
                <w:b/>
              </w:rPr>
              <w:t>Demographic characteristic</w:t>
            </w:r>
          </w:p>
        </w:tc>
        <w:tc>
          <w:tcPr>
            <w:tcW w:w="1842" w:type="dxa"/>
          </w:tcPr>
          <w:p w14:paraId="2D4276B3" w14:textId="77777777" w:rsidR="00234212" w:rsidRPr="00234212" w:rsidRDefault="00234212" w:rsidP="00234212">
            <w:pPr>
              <w:jc w:val="center"/>
              <w:rPr>
                <w:b/>
                <w:bCs/>
              </w:rPr>
            </w:pPr>
            <w:r w:rsidRPr="00234212">
              <w:rPr>
                <w:b/>
              </w:rPr>
              <w:t>Number</w:t>
            </w:r>
          </w:p>
        </w:tc>
        <w:tc>
          <w:tcPr>
            <w:tcW w:w="1803" w:type="dxa"/>
          </w:tcPr>
          <w:p w14:paraId="69D06A92" w14:textId="77777777" w:rsidR="00234212" w:rsidRPr="00234212" w:rsidRDefault="00234212" w:rsidP="00234212">
            <w:pPr>
              <w:jc w:val="center"/>
              <w:rPr>
                <w:b/>
                <w:bCs/>
              </w:rPr>
            </w:pPr>
            <w:r w:rsidRPr="00234212">
              <w:rPr>
                <w:b/>
              </w:rPr>
              <w:t>Percentage</w:t>
            </w:r>
          </w:p>
        </w:tc>
      </w:tr>
      <w:tr w:rsidR="00234212" w:rsidRPr="00234212" w14:paraId="233C5AB2" w14:textId="77777777" w:rsidTr="00234212">
        <w:tc>
          <w:tcPr>
            <w:tcW w:w="9736" w:type="dxa"/>
            <w:gridSpan w:val="3"/>
          </w:tcPr>
          <w:p w14:paraId="2A2D344E" w14:textId="77777777" w:rsidR="00234212" w:rsidRPr="00234212" w:rsidRDefault="00234212" w:rsidP="00234212">
            <w:r w:rsidRPr="00234212">
              <w:t>Gender</w:t>
            </w:r>
          </w:p>
        </w:tc>
      </w:tr>
      <w:tr w:rsidR="00234212" w:rsidRPr="00234212" w14:paraId="0DC3A080" w14:textId="77777777" w:rsidTr="00234212">
        <w:tc>
          <w:tcPr>
            <w:tcW w:w="6091" w:type="dxa"/>
          </w:tcPr>
          <w:p w14:paraId="5D7027A5" w14:textId="77777777" w:rsidR="00234212" w:rsidRPr="00234212" w:rsidRDefault="00234212" w:rsidP="00234212">
            <w:pPr>
              <w:rPr>
                <w:b/>
              </w:rPr>
            </w:pPr>
            <w:r w:rsidRPr="00234212">
              <w:t xml:space="preserve">            Male</w:t>
            </w:r>
          </w:p>
        </w:tc>
        <w:tc>
          <w:tcPr>
            <w:tcW w:w="1842" w:type="dxa"/>
          </w:tcPr>
          <w:p w14:paraId="32ADBBA2" w14:textId="77777777" w:rsidR="00234212" w:rsidRPr="00234212" w:rsidRDefault="00234212" w:rsidP="00234212">
            <w:pPr>
              <w:jc w:val="center"/>
            </w:pPr>
            <w:r w:rsidRPr="00234212">
              <w:t>71</w:t>
            </w:r>
          </w:p>
        </w:tc>
        <w:tc>
          <w:tcPr>
            <w:tcW w:w="1803" w:type="dxa"/>
          </w:tcPr>
          <w:p w14:paraId="4E0415C2" w14:textId="77777777" w:rsidR="00234212" w:rsidRPr="00234212" w:rsidRDefault="00234212" w:rsidP="00234212">
            <w:pPr>
              <w:jc w:val="center"/>
            </w:pPr>
            <w:r w:rsidRPr="00234212">
              <w:t>66.9%</w:t>
            </w:r>
          </w:p>
        </w:tc>
      </w:tr>
      <w:tr w:rsidR="00234212" w:rsidRPr="00234212" w14:paraId="164DA34B" w14:textId="77777777" w:rsidTr="00234212">
        <w:tc>
          <w:tcPr>
            <w:tcW w:w="6091" w:type="dxa"/>
          </w:tcPr>
          <w:p w14:paraId="24F10CFE" w14:textId="77777777" w:rsidR="00234212" w:rsidRPr="00234212" w:rsidRDefault="00234212" w:rsidP="00234212">
            <w:pPr>
              <w:rPr>
                <w:b/>
              </w:rPr>
            </w:pPr>
            <w:r w:rsidRPr="00234212">
              <w:t xml:space="preserve">            Female </w:t>
            </w:r>
          </w:p>
        </w:tc>
        <w:tc>
          <w:tcPr>
            <w:tcW w:w="1842" w:type="dxa"/>
          </w:tcPr>
          <w:p w14:paraId="4E8C327B" w14:textId="77777777" w:rsidR="00234212" w:rsidRPr="00234212" w:rsidRDefault="00234212" w:rsidP="00234212">
            <w:pPr>
              <w:jc w:val="center"/>
            </w:pPr>
            <w:r w:rsidRPr="00234212">
              <w:t>31</w:t>
            </w:r>
          </w:p>
        </w:tc>
        <w:tc>
          <w:tcPr>
            <w:tcW w:w="1803" w:type="dxa"/>
          </w:tcPr>
          <w:p w14:paraId="73797A16" w14:textId="77777777" w:rsidR="00234212" w:rsidRPr="00234212" w:rsidRDefault="00234212" w:rsidP="00234212">
            <w:pPr>
              <w:jc w:val="center"/>
            </w:pPr>
            <w:r w:rsidRPr="00234212">
              <w:t>29.2%</w:t>
            </w:r>
          </w:p>
        </w:tc>
      </w:tr>
      <w:tr w:rsidR="00234212" w:rsidRPr="00234212" w14:paraId="659E18E3" w14:textId="77777777" w:rsidTr="00234212">
        <w:tc>
          <w:tcPr>
            <w:tcW w:w="6091" w:type="dxa"/>
          </w:tcPr>
          <w:p w14:paraId="3B7E2D1E" w14:textId="77777777" w:rsidR="00234212" w:rsidRPr="00234212" w:rsidRDefault="00234212" w:rsidP="00234212">
            <w:pPr>
              <w:rPr>
                <w:b/>
              </w:rPr>
            </w:pPr>
            <w:r w:rsidRPr="00234212">
              <w:t xml:space="preserve">            Prefer not to say or not specified</w:t>
            </w:r>
          </w:p>
        </w:tc>
        <w:tc>
          <w:tcPr>
            <w:tcW w:w="1842" w:type="dxa"/>
          </w:tcPr>
          <w:p w14:paraId="7295AC91" w14:textId="77777777" w:rsidR="00234212" w:rsidRPr="00234212" w:rsidRDefault="00234212" w:rsidP="00234212">
            <w:pPr>
              <w:jc w:val="center"/>
            </w:pPr>
            <w:r w:rsidRPr="00234212">
              <w:t>4</w:t>
            </w:r>
          </w:p>
        </w:tc>
        <w:tc>
          <w:tcPr>
            <w:tcW w:w="1803" w:type="dxa"/>
          </w:tcPr>
          <w:p w14:paraId="730A1A41" w14:textId="77777777" w:rsidR="00234212" w:rsidRPr="00234212" w:rsidRDefault="00234212" w:rsidP="00234212">
            <w:pPr>
              <w:jc w:val="center"/>
            </w:pPr>
            <w:r w:rsidRPr="00234212">
              <w:t>3.7%</w:t>
            </w:r>
          </w:p>
        </w:tc>
      </w:tr>
      <w:tr w:rsidR="00234212" w:rsidRPr="00234212" w14:paraId="5A1CB24C" w14:textId="77777777" w:rsidTr="00234212">
        <w:tc>
          <w:tcPr>
            <w:tcW w:w="9736" w:type="dxa"/>
            <w:gridSpan w:val="3"/>
          </w:tcPr>
          <w:p w14:paraId="7D2D9E3E" w14:textId="77777777" w:rsidR="00234212" w:rsidRPr="00234212" w:rsidRDefault="00234212" w:rsidP="00234212">
            <w:r w:rsidRPr="00234212">
              <w:t xml:space="preserve">Language and cultural background </w:t>
            </w:r>
          </w:p>
        </w:tc>
      </w:tr>
      <w:tr w:rsidR="00234212" w:rsidRPr="00234212" w14:paraId="2C4D174D" w14:textId="77777777" w:rsidTr="00234212">
        <w:tc>
          <w:tcPr>
            <w:tcW w:w="6091" w:type="dxa"/>
          </w:tcPr>
          <w:p w14:paraId="19F0FE87" w14:textId="77777777" w:rsidR="00234212" w:rsidRPr="00234212" w:rsidRDefault="00234212" w:rsidP="00234212">
            <w:pPr>
              <w:rPr>
                <w:b/>
              </w:rPr>
            </w:pPr>
            <w:r w:rsidRPr="00234212">
              <w:t xml:space="preserve">             English speaking background</w:t>
            </w:r>
          </w:p>
        </w:tc>
        <w:tc>
          <w:tcPr>
            <w:tcW w:w="1842" w:type="dxa"/>
          </w:tcPr>
          <w:p w14:paraId="4D61509E" w14:textId="77777777" w:rsidR="00234212" w:rsidRPr="00234212" w:rsidRDefault="00234212" w:rsidP="00234212">
            <w:pPr>
              <w:jc w:val="center"/>
            </w:pPr>
            <w:r w:rsidRPr="00234212">
              <w:t>93</w:t>
            </w:r>
          </w:p>
        </w:tc>
        <w:tc>
          <w:tcPr>
            <w:tcW w:w="1803" w:type="dxa"/>
          </w:tcPr>
          <w:p w14:paraId="295E937E" w14:textId="77777777" w:rsidR="00234212" w:rsidRPr="00234212" w:rsidRDefault="00234212" w:rsidP="00234212">
            <w:pPr>
              <w:jc w:val="center"/>
            </w:pPr>
            <w:r w:rsidRPr="00234212">
              <w:t>87.7%</w:t>
            </w:r>
          </w:p>
        </w:tc>
      </w:tr>
      <w:tr w:rsidR="00234212" w:rsidRPr="00234212" w14:paraId="457BB328" w14:textId="77777777" w:rsidTr="00234212">
        <w:tc>
          <w:tcPr>
            <w:tcW w:w="6091" w:type="dxa"/>
          </w:tcPr>
          <w:p w14:paraId="2483A63D" w14:textId="77777777" w:rsidR="00234212" w:rsidRPr="00234212" w:rsidRDefault="00234212" w:rsidP="00234212">
            <w:pPr>
              <w:rPr>
                <w:b/>
              </w:rPr>
            </w:pPr>
            <w:r w:rsidRPr="00234212">
              <w:t xml:space="preserve">             Non-English-speaking background </w:t>
            </w:r>
          </w:p>
        </w:tc>
        <w:tc>
          <w:tcPr>
            <w:tcW w:w="1842" w:type="dxa"/>
          </w:tcPr>
          <w:p w14:paraId="698D2DA7" w14:textId="77777777" w:rsidR="00234212" w:rsidRPr="00234212" w:rsidRDefault="00234212" w:rsidP="00234212">
            <w:pPr>
              <w:jc w:val="center"/>
            </w:pPr>
            <w:r w:rsidRPr="00234212">
              <w:t>13</w:t>
            </w:r>
          </w:p>
        </w:tc>
        <w:tc>
          <w:tcPr>
            <w:tcW w:w="1803" w:type="dxa"/>
          </w:tcPr>
          <w:p w14:paraId="681D420C" w14:textId="77777777" w:rsidR="00234212" w:rsidRPr="00234212" w:rsidRDefault="00234212" w:rsidP="00234212">
            <w:pPr>
              <w:jc w:val="center"/>
            </w:pPr>
            <w:r w:rsidRPr="00234212">
              <w:t>12.2%</w:t>
            </w:r>
          </w:p>
        </w:tc>
      </w:tr>
      <w:tr w:rsidR="00234212" w:rsidRPr="00234212" w14:paraId="0C8B75B2" w14:textId="77777777" w:rsidTr="00234212">
        <w:tc>
          <w:tcPr>
            <w:tcW w:w="6091" w:type="dxa"/>
          </w:tcPr>
          <w:p w14:paraId="3594D57B" w14:textId="77777777" w:rsidR="00234212" w:rsidRPr="00234212" w:rsidRDefault="00234212" w:rsidP="00234212">
            <w:pPr>
              <w:rPr>
                <w:b/>
              </w:rPr>
            </w:pPr>
            <w:r w:rsidRPr="00234212">
              <w:t xml:space="preserve">             Aboriginal</w:t>
            </w:r>
          </w:p>
        </w:tc>
        <w:tc>
          <w:tcPr>
            <w:tcW w:w="1842" w:type="dxa"/>
          </w:tcPr>
          <w:p w14:paraId="29CEA242" w14:textId="77777777" w:rsidR="00234212" w:rsidRPr="00234212" w:rsidRDefault="00234212" w:rsidP="00234212">
            <w:pPr>
              <w:jc w:val="center"/>
            </w:pPr>
            <w:r w:rsidRPr="00234212">
              <w:t>4</w:t>
            </w:r>
          </w:p>
        </w:tc>
        <w:tc>
          <w:tcPr>
            <w:tcW w:w="1803" w:type="dxa"/>
          </w:tcPr>
          <w:p w14:paraId="773377E5" w14:textId="77777777" w:rsidR="00234212" w:rsidRPr="00234212" w:rsidRDefault="00234212" w:rsidP="00234212">
            <w:pPr>
              <w:jc w:val="center"/>
            </w:pPr>
            <w:r w:rsidRPr="00234212">
              <w:t>3.7%</w:t>
            </w:r>
          </w:p>
        </w:tc>
      </w:tr>
      <w:tr w:rsidR="00234212" w:rsidRPr="00234212" w14:paraId="6910044D" w14:textId="77777777" w:rsidTr="00234212">
        <w:tc>
          <w:tcPr>
            <w:tcW w:w="9736" w:type="dxa"/>
            <w:gridSpan w:val="3"/>
          </w:tcPr>
          <w:p w14:paraId="5D2ED78C" w14:textId="77777777" w:rsidR="00234212" w:rsidRPr="00234212" w:rsidRDefault="00234212" w:rsidP="00234212">
            <w:r w:rsidRPr="00234212">
              <w:t>State / territory</w:t>
            </w:r>
          </w:p>
        </w:tc>
      </w:tr>
      <w:tr w:rsidR="00234212" w:rsidRPr="00234212" w14:paraId="066F5F50" w14:textId="77777777" w:rsidTr="00234212">
        <w:tc>
          <w:tcPr>
            <w:tcW w:w="6091" w:type="dxa"/>
          </w:tcPr>
          <w:p w14:paraId="2681F423" w14:textId="77777777" w:rsidR="00234212" w:rsidRPr="00234212" w:rsidRDefault="00234212" w:rsidP="00234212">
            <w:pPr>
              <w:rPr>
                <w:b/>
              </w:rPr>
            </w:pPr>
            <w:r w:rsidRPr="00234212">
              <w:t xml:space="preserve">              VIC</w:t>
            </w:r>
          </w:p>
        </w:tc>
        <w:tc>
          <w:tcPr>
            <w:tcW w:w="1842" w:type="dxa"/>
          </w:tcPr>
          <w:p w14:paraId="627FA759" w14:textId="77777777" w:rsidR="00234212" w:rsidRPr="00234212" w:rsidRDefault="00234212" w:rsidP="00234212">
            <w:pPr>
              <w:jc w:val="center"/>
            </w:pPr>
            <w:r w:rsidRPr="00234212">
              <w:t>34</w:t>
            </w:r>
          </w:p>
        </w:tc>
        <w:tc>
          <w:tcPr>
            <w:tcW w:w="1803" w:type="dxa"/>
          </w:tcPr>
          <w:p w14:paraId="5643E9DB" w14:textId="77777777" w:rsidR="00234212" w:rsidRPr="00234212" w:rsidRDefault="00234212" w:rsidP="00234212">
            <w:pPr>
              <w:jc w:val="center"/>
            </w:pPr>
            <w:r w:rsidRPr="00234212">
              <w:t>32%</w:t>
            </w:r>
          </w:p>
        </w:tc>
      </w:tr>
      <w:tr w:rsidR="00234212" w:rsidRPr="00234212" w14:paraId="21556667" w14:textId="77777777" w:rsidTr="00234212">
        <w:tc>
          <w:tcPr>
            <w:tcW w:w="6091" w:type="dxa"/>
          </w:tcPr>
          <w:p w14:paraId="79A830FD" w14:textId="77777777" w:rsidR="00234212" w:rsidRPr="00234212" w:rsidRDefault="00234212" w:rsidP="00234212">
            <w:pPr>
              <w:rPr>
                <w:b/>
              </w:rPr>
            </w:pPr>
            <w:r w:rsidRPr="00234212">
              <w:t xml:space="preserve">              NSW</w:t>
            </w:r>
          </w:p>
        </w:tc>
        <w:tc>
          <w:tcPr>
            <w:tcW w:w="1842" w:type="dxa"/>
          </w:tcPr>
          <w:p w14:paraId="446C4B34" w14:textId="77777777" w:rsidR="00234212" w:rsidRPr="00234212" w:rsidRDefault="00234212" w:rsidP="00234212">
            <w:pPr>
              <w:jc w:val="center"/>
            </w:pPr>
            <w:r w:rsidRPr="00234212">
              <w:t>32</w:t>
            </w:r>
          </w:p>
        </w:tc>
        <w:tc>
          <w:tcPr>
            <w:tcW w:w="1803" w:type="dxa"/>
          </w:tcPr>
          <w:p w14:paraId="098DD5F2" w14:textId="77777777" w:rsidR="00234212" w:rsidRPr="00234212" w:rsidRDefault="00234212" w:rsidP="00234212">
            <w:pPr>
              <w:jc w:val="center"/>
            </w:pPr>
            <w:r w:rsidRPr="00234212">
              <w:t>30.1%</w:t>
            </w:r>
          </w:p>
        </w:tc>
      </w:tr>
      <w:tr w:rsidR="00234212" w:rsidRPr="00234212" w14:paraId="238F066B" w14:textId="77777777" w:rsidTr="00234212">
        <w:tc>
          <w:tcPr>
            <w:tcW w:w="6091" w:type="dxa"/>
          </w:tcPr>
          <w:p w14:paraId="64464DD0" w14:textId="77777777" w:rsidR="00234212" w:rsidRPr="00234212" w:rsidRDefault="00234212" w:rsidP="00234212">
            <w:pPr>
              <w:rPr>
                <w:b/>
              </w:rPr>
            </w:pPr>
            <w:r w:rsidRPr="00234212">
              <w:t xml:space="preserve">              QLD</w:t>
            </w:r>
          </w:p>
        </w:tc>
        <w:tc>
          <w:tcPr>
            <w:tcW w:w="1842" w:type="dxa"/>
          </w:tcPr>
          <w:p w14:paraId="782420F1" w14:textId="77777777" w:rsidR="00234212" w:rsidRPr="00234212" w:rsidRDefault="00234212" w:rsidP="00234212">
            <w:pPr>
              <w:jc w:val="center"/>
            </w:pPr>
            <w:r w:rsidRPr="00234212">
              <w:t xml:space="preserve"> 16</w:t>
            </w:r>
          </w:p>
        </w:tc>
        <w:tc>
          <w:tcPr>
            <w:tcW w:w="1803" w:type="dxa"/>
          </w:tcPr>
          <w:p w14:paraId="1D10AB79" w14:textId="77777777" w:rsidR="00234212" w:rsidRPr="00234212" w:rsidRDefault="00234212" w:rsidP="00234212">
            <w:pPr>
              <w:jc w:val="center"/>
            </w:pPr>
            <w:r w:rsidRPr="00234212">
              <w:t>15%</w:t>
            </w:r>
          </w:p>
        </w:tc>
      </w:tr>
      <w:tr w:rsidR="00234212" w:rsidRPr="00234212" w14:paraId="108C6EE2" w14:textId="77777777" w:rsidTr="00234212">
        <w:tc>
          <w:tcPr>
            <w:tcW w:w="6091" w:type="dxa"/>
          </w:tcPr>
          <w:p w14:paraId="40F5F8F5" w14:textId="77777777" w:rsidR="00234212" w:rsidRPr="00234212" w:rsidRDefault="00234212" w:rsidP="00234212">
            <w:pPr>
              <w:rPr>
                <w:b/>
              </w:rPr>
            </w:pPr>
            <w:r w:rsidRPr="00234212">
              <w:t xml:space="preserve">              WA</w:t>
            </w:r>
          </w:p>
        </w:tc>
        <w:tc>
          <w:tcPr>
            <w:tcW w:w="1842" w:type="dxa"/>
          </w:tcPr>
          <w:p w14:paraId="375CB0C9" w14:textId="77777777" w:rsidR="00234212" w:rsidRPr="00234212" w:rsidRDefault="00234212" w:rsidP="00234212">
            <w:pPr>
              <w:jc w:val="center"/>
            </w:pPr>
            <w:r w:rsidRPr="00234212">
              <w:t>4</w:t>
            </w:r>
          </w:p>
        </w:tc>
        <w:tc>
          <w:tcPr>
            <w:tcW w:w="1803" w:type="dxa"/>
          </w:tcPr>
          <w:p w14:paraId="79F6EA6E" w14:textId="77777777" w:rsidR="00234212" w:rsidRPr="00234212" w:rsidRDefault="00234212" w:rsidP="00234212">
            <w:pPr>
              <w:jc w:val="center"/>
            </w:pPr>
            <w:r w:rsidRPr="00234212">
              <w:t>3.7%</w:t>
            </w:r>
          </w:p>
        </w:tc>
      </w:tr>
      <w:tr w:rsidR="00234212" w:rsidRPr="00234212" w14:paraId="2F30A5A8" w14:textId="77777777" w:rsidTr="00234212">
        <w:tc>
          <w:tcPr>
            <w:tcW w:w="6091" w:type="dxa"/>
          </w:tcPr>
          <w:p w14:paraId="76867D62" w14:textId="77777777" w:rsidR="00234212" w:rsidRPr="00234212" w:rsidRDefault="00234212" w:rsidP="00234212">
            <w:pPr>
              <w:rPr>
                <w:b/>
              </w:rPr>
            </w:pPr>
            <w:r w:rsidRPr="00234212">
              <w:t xml:space="preserve">              SA</w:t>
            </w:r>
          </w:p>
        </w:tc>
        <w:tc>
          <w:tcPr>
            <w:tcW w:w="1842" w:type="dxa"/>
          </w:tcPr>
          <w:p w14:paraId="20851C07" w14:textId="77777777" w:rsidR="00234212" w:rsidRPr="00234212" w:rsidRDefault="00234212" w:rsidP="00234212">
            <w:pPr>
              <w:jc w:val="center"/>
            </w:pPr>
            <w:r w:rsidRPr="00234212">
              <w:t>7</w:t>
            </w:r>
          </w:p>
        </w:tc>
        <w:tc>
          <w:tcPr>
            <w:tcW w:w="1803" w:type="dxa"/>
          </w:tcPr>
          <w:p w14:paraId="2D910319" w14:textId="77777777" w:rsidR="00234212" w:rsidRPr="00234212" w:rsidRDefault="00234212" w:rsidP="00234212">
            <w:pPr>
              <w:jc w:val="center"/>
            </w:pPr>
            <w:r w:rsidRPr="00234212">
              <w:t>6.6%</w:t>
            </w:r>
          </w:p>
        </w:tc>
      </w:tr>
      <w:tr w:rsidR="00234212" w:rsidRPr="00234212" w14:paraId="4548A0D1" w14:textId="77777777" w:rsidTr="00234212">
        <w:tc>
          <w:tcPr>
            <w:tcW w:w="6091" w:type="dxa"/>
          </w:tcPr>
          <w:p w14:paraId="784FF41F" w14:textId="77777777" w:rsidR="00234212" w:rsidRPr="00234212" w:rsidRDefault="00234212" w:rsidP="00234212">
            <w:pPr>
              <w:rPr>
                <w:b/>
              </w:rPr>
            </w:pPr>
            <w:r w:rsidRPr="00234212">
              <w:t xml:space="preserve">              ACT</w:t>
            </w:r>
          </w:p>
        </w:tc>
        <w:tc>
          <w:tcPr>
            <w:tcW w:w="1842" w:type="dxa"/>
          </w:tcPr>
          <w:p w14:paraId="2E553E27" w14:textId="77777777" w:rsidR="00234212" w:rsidRPr="00234212" w:rsidRDefault="00234212" w:rsidP="00234212">
            <w:pPr>
              <w:jc w:val="center"/>
            </w:pPr>
            <w:r w:rsidRPr="00234212">
              <w:t>9</w:t>
            </w:r>
          </w:p>
        </w:tc>
        <w:tc>
          <w:tcPr>
            <w:tcW w:w="1803" w:type="dxa"/>
          </w:tcPr>
          <w:p w14:paraId="173E1F6F" w14:textId="77777777" w:rsidR="00234212" w:rsidRPr="00234212" w:rsidRDefault="00234212" w:rsidP="00234212">
            <w:pPr>
              <w:jc w:val="center"/>
            </w:pPr>
            <w:r w:rsidRPr="00234212">
              <w:t>8.4%</w:t>
            </w:r>
          </w:p>
        </w:tc>
      </w:tr>
      <w:tr w:rsidR="00234212" w:rsidRPr="00234212" w14:paraId="636D8D9E" w14:textId="77777777" w:rsidTr="00234212">
        <w:tc>
          <w:tcPr>
            <w:tcW w:w="6091" w:type="dxa"/>
          </w:tcPr>
          <w:p w14:paraId="0E4E544F" w14:textId="77777777" w:rsidR="00234212" w:rsidRPr="00234212" w:rsidRDefault="00234212" w:rsidP="00234212">
            <w:pPr>
              <w:rPr>
                <w:b/>
              </w:rPr>
            </w:pPr>
            <w:r w:rsidRPr="00234212">
              <w:t xml:space="preserve">              TAS</w:t>
            </w:r>
          </w:p>
        </w:tc>
        <w:tc>
          <w:tcPr>
            <w:tcW w:w="1842" w:type="dxa"/>
          </w:tcPr>
          <w:p w14:paraId="6E052121" w14:textId="77777777" w:rsidR="00234212" w:rsidRPr="00234212" w:rsidRDefault="00234212" w:rsidP="00234212">
            <w:pPr>
              <w:jc w:val="center"/>
            </w:pPr>
            <w:r w:rsidRPr="00234212">
              <w:t>3</w:t>
            </w:r>
          </w:p>
        </w:tc>
        <w:tc>
          <w:tcPr>
            <w:tcW w:w="1803" w:type="dxa"/>
          </w:tcPr>
          <w:p w14:paraId="55D4E54D" w14:textId="77777777" w:rsidR="00234212" w:rsidRPr="00234212" w:rsidRDefault="00234212" w:rsidP="00234212">
            <w:pPr>
              <w:jc w:val="center"/>
            </w:pPr>
            <w:r w:rsidRPr="00234212">
              <w:t>2.8%</w:t>
            </w:r>
          </w:p>
        </w:tc>
      </w:tr>
      <w:tr w:rsidR="00234212" w:rsidRPr="00234212" w14:paraId="695C98F5" w14:textId="77777777" w:rsidTr="00234212">
        <w:tc>
          <w:tcPr>
            <w:tcW w:w="6091" w:type="dxa"/>
          </w:tcPr>
          <w:p w14:paraId="7CDECDA5" w14:textId="77777777" w:rsidR="00234212" w:rsidRPr="00234212" w:rsidRDefault="00234212" w:rsidP="00234212">
            <w:pPr>
              <w:rPr>
                <w:b/>
              </w:rPr>
            </w:pPr>
            <w:r w:rsidRPr="00234212">
              <w:t xml:space="preserve">              NT</w:t>
            </w:r>
          </w:p>
        </w:tc>
        <w:tc>
          <w:tcPr>
            <w:tcW w:w="1842" w:type="dxa"/>
          </w:tcPr>
          <w:p w14:paraId="0A843EB0" w14:textId="77777777" w:rsidR="00234212" w:rsidRPr="00234212" w:rsidRDefault="00234212" w:rsidP="00234212">
            <w:pPr>
              <w:jc w:val="center"/>
            </w:pPr>
            <w:r w:rsidRPr="00234212">
              <w:t>1</w:t>
            </w:r>
          </w:p>
        </w:tc>
        <w:tc>
          <w:tcPr>
            <w:tcW w:w="1803" w:type="dxa"/>
          </w:tcPr>
          <w:p w14:paraId="0E659046" w14:textId="77777777" w:rsidR="00234212" w:rsidRPr="00234212" w:rsidRDefault="00234212" w:rsidP="00234212">
            <w:pPr>
              <w:jc w:val="center"/>
            </w:pPr>
            <w:r w:rsidRPr="00234212">
              <w:t>0.9%</w:t>
            </w:r>
          </w:p>
        </w:tc>
      </w:tr>
      <w:tr w:rsidR="00234212" w:rsidRPr="00234212" w14:paraId="5603D1EF" w14:textId="77777777" w:rsidTr="00234212">
        <w:tc>
          <w:tcPr>
            <w:tcW w:w="9736" w:type="dxa"/>
            <w:gridSpan w:val="3"/>
          </w:tcPr>
          <w:p w14:paraId="2064CC71" w14:textId="77777777" w:rsidR="00234212" w:rsidRPr="00234212" w:rsidRDefault="00234212" w:rsidP="00234212">
            <w:r w:rsidRPr="00234212">
              <w:t xml:space="preserve">Location </w:t>
            </w:r>
          </w:p>
        </w:tc>
      </w:tr>
      <w:tr w:rsidR="00234212" w:rsidRPr="00234212" w14:paraId="4C25108F" w14:textId="77777777" w:rsidTr="00234212">
        <w:tc>
          <w:tcPr>
            <w:tcW w:w="6091" w:type="dxa"/>
          </w:tcPr>
          <w:p w14:paraId="6B999138" w14:textId="77777777" w:rsidR="00234212" w:rsidRPr="00234212" w:rsidRDefault="00234212" w:rsidP="00234212">
            <w:pPr>
              <w:rPr>
                <w:b/>
              </w:rPr>
            </w:pPr>
            <w:r w:rsidRPr="00234212">
              <w:t xml:space="preserve">             Metropolitan area</w:t>
            </w:r>
          </w:p>
        </w:tc>
        <w:tc>
          <w:tcPr>
            <w:tcW w:w="1842" w:type="dxa"/>
          </w:tcPr>
          <w:p w14:paraId="7D64F18C" w14:textId="77777777" w:rsidR="00234212" w:rsidRPr="00234212" w:rsidRDefault="00234212" w:rsidP="00234212">
            <w:pPr>
              <w:jc w:val="center"/>
            </w:pPr>
            <w:r w:rsidRPr="00234212">
              <w:t>66</w:t>
            </w:r>
          </w:p>
        </w:tc>
        <w:tc>
          <w:tcPr>
            <w:tcW w:w="1803" w:type="dxa"/>
          </w:tcPr>
          <w:p w14:paraId="249390C1" w14:textId="77777777" w:rsidR="00234212" w:rsidRPr="00234212" w:rsidRDefault="00234212" w:rsidP="00234212">
            <w:pPr>
              <w:jc w:val="center"/>
            </w:pPr>
            <w:r w:rsidRPr="00234212">
              <w:t>62.2%</w:t>
            </w:r>
          </w:p>
        </w:tc>
      </w:tr>
      <w:tr w:rsidR="00234212" w:rsidRPr="00234212" w14:paraId="71B3D455" w14:textId="77777777" w:rsidTr="00234212">
        <w:tc>
          <w:tcPr>
            <w:tcW w:w="6091" w:type="dxa"/>
          </w:tcPr>
          <w:p w14:paraId="44F90CA0" w14:textId="77777777" w:rsidR="00234212" w:rsidRPr="00234212" w:rsidRDefault="00234212" w:rsidP="00234212">
            <w:pPr>
              <w:rPr>
                <w:b/>
              </w:rPr>
            </w:pPr>
            <w:r w:rsidRPr="00234212">
              <w:t xml:space="preserve">             Regional area</w:t>
            </w:r>
          </w:p>
        </w:tc>
        <w:tc>
          <w:tcPr>
            <w:tcW w:w="1842" w:type="dxa"/>
          </w:tcPr>
          <w:p w14:paraId="21662554" w14:textId="77777777" w:rsidR="00234212" w:rsidRPr="00234212" w:rsidRDefault="00234212" w:rsidP="00234212">
            <w:pPr>
              <w:jc w:val="center"/>
            </w:pPr>
            <w:r w:rsidRPr="00234212">
              <w:t>27</w:t>
            </w:r>
          </w:p>
        </w:tc>
        <w:tc>
          <w:tcPr>
            <w:tcW w:w="1803" w:type="dxa"/>
          </w:tcPr>
          <w:p w14:paraId="66B2BAC4" w14:textId="77777777" w:rsidR="00234212" w:rsidRPr="00234212" w:rsidRDefault="00234212" w:rsidP="00234212">
            <w:pPr>
              <w:jc w:val="center"/>
            </w:pPr>
            <w:r w:rsidRPr="00234212">
              <w:t>25.4%</w:t>
            </w:r>
          </w:p>
        </w:tc>
      </w:tr>
      <w:tr w:rsidR="00234212" w:rsidRPr="00234212" w14:paraId="4C23A55D" w14:textId="77777777" w:rsidTr="00234212">
        <w:tc>
          <w:tcPr>
            <w:tcW w:w="6091" w:type="dxa"/>
          </w:tcPr>
          <w:p w14:paraId="1AE5A6A2" w14:textId="77777777" w:rsidR="00234212" w:rsidRPr="00234212" w:rsidRDefault="00234212" w:rsidP="00234212">
            <w:pPr>
              <w:rPr>
                <w:b/>
              </w:rPr>
            </w:pPr>
            <w:r w:rsidRPr="00234212">
              <w:t xml:space="preserve">             Rural</w:t>
            </w:r>
          </w:p>
        </w:tc>
        <w:tc>
          <w:tcPr>
            <w:tcW w:w="1842" w:type="dxa"/>
          </w:tcPr>
          <w:p w14:paraId="77366219" w14:textId="77777777" w:rsidR="00234212" w:rsidRPr="00234212" w:rsidRDefault="00234212" w:rsidP="00234212">
            <w:pPr>
              <w:jc w:val="center"/>
            </w:pPr>
            <w:r w:rsidRPr="00234212">
              <w:t>11</w:t>
            </w:r>
          </w:p>
        </w:tc>
        <w:tc>
          <w:tcPr>
            <w:tcW w:w="1803" w:type="dxa"/>
          </w:tcPr>
          <w:p w14:paraId="7C5E63B2" w14:textId="77777777" w:rsidR="00234212" w:rsidRPr="00234212" w:rsidRDefault="00234212" w:rsidP="00234212">
            <w:pPr>
              <w:jc w:val="center"/>
            </w:pPr>
            <w:r w:rsidRPr="00234212">
              <w:t>10.3%</w:t>
            </w:r>
          </w:p>
        </w:tc>
      </w:tr>
      <w:tr w:rsidR="00234212" w:rsidRPr="00234212" w14:paraId="62F88C85" w14:textId="77777777" w:rsidTr="00234212">
        <w:tc>
          <w:tcPr>
            <w:tcW w:w="6091" w:type="dxa"/>
          </w:tcPr>
          <w:p w14:paraId="0E8BCAD0" w14:textId="77777777" w:rsidR="00234212" w:rsidRPr="00234212" w:rsidRDefault="00234212" w:rsidP="00234212">
            <w:pPr>
              <w:rPr>
                <w:b/>
              </w:rPr>
            </w:pPr>
            <w:r w:rsidRPr="00234212">
              <w:t xml:space="preserve">             Remote</w:t>
            </w:r>
          </w:p>
        </w:tc>
        <w:tc>
          <w:tcPr>
            <w:tcW w:w="1842" w:type="dxa"/>
          </w:tcPr>
          <w:p w14:paraId="23F041DD" w14:textId="77777777" w:rsidR="00234212" w:rsidRPr="00234212" w:rsidRDefault="00234212" w:rsidP="00234212">
            <w:pPr>
              <w:jc w:val="center"/>
            </w:pPr>
            <w:r w:rsidRPr="00234212">
              <w:t>1</w:t>
            </w:r>
          </w:p>
        </w:tc>
        <w:tc>
          <w:tcPr>
            <w:tcW w:w="1803" w:type="dxa"/>
          </w:tcPr>
          <w:p w14:paraId="531B8CE2" w14:textId="77777777" w:rsidR="00234212" w:rsidRPr="00234212" w:rsidRDefault="00234212" w:rsidP="00234212">
            <w:pPr>
              <w:jc w:val="center"/>
            </w:pPr>
            <w:r w:rsidRPr="00234212">
              <w:t>0.9%</w:t>
            </w:r>
          </w:p>
        </w:tc>
      </w:tr>
      <w:tr w:rsidR="00234212" w:rsidRPr="00234212" w14:paraId="00CDAEED" w14:textId="77777777" w:rsidTr="00234212">
        <w:tc>
          <w:tcPr>
            <w:tcW w:w="9736" w:type="dxa"/>
            <w:gridSpan w:val="3"/>
          </w:tcPr>
          <w:p w14:paraId="7433C306" w14:textId="77777777" w:rsidR="00234212" w:rsidRPr="00234212" w:rsidRDefault="00234212" w:rsidP="00234212">
            <w:r w:rsidRPr="00234212">
              <w:t>Age of senior student with disability</w:t>
            </w:r>
          </w:p>
        </w:tc>
      </w:tr>
      <w:tr w:rsidR="00234212" w:rsidRPr="00234212" w14:paraId="25CF480E" w14:textId="77777777" w:rsidTr="00234212">
        <w:tc>
          <w:tcPr>
            <w:tcW w:w="6091" w:type="dxa"/>
          </w:tcPr>
          <w:p w14:paraId="6DBC6361" w14:textId="77777777" w:rsidR="00234212" w:rsidRPr="00234212" w:rsidRDefault="00234212" w:rsidP="00234212">
            <w:pPr>
              <w:rPr>
                <w:b/>
              </w:rPr>
            </w:pPr>
            <w:r w:rsidRPr="00234212">
              <w:t xml:space="preserve">             15-16 years </w:t>
            </w:r>
          </w:p>
        </w:tc>
        <w:tc>
          <w:tcPr>
            <w:tcW w:w="1842" w:type="dxa"/>
          </w:tcPr>
          <w:p w14:paraId="6F3D83A9" w14:textId="77777777" w:rsidR="00234212" w:rsidRPr="00234212" w:rsidRDefault="00234212" w:rsidP="00234212">
            <w:pPr>
              <w:jc w:val="center"/>
            </w:pPr>
            <w:r w:rsidRPr="00234212">
              <w:t>20</w:t>
            </w:r>
          </w:p>
        </w:tc>
        <w:tc>
          <w:tcPr>
            <w:tcW w:w="1803" w:type="dxa"/>
          </w:tcPr>
          <w:p w14:paraId="25F0E6B4" w14:textId="77777777" w:rsidR="00234212" w:rsidRPr="00234212" w:rsidRDefault="00234212" w:rsidP="00234212">
            <w:pPr>
              <w:jc w:val="center"/>
            </w:pPr>
            <w:r w:rsidRPr="00234212">
              <w:t>18.8%</w:t>
            </w:r>
          </w:p>
        </w:tc>
      </w:tr>
      <w:tr w:rsidR="00234212" w:rsidRPr="00234212" w14:paraId="0886C0E3" w14:textId="77777777" w:rsidTr="00234212">
        <w:tc>
          <w:tcPr>
            <w:tcW w:w="6091" w:type="dxa"/>
          </w:tcPr>
          <w:p w14:paraId="1C0C1190" w14:textId="77777777" w:rsidR="00234212" w:rsidRPr="00234212" w:rsidRDefault="00234212" w:rsidP="00234212">
            <w:pPr>
              <w:rPr>
                <w:b/>
              </w:rPr>
            </w:pPr>
            <w:r w:rsidRPr="00234212">
              <w:t xml:space="preserve">             17-18 years</w:t>
            </w:r>
          </w:p>
        </w:tc>
        <w:tc>
          <w:tcPr>
            <w:tcW w:w="1842" w:type="dxa"/>
          </w:tcPr>
          <w:p w14:paraId="160A77F0" w14:textId="77777777" w:rsidR="00234212" w:rsidRPr="00234212" w:rsidRDefault="00234212" w:rsidP="00234212">
            <w:pPr>
              <w:jc w:val="center"/>
            </w:pPr>
            <w:r w:rsidRPr="00234212">
              <w:t>26</w:t>
            </w:r>
          </w:p>
        </w:tc>
        <w:tc>
          <w:tcPr>
            <w:tcW w:w="1803" w:type="dxa"/>
          </w:tcPr>
          <w:p w14:paraId="2AA7F5A0" w14:textId="77777777" w:rsidR="00234212" w:rsidRPr="00234212" w:rsidRDefault="00234212" w:rsidP="00234212">
            <w:pPr>
              <w:jc w:val="center"/>
            </w:pPr>
            <w:r w:rsidRPr="00234212">
              <w:t>24.5%</w:t>
            </w:r>
          </w:p>
        </w:tc>
      </w:tr>
      <w:tr w:rsidR="00234212" w:rsidRPr="00234212" w14:paraId="28161676" w14:textId="77777777" w:rsidTr="00234212">
        <w:tc>
          <w:tcPr>
            <w:tcW w:w="6091" w:type="dxa"/>
          </w:tcPr>
          <w:p w14:paraId="34A27C10" w14:textId="77777777" w:rsidR="00234212" w:rsidRPr="00234212" w:rsidRDefault="00234212" w:rsidP="00234212">
            <w:pPr>
              <w:rPr>
                <w:b/>
              </w:rPr>
            </w:pPr>
            <w:r w:rsidRPr="00234212">
              <w:t xml:space="preserve">             19-20 years</w:t>
            </w:r>
          </w:p>
        </w:tc>
        <w:tc>
          <w:tcPr>
            <w:tcW w:w="1842" w:type="dxa"/>
          </w:tcPr>
          <w:p w14:paraId="587E431C" w14:textId="77777777" w:rsidR="00234212" w:rsidRPr="00234212" w:rsidRDefault="00234212" w:rsidP="00234212">
            <w:pPr>
              <w:jc w:val="center"/>
            </w:pPr>
            <w:r w:rsidRPr="00234212">
              <w:t>22</w:t>
            </w:r>
          </w:p>
        </w:tc>
        <w:tc>
          <w:tcPr>
            <w:tcW w:w="1803" w:type="dxa"/>
          </w:tcPr>
          <w:p w14:paraId="7EE16614" w14:textId="77777777" w:rsidR="00234212" w:rsidRPr="00234212" w:rsidRDefault="00234212" w:rsidP="00234212">
            <w:pPr>
              <w:jc w:val="center"/>
            </w:pPr>
            <w:r w:rsidRPr="00234212">
              <w:t>20.7%</w:t>
            </w:r>
          </w:p>
        </w:tc>
      </w:tr>
      <w:tr w:rsidR="00234212" w:rsidRPr="00234212" w14:paraId="037799E5" w14:textId="77777777" w:rsidTr="00234212">
        <w:tc>
          <w:tcPr>
            <w:tcW w:w="6091" w:type="dxa"/>
          </w:tcPr>
          <w:p w14:paraId="726876D2" w14:textId="77777777" w:rsidR="00234212" w:rsidRPr="00234212" w:rsidRDefault="00234212" w:rsidP="00234212">
            <w:pPr>
              <w:rPr>
                <w:b/>
              </w:rPr>
            </w:pPr>
            <w:r w:rsidRPr="00234212">
              <w:t xml:space="preserve">             21-22 years</w:t>
            </w:r>
          </w:p>
        </w:tc>
        <w:tc>
          <w:tcPr>
            <w:tcW w:w="1842" w:type="dxa"/>
          </w:tcPr>
          <w:p w14:paraId="2CA33AD8" w14:textId="77777777" w:rsidR="00234212" w:rsidRPr="00234212" w:rsidRDefault="00234212" w:rsidP="00234212">
            <w:pPr>
              <w:jc w:val="center"/>
            </w:pPr>
            <w:r w:rsidRPr="00234212">
              <w:t>10</w:t>
            </w:r>
          </w:p>
        </w:tc>
        <w:tc>
          <w:tcPr>
            <w:tcW w:w="1803" w:type="dxa"/>
          </w:tcPr>
          <w:p w14:paraId="0D154152" w14:textId="77777777" w:rsidR="00234212" w:rsidRPr="00234212" w:rsidRDefault="00234212" w:rsidP="00234212">
            <w:pPr>
              <w:jc w:val="center"/>
            </w:pPr>
            <w:r w:rsidRPr="00234212">
              <w:t>9.4%</w:t>
            </w:r>
          </w:p>
        </w:tc>
      </w:tr>
      <w:tr w:rsidR="00234212" w:rsidRPr="00234212" w14:paraId="3D66675E" w14:textId="77777777" w:rsidTr="00234212">
        <w:tc>
          <w:tcPr>
            <w:tcW w:w="6091" w:type="dxa"/>
          </w:tcPr>
          <w:p w14:paraId="1E579506" w14:textId="77777777" w:rsidR="00234212" w:rsidRPr="00234212" w:rsidRDefault="00234212" w:rsidP="00234212">
            <w:pPr>
              <w:rPr>
                <w:b/>
              </w:rPr>
            </w:pPr>
            <w:r w:rsidRPr="00234212">
              <w:t xml:space="preserve">             23-25 years</w:t>
            </w:r>
          </w:p>
        </w:tc>
        <w:tc>
          <w:tcPr>
            <w:tcW w:w="1842" w:type="dxa"/>
          </w:tcPr>
          <w:p w14:paraId="20FCCED0" w14:textId="77777777" w:rsidR="00234212" w:rsidRPr="00234212" w:rsidRDefault="00234212" w:rsidP="00234212">
            <w:pPr>
              <w:jc w:val="center"/>
            </w:pPr>
            <w:r w:rsidRPr="00234212">
              <w:t>15</w:t>
            </w:r>
          </w:p>
        </w:tc>
        <w:tc>
          <w:tcPr>
            <w:tcW w:w="1803" w:type="dxa"/>
          </w:tcPr>
          <w:p w14:paraId="1D96CDEB" w14:textId="77777777" w:rsidR="00234212" w:rsidRPr="00234212" w:rsidRDefault="00234212" w:rsidP="00234212">
            <w:pPr>
              <w:jc w:val="center"/>
            </w:pPr>
            <w:r w:rsidRPr="00234212">
              <w:t>14.1%</w:t>
            </w:r>
          </w:p>
        </w:tc>
      </w:tr>
      <w:tr w:rsidR="00234212" w:rsidRPr="00234212" w14:paraId="6A3FAC33" w14:textId="77777777" w:rsidTr="00234212">
        <w:tc>
          <w:tcPr>
            <w:tcW w:w="6091" w:type="dxa"/>
          </w:tcPr>
          <w:p w14:paraId="1C98676E" w14:textId="77777777" w:rsidR="00234212" w:rsidRPr="00234212" w:rsidRDefault="00234212" w:rsidP="00234212">
            <w:pPr>
              <w:rPr>
                <w:b/>
              </w:rPr>
            </w:pPr>
            <w:r w:rsidRPr="00234212">
              <w:t xml:space="preserve">             Over 25</w:t>
            </w:r>
          </w:p>
        </w:tc>
        <w:tc>
          <w:tcPr>
            <w:tcW w:w="1842" w:type="dxa"/>
          </w:tcPr>
          <w:p w14:paraId="1DC4981E" w14:textId="77777777" w:rsidR="00234212" w:rsidRPr="00234212" w:rsidRDefault="00234212" w:rsidP="00234212">
            <w:pPr>
              <w:jc w:val="center"/>
            </w:pPr>
            <w:r w:rsidRPr="00234212">
              <w:t>13</w:t>
            </w:r>
          </w:p>
        </w:tc>
        <w:tc>
          <w:tcPr>
            <w:tcW w:w="1803" w:type="dxa"/>
          </w:tcPr>
          <w:p w14:paraId="1A0C705F" w14:textId="77777777" w:rsidR="00234212" w:rsidRPr="00234212" w:rsidRDefault="00234212" w:rsidP="00234212">
            <w:pPr>
              <w:jc w:val="center"/>
            </w:pPr>
            <w:r w:rsidRPr="00234212">
              <w:t>12.2%</w:t>
            </w:r>
          </w:p>
        </w:tc>
      </w:tr>
      <w:tr w:rsidR="00234212" w:rsidRPr="00234212" w14:paraId="407F5FB2" w14:textId="77777777" w:rsidTr="00234212">
        <w:tc>
          <w:tcPr>
            <w:tcW w:w="9736" w:type="dxa"/>
            <w:gridSpan w:val="3"/>
          </w:tcPr>
          <w:p w14:paraId="27BE0981" w14:textId="77777777" w:rsidR="00234212" w:rsidRPr="00234212" w:rsidRDefault="00234212" w:rsidP="00234212">
            <w:r w:rsidRPr="00234212">
              <w:t xml:space="preserve">Type of school </w:t>
            </w:r>
          </w:p>
        </w:tc>
      </w:tr>
      <w:tr w:rsidR="00234212" w:rsidRPr="00234212" w14:paraId="56B450DF" w14:textId="77777777" w:rsidTr="00234212">
        <w:tc>
          <w:tcPr>
            <w:tcW w:w="6091" w:type="dxa"/>
          </w:tcPr>
          <w:p w14:paraId="71871497" w14:textId="77777777" w:rsidR="00234212" w:rsidRPr="00234212" w:rsidRDefault="00234212" w:rsidP="00234212">
            <w:pPr>
              <w:rPr>
                <w:b/>
              </w:rPr>
            </w:pPr>
            <w:r w:rsidRPr="00234212">
              <w:t xml:space="preserve">             Government</w:t>
            </w:r>
          </w:p>
        </w:tc>
        <w:tc>
          <w:tcPr>
            <w:tcW w:w="1842" w:type="dxa"/>
          </w:tcPr>
          <w:p w14:paraId="662DD865" w14:textId="77777777" w:rsidR="00234212" w:rsidRPr="00234212" w:rsidRDefault="00234212" w:rsidP="00234212">
            <w:pPr>
              <w:jc w:val="center"/>
            </w:pPr>
            <w:r w:rsidRPr="00234212">
              <w:t>66</w:t>
            </w:r>
          </w:p>
        </w:tc>
        <w:tc>
          <w:tcPr>
            <w:tcW w:w="1803" w:type="dxa"/>
          </w:tcPr>
          <w:p w14:paraId="07D37821" w14:textId="77777777" w:rsidR="00234212" w:rsidRPr="00234212" w:rsidRDefault="00234212" w:rsidP="00234212">
            <w:pPr>
              <w:jc w:val="center"/>
            </w:pPr>
            <w:r w:rsidRPr="00234212">
              <w:t>62.2%</w:t>
            </w:r>
          </w:p>
        </w:tc>
      </w:tr>
      <w:tr w:rsidR="00234212" w:rsidRPr="00234212" w14:paraId="354F426C" w14:textId="77777777" w:rsidTr="00234212">
        <w:tc>
          <w:tcPr>
            <w:tcW w:w="6091" w:type="dxa"/>
          </w:tcPr>
          <w:p w14:paraId="5E8F4E68" w14:textId="77777777" w:rsidR="00234212" w:rsidRPr="00234212" w:rsidRDefault="00234212" w:rsidP="00234212">
            <w:pPr>
              <w:ind w:left="880" w:hanging="880"/>
              <w:rPr>
                <w:b/>
                <w:sz w:val="20"/>
                <w:szCs w:val="20"/>
              </w:rPr>
            </w:pPr>
            <w:r w:rsidRPr="00234212">
              <w:rPr>
                <w:sz w:val="20"/>
                <w:szCs w:val="20"/>
              </w:rPr>
              <w:t xml:space="preserve">              </w:t>
            </w:r>
            <w:r w:rsidRPr="00234212">
              <w:t>Non-government (e.g. faith-based, private school)</w:t>
            </w:r>
          </w:p>
        </w:tc>
        <w:tc>
          <w:tcPr>
            <w:tcW w:w="1842" w:type="dxa"/>
          </w:tcPr>
          <w:p w14:paraId="3ABFCBFD" w14:textId="77777777" w:rsidR="00234212" w:rsidRPr="00234212" w:rsidRDefault="00234212" w:rsidP="00234212">
            <w:pPr>
              <w:jc w:val="center"/>
            </w:pPr>
            <w:r w:rsidRPr="00234212">
              <w:t>30</w:t>
            </w:r>
          </w:p>
        </w:tc>
        <w:tc>
          <w:tcPr>
            <w:tcW w:w="1803" w:type="dxa"/>
          </w:tcPr>
          <w:p w14:paraId="6B018B70" w14:textId="77777777" w:rsidR="00234212" w:rsidRPr="00234212" w:rsidRDefault="00234212" w:rsidP="00234212">
            <w:pPr>
              <w:jc w:val="center"/>
            </w:pPr>
            <w:r w:rsidRPr="00234212">
              <w:t>28.3%</w:t>
            </w:r>
          </w:p>
        </w:tc>
      </w:tr>
      <w:tr w:rsidR="00234212" w:rsidRPr="00234212" w14:paraId="7D35F24E" w14:textId="77777777" w:rsidTr="00234212">
        <w:tc>
          <w:tcPr>
            <w:tcW w:w="6091" w:type="dxa"/>
          </w:tcPr>
          <w:p w14:paraId="3CB3F117" w14:textId="77777777" w:rsidR="00234212" w:rsidRPr="00234212" w:rsidRDefault="00234212" w:rsidP="00234212">
            <w:pPr>
              <w:rPr>
                <w:b/>
              </w:rPr>
            </w:pPr>
            <w:r w:rsidRPr="00234212">
              <w:t xml:space="preserve">             Distance education or e-learning</w:t>
            </w:r>
          </w:p>
        </w:tc>
        <w:tc>
          <w:tcPr>
            <w:tcW w:w="1842" w:type="dxa"/>
          </w:tcPr>
          <w:p w14:paraId="5E34E09C" w14:textId="77777777" w:rsidR="00234212" w:rsidRPr="00234212" w:rsidRDefault="00234212" w:rsidP="00234212">
            <w:pPr>
              <w:jc w:val="center"/>
            </w:pPr>
            <w:r w:rsidRPr="00234212">
              <w:t>4</w:t>
            </w:r>
          </w:p>
        </w:tc>
        <w:tc>
          <w:tcPr>
            <w:tcW w:w="1803" w:type="dxa"/>
          </w:tcPr>
          <w:p w14:paraId="2D99B809" w14:textId="77777777" w:rsidR="00234212" w:rsidRPr="00234212" w:rsidRDefault="00234212" w:rsidP="00234212">
            <w:pPr>
              <w:jc w:val="center"/>
            </w:pPr>
            <w:r w:rsidRPr="00234212">
              <w:t>3.7%</w:t>
            </w:r>
          </w:p>
        </w:tc>
      </w:tr>
      <w:tr w:rsidR="00234212" w:rsidRPr="00234212" w14:paraId="05BB9750" w14:textId="77777777" w:rsidTr="00234212">
        <w:tc>
          <w:tcPr>
            <w:tcW w:w="6091" w:type="dxa"/>
          </w:tcPr>
          <w:p w14:paraId="199D8DA7" w14:textId="77777777" w:rsidR="00234212" w:rsidRPr="00234212" w:rsidRDefault="00234212" w:rsidP="00234212">
            <w:pPr>
              <w:rPr>
                <w:b/>
              </w:rPr>
            </w:pPr>
            <w:r w:rsidRPr="00234212">
              <w:t xml:space="preserve">             Other </w:t>
            </w:r>
          </w:p>
        </w:tc>
        <w:tc>
          <w:tcPr>
            <w:tcW w:w="1842" w:type="dxa"/>
          </w:tcPr>
          <w:p w14:paraId="4C500820" w14:textId="77777777" w:rsidR="00234212" w:rsidRPr="00234212" w:rsidRDefault="00234212" w:rsidP="00234212">
            <w:pPr>
              <w:jc w:val="center"/>
            </w:pPr>
            <w:r w:rsidRPr="00234212">
              <w:t>7</w:t>
            </w:r>
          </w:p>
        </w:tc>
        <w:tc>
          <w:tcPr>
            <w:tcW w:w="1803" w:type="dxa"/>
          </w:tcPr>
          <w:p w14:paraId="35547FE7" w14:textId="77777777" w:rsidR="00234212" w:rsidRPr="00234212" w:rsidRDefault="00234212" w:rsidP="00234212">
            <w:pPr>
              <w:jc w:val="center"/>
            </w:pPr>
            <w:r w:rsidRPr="00234212">
              <w:t>6.6%</w:t>
            </w:r>
          </w:p>
        </w:tc>
      </w:tr>
    </w:tbl>
    <w:p w14:paraId="31725927" w14:textId="77777777" w:rsidR="00234212" w:rsidRDefault="00234212" w:rsidP="00597ADA">
      <w:pPr>
        <w:rPr>
          <w:b/>
          <w:bCs/>
        </w:rPr>
      </w:pPr>
    </w:p>
    <w:p w14:paraId="54A16635" w14:textId="77777777" w:rsidR="003D19C9" w:rsidRPr="0022288C" w:rsidRDefault="003D19C9" w:rsidP="003D19C9">
      <w:pPr>
        <w:pStyle w:val="Heading2"/>
        <w:rPr>
          <w:color w:val="538135" w:themeColor="accent6" w:themeShade="BF"/>
        </w:rPr>
      </w:pPr>
      <w:r w:rsidRPr="0022288C">
        <w:rPr>
          <w:color w:val="538135" w:themeColor="accent6" w:themeShade="BF"/>
        </w:rPr>
        <w:t>Address exclusion in schools</w:t>
      </w:r>
    </w:p>
    <w:p w14:paraId="4EDAD126" w14:textId="77777777" w:rsidR="00597ADA" w:rsidRPr="0022288C" w:rsidRDefault="00597ADA" w:rsidP="00374F54">
      <w:pPr>
        <w:pStyle w:val="Heading2"/>
        <w:rPr>
          <w:b w:val="0"/>
          <w:bCs/>
          <w:i/>
          <w:iCs/>
        </w:rPr>
      </w:pPr>
      <w:r w:rsidRPr="0022288C">
        <w:rPr>
          <w:b w:val="0"/>
          <w:bCs/>
          <w:i/>
          <w:iCs/>
        </w:rPr>
        <w:t>Ongoing segregation in Australian schools</w:t>
      </w:r>
    </w:p>
    <w:p w14:paraId="3A55E9E8" w14:textId="77777777" w:rsidR="00234212" w:rsidRPr="00234212" w:rsidRDefault="00234212" w:rsidP="00234212">
      <w:pPr>
        <w:keepNext/>
        <w:rPr>
          <w:b/>
        </w:rPr>
      </w:pPr>
      <w:r w:rsidRPr="00234212">
        <w:rPr>
          <w:b/>
        </w:rPr>
        <w:t>Table 2. School setting of survey respondents (n=101)</w:t>
      </w:r>
    </w:p>
    <w:tbl>
      <w:tblPr>
        <w:tblStyle w:val="TableGrid"/>
        <w:tblW w:w="0" w:type="auto"/>
        <w:tblLook w:val="04A0" w:firstRow="1" w:lastRow="0" w:firstColumn="1" w:lastColumn="0" w:noHBand="0" w:noVBand="1"/>
      </w:tblPr>
      <w:tblGrid>
        <w:gridCol w:w="5807"/>
        <w:gridCol w:w="1964"/>
        <w:gridCol w:w="1965"/>
      </w:tblGrid>
      <w:tr w:rsidR="00234212" w:rsidRPr="00234212" w14:paraId="241A5AB6" w14:textId="77777777" w:rsidTr="00234212">
        <w:tc>
          <w:tcPr>
            <w:tcW w:w="5807" w:type="dxa"/>
          </w:tcPr>
          <w:p w14:paraId="0CFB45E5" w14:textId="77777777" w:rsidR="00234212" w:rsidRPr="00234212" w:rsidRDefault="00234212" w:rsidP="00234212">
            <w:pPr>
              <w:keepNext/>
              <w:rPr>
                <w:b/>
              </w:rPr>
            </w:pPr>
            <w:r w:rsidRPr="00234212">
              <w:rPr>
                <w:b/>
              </w:rPr>
              <w:t xml:space="preserve">School setting </w:t>
            </w:r>
          </w:p>
        </w:tc>
        <w:tc>
          <w:tcPr>
            <w:tcW w:w="1964" w:type="dxa"/>
          </w:tcPr>
          <w:p w14:paraId="1EB52927" w14:textId="77777777" w:rsidR="00234212" w:rsidRPr="00234212" w:rsidRDefault="00234212" w:rsidP="00234212">
            <w:pPr>
              <w:keepNext/>
              <w:jc w:val="center"/>
              <w:rPr>
                <w:b/>
              </w:rPr>
            </w:pPr>
            <w:r w:rsidRPr="00234212">
              <w:rPr>
                <w:b/>
              </w:rPr>
              <w:t>Number</w:t>
            </w:r>
          </w:p>
        </w:tc>
        <w:tc>
          <w:tcPr>
            <w:tcW w:w="1965" w:type="dxa"/>
          </w:tcPr>
          <w:p w14:paraId="26F8712C" w14:textId="77777777" w:rsidR="00234212" w:rsidRPr="00234212" w:rsidRDefault="00234212" w:rsidP="00234212">
            <w:pPr>
              <w:keepNext/>
              <w:jc w:val="center"/>
              <w:rPr>
                <w:b/>
              </w:rPr>
            </w:pPr>
            <w:r w:rsidRPr="00234212">
              <w:rPr>
                <w:b/>
              </w:rPr>
              <w:t>Percentage</w:t>
            </w:r>
          </w:p>
        </w:tc>
      </w:tr>
      <w:tr w:rsidR="00234212" w:rsidRPr="00234212" w14:paraId="54073E1A" w14:textId="77777777" w:rsidTr="00234212">
        <w:tc>
          <w:tcPr>
            <w:tcW w:w="5807" w:type="dxa"/>
          </w:tcPr>
          <w:p w14:paraId="2216B4A9" w14:textId="77777777" w:rsidR="00234212" w:rsidRPr="00234212" w:rsidRDefault="00234212" w:rsidP="00234212">
            <w:pPr>
              <w:keepNext/>
            </w:pPr>
            <w:r w:rsidRPr="00234212">
              <w:t>Mainstream school</w:t>
            </w:r>
          </w:p>
        </w:tc>
        <w:tc>
          <w:tcPr>
            <w:tcW w:w="1964" w:type="dxa"/>
          </w:tcPr>
          <w:p w14:paraId="5C1D883E" w14:textId="77777777" w:rsidR="00234212" w:rsidRPr="00234212" w:rsidRDefault="00234212" w:rsidP="00234212">
            <w:pPr>
              <w:keepNext/>
              <w:jc w:val="center"/>
            </w:pPr>
            <w:r w:rsidRPr="00234212">
              <w:t>60</w:t>
            </w:r>
          </w:p>
        </w:tc>
        <w:tc>
          <w:tcPr>
            <w:tcW w:w="1965" w:type="dxa"/>
          </w:tcPr>
          <w:p w14:paraId="74008BFC" w14:textId="77777777" w:rsidR="00234212" w:rsidRPr="00234212" w:rsidRDefault="00234212" w:rsidP="00234212">
            <w:pPr>
              <w:keepNext/>
              <w:jc w:val="center"/>
            </w:pPr>
            <w:r w:rsidRPr="00234212">
              <w:t>59.4%</w:t>
            </w:r>
          </w:p>
        </w:tc>
      </w:tr>
      <w:tr w:rsidR="00234212" w:rsidRPr="00234212" w14:paraId="467534C6" w14:textId="77777777" w:rsidTr="00234212">
        <w:tc>
          <w:tcPr>
            <w:tcW w:w="5807" w:type="dxa"/>
          </w:tcPr>
          <w:p w14:paraId="34E65984" w14:textId="77777777" w:rsidR="00234212" w:rsidRPr="00234212" w:rsidRDefault="00234212" w:rsidP="00234212">
            <w:pPr>
              <w:keepNext/>
            </w:pPr>
            <w:r w:rsidRPr="00234212">
              <w:t>Special school</w:t>
            </w:r>
          </w:p>
        </w:tc>
        <w:tc>
          <w:tcPr>
            <w:tcW w:w="1964" w:type="dxa"/>
          </w:tcPr>
          <w:p w14:paraId="0404F047" w14:textId="77777777" w:rsidR="00234212" w:rsidRPr="00234212" w:rsidRDefault="00234212" w:rsidP="00234212">
            <w:pPr>
              <w:keepNext/>
              <w:jc w:val="center"/>
            </w:pPr>
            <w:r w:rsidRPr="00234212">
              <w:t>24</w:t>
            </w:r>
          </w:p>
        </w:tc>
        <w:tc>
          <w:tcPr>
            <w:tcW w:w="1965" w:type="dxa"/>
          </w:tcPr>
          <w:p w14:paraId="4C8286AB" w14:textId="77777777" w:rsidR="00234212" w:rsidRPr="00234212" w:rsidRDefault="00234212" w:rsidP="00234212">
            <w:pPr>
              <w:keepNext/>
              <w:jc w:val="center"/>
            </w:pPr>
            <w:r w:rsidRPr="00234212">
              <w:t>23.7%</w:t>
            </w:r>
          </w:p>
        </w:tc>
      </w:tr>
      <w:tr w:rsidR="00234212" w:rsidRPr="00234212" w14:paraId="403DC4B5" w14:textId="77777777" w:rsidTr="00234212">
        <w:tc>
          <w:tcPr>
            <w:tcW w:w="5807" w:type="dxa"/>
          </w:tcPr>
          <w:p w14:paraId="197663ED" w14:textId="77777777" w:rsidR="00234212" w:rsidRPr="00234212" w:rsidRDefault="00234212" w:rsidP="00234212">
            <w:pPr>
              <w:keepNext/>
            </w:pPr>
            <w:r w:rsidRPr="00234212">
              <w:t>Dual enrolment</w:t>
            </w:r>
          </w:p>
        </w:tc>
        <w:tc>
          <w:tcPr>
            <w:tcW w:w="1964" w:type="dxa"/>
          </w:tcPr>
          <w:p w14:paraId="6DE44653" w14:textId="77777777" w:rsidR="00234212" w:rsidRPr="00234212" w:rsidRDefault="00234212" w:rsidP="00234212">
            <w:pPr>
              <w:keepNext/>
              <w:jc w:val="center"/>
            </w:pPr>
            <w:r w:rsidRPr="00234212">
              <w:t>5</w:t>
            </w:r>
          </w:p>
        </w:tc>
        <w:tc>
          <w:tcPr>
            <w:tcW w:w="1965" w:type="dxa"/>
          </w:tcPr>
          <w:p w14:paraId="696AC613" w14:textId="77777777" w:rsidR="00234212" w:rsidRPr="00234212" w:rsidRDefault="00234212" w:rsidP="00234212">
            <w:pPr>
              <w:keepNext/>
              <w:jc w:val="center"/>
            </w:pPr>
            <w:r w:rsidRPr="00234212">
              <w:t>4.9%</w:t>
            </w:r>
          </w:p>
        </w:tc>
      </w:tr>
      <w:tr w:rsidR="00234212" w:rsidRPr="00234212" w14:paraId="12A4CCF0" w14:textId="77777777" w:rsidTr="00234212">
        <w:tc>
          <w:tcPr>
            <w:tcW w:w="5807" w:type="dxa"/>
          </w:tcPr>
          <w:p w14:paraId="1CB02C9F" w14:textId="77777777" w:rsidR="00234212" w:rsidRPr="00234212" w:rsidRDefault="00234212" w:rsidP="00234212">
            <w:pPr>
              <w:keepNext/>
            </w:pPr>
            <w:r w:rsidRPr="00234212">
              <w:t>Other</w:t>
            </w:r>
          </w:p>
        </w:tc>
        <w:tc>
          <w:tcPr>
            <w:tcW w:w="1964" w:type="dxa"/>
          </w:tcPr>
          <w:p w14:paraId="2DAC9393" w14:textId="77777777" w:rsidR="00234212" w:rsidRPr="00234212" w:rsidRDefault="00234212" w:rsidP="00234212">
            <w:pPr>
              <w:keepNext/>
              <w:jc w:val="center"/>
            </w:pPr>
            <w:r w:rsidRPr="00234212">
              <w:t>15</w:t>
            </w:r>
          </w:p>
        </w:tc>
        <w:tc>
          <w:tcPr>
            <w:tcW w:w="1965" w:type="dxa"/>
          </w:tcPr>
          <w:p w14:paraId="50A630A3" w14:textId="77777777" w:rsidR="00234212" w:rsidRPr="00234212" w:rsidRDefault="00234212" w:rsidP="00234212">
            <w:pPr>
              <w:keepNext/>
              <w:jc w:val="center"/>
            </w:pPr>
            <w:r w:rsidRPr="00234212">
              <w:t>14.8%</w:t>
            </w:r>
          </w:p>
        </w:tc>
      </w:tr>
    </w:tbl>
    <w:p w14:paraId="57044505" w14:textId="77777777" w:rsidR="00234212" w:rsidRDefault="00234212" w:rsidP="00234212">
      <w:pPr>
        <w:keepNext/>
        <w:rPr>
          <w:b/>
        </w:rPr>
      </w:pPr>
    </w:p>
    <w:p w14:paraId="4736DED2" w14:textId="77777777" w:rsidR="00234212" w:rsidRPr="00234212" w:rsidRDefault="00234212" w:rsidP="00234212">
      <w:pPr>
        <w:keepNext/>
        <w:rPr>
          <w:b/>
        </w:rPr>
      </w:pPr>
      <w:r w:rsidRPr="00234212">
        <w:rPr>
          <w:b/>
        </w:rPr>
        <w:t>Table 3. Type of class of survey respondents were/are enrolled (n=86)</w:t>
      </w:r>
    </w:p>
    <w:tbl>
      <w:tblPr>
        <w:tblStyle w:val="TableGrid"/>
        <w:tblW w:w="0" w:type="auto"/>
        <w:tblLook w:val="04A0" w:firstRow="1" w:lastRow="0" w:firstColumn="1" w:lastColumn="0" w:noHBand="0" w:noVBand="1"/>
      </w:tblPr>
      <w:tblGrid>
        <w:gridCol w:w="5807"/>
        <w:gridCol w:w="1964"/>
        <w:gridCol w:w="1965"/>
      </w:tblGrid>
      <w:tr w:rsidR="00234212" w:rsidRPr="00234212" w14:paraId="37DD0CD6" w14:textId="77777777" w:rsidTr="00234212">
        <w:tc>
          <w:tcPr>
            <w:tcW w:w="5807" w:type="dxa"/>
          </w:tcPr>
          <w:p w14:paraId="1F0EF270" w14:textId="77777777" w:rsidR="00234212" w:rsidRPr="00234212" w:rsidRDefault="00234212" w:rsidP="00234212">
            <w:pPr>
              <w:keepNext/>
              <w:rPr>
                <w:b/>
              </w:rPr>
            </w:pPr>
            <w:r w:rsidRPr="00234212">
              <w:rPr>
                <w:b/>
              </w:rPr>
              <w:t>Type of class</w:t>
            </w:r>
          </w:p>
        </w:tc>
        <w:tc>
          <w:tcPr>
            <w:tcW w:w="1964" w:type="dxa"/>
          </w:tcPr>
          <w:p w14:paraId="1B77657E" w14:textId="77777777" w:rsidR="00234212" w:rsidRPr="00234212" w:rsidRDefault="00234212" w:rsidP="00234212">
            <w:pPr>
              <w:keepNext/>
              <w:jc w:val="center"/>
              <w:rPr>
                <w:b/>
              </w:rPr>
            </w:pPr>
            <w:r w:rsidRPr="00234212">
              <w:rPr>
                <w:b/>
              </w:rPr>
              <w:t>Number</w:t>
            </w:r>
          </w:p>
        </w:tc>
        <w:tc>
          <w:tcPr>
            <w:tcW w:w="1965" w:type="dxa"/>
          </w:tcPr>
          <w:p w14:paraId="4E7D4C18" w14:textId="77777777" w:rsidR="00234212" w:rsidRPr="00234212" w:rsidRDefault="00234212" w:rsidP="00234212">
            <w:pPr>
              <w:keepNext/>
              <w:jc w:val="center"/>
              <w:rPr>
                <w:b/>
              </w:rPr>
            </w:pPr>
            <w:r w:rsidRPr="00234212">
              <w:rPr>
                <w:b/>
              </w:rPr>
              <w:t>Percentage</w:t>
            </w:r>
          </w:p>
        </w:tc>
      </w:tr>
      <w:tr w:rsidR="00234212" w:rsidRPr="00234212" w14:paraId="159560F6" w14:textId="77777777" w:rsidTr="00234212">
        <w:tc>
          <w:tcPr>
            <w:tcW w:w="5807" w:type="dxa"/>
          </w:tcPr>
          <w:p w14:paraId="36423899" w14:textId="77777777" w:rsidR="00234212" w:rsidRPr="00234212" w:rsidRDefault="00234212" w:rsidP="00234212">
            <w:r w:rsidRPr="00234212">
              <w:t>Regular class</w:t>
            </w:r>
          </w:p>
        </w:tc>
        <w:tc>
          <w:tcPr>
            <w:tcW w:w="1964" w:type="dxa"/>
          </w:tcPr>
          <w:p w14:paraId="25820AAB" w14:textId="77777777" w:rsidR="00234212" w:rsidRPr="00234212" w:rsidRDefault="00234212" w:rsidP="00234212">
            <w:pPr>
              <w:jc w:val="center"/>
            </w:pPr>
            <w:r w:rsidRPr="00234212">
              <w:t>51</w:t>
            </w:r>
          </w:p>
        </w:tc>
        <w:tc>
          <w:tcPr>
            <w:tcW w:w="1965" w:type="dxa"/>
          </w:tcPr>
          <w:p w14:paraId="08E007BC" w14:textId="77777777" w:rsidR="00234212" w:rsidRPr="00234212" w:rsidRDefault="00234212" w:rsidP="00234212">
            <w:pPr>
              <w:jc w:val="center"/>
            </w:pPr>
            <w:r w:rsidRPr="00234212">
              <w:t>59.3%</w:t>
            </w:r>
          </w:p>
        </w:tc>
      </w:tr>
      <w:tr w:rsidR="00234212" w:rsidRPr="00234212" w14:paraId="44B7EF02" w14:textId="77777777" w:rsidTr="00234212">
        <w:tc>
          <w:tcPr>
            <w:tcW w:w="5807" w:type="dxa"/>
          </w:tcPr>
          <w:p w14:paraId="1EB5708C" w14:textId="77777777" w:rsidR="00234212" w:rsidRPr="00234212" w:rsidRDefault="00234212" w:rsidP="00234212">
            <w:r w:rsidRPr="00234212">
              <w:t>Special unit</w:t>
            </w:r>
          </w:p>
        </w:tc>
        <w:tc>
          <w:tcPr>
            <w:tcW w:w="1964" w:type="dxa"/>
          </w:tcPr>
          <w:p w14:paraId="31AB60A9" w14:textId="77777777" w:rsidR="00234212" w:rsidRPr="00234212" w:rsidRDefault="00234212" w:rsidP="00234212">
            <w:pPr>
              <w:jc w:val="center"/>
            </w:pPr>
            <w:r w:rsidRPr="00234212">
              <w:t>22</w:t>
            </w:r>
          </w:p>
        </w:tc>
        <w:tc>
          <w:tcPr>
            <w:tcW w:w="1965" w:type="dxa"/>
          </w:tcPr>
          <w:p w14:paraId="16A7F6E8" w14:textId="77777777" w:rsidR="00234212" w:rsidRPr="00234212" w:rsidRDefault="00234212" w:rsidP="00234212">
            <w:pPr>
              <w:jc w:val="center"/>
            </w:pPr>
            <w:r w:rsidRPr="00234212">
              <w:t>25.5%</w:t>
            </w:r>
          </w:p>
        </w:tc>
      </w:tr>
      <w:tr w:rsidR="00234212" w:rsidRPr="00234212" w14:paraId="34666382" w14:textId="77777777" w:rsidTr="00234212">
        <w:tc>
          <w:tcPr>
            <w:tcW w:w="5807" w:type="dxa"/>
          </w:tcPr>
          <w:p w14:paraId="5F58F990" w14:textId="77777777" w:rsidR="00234212" w:rsidRPr="00234212" w:rsidRDefault="00234212" w:rsidP="00234212">
            <w:r w:rsidRPr="00234212">
              <w:t>Other (combination of both)</w:t>
            </w:r>
          </w:p>
        </w:tc>
        <w:tc>
          <w:tcPr>
            <w:tcW w:w="1964" w:type="dxa"/>
          </w:tcPr>
          <w:p w14:paraId="736B0158" w14:textId="77777777" w:rsidR="00234212" w:rsidRPr="00234212" w:rsidRDefault="00234212" w:rsidP="00234212">
            <w:pPr>
              <w:jc w:val="center"/>
            </w:pPr>
            <w:r w:rsidRPr="00234212">
              <w:t>21</w:t>
            </w:r>
          </w:p>
        </w:tc>
        <w:tc>
          <w:tcPr>
            <w:tcW w:w="1965" w:type="dxa"/>
          </w:tcPr>
          <w:p w14:paraId="6B1F8CB8" w14:textId="77777777" w:rsidR="00234212" w:rsidRPr="00234212" w:rsidRDefault="00234212" w:rsidP="00234212">
            <w:pPr>
              <w:jc w:val="center"/>
            </w:pPr>
            <w:r w:rsidRPr="00234212">
              <w:t>24.4%</w:t>
            </w:r>
          </w:p>
        </w:tc>
      </w:tr>
    </w:tbl>
    <w:p w14:paraId="52203372" w14:textId="77777777" w:rsidR="00234212" w:rsidRDefault="00234212" w:rsidP="00597ADA">
      <w:pPr>
        <w:keepNext/>
        <w:rPr>
          <w:b/>
        </w:rPr>
      </w:pPr>
    </w:p>
    <w:p w14:paraId="49FCA407" w14:textId="77777777" w:rsidR="00597ADA" w:rsidRDefault="00597ADA" w:rsidP="00597ADA"/>
    <w:p w14:paraId="7C2D89F7" w14:textId="77777777" w:rsidR="00597ADA" w:rsidRPr="0022288C" w:rsidRDefault="00597ADA" w:rsidP="0022288C">
      <w:pPr>
        <w:pStyle w:val="Heading2"/>
        <w:rPr>
          <w:b w:val="0"/>
          <w:bCs/>
          <w:i/>
          <w:iCs/>
        </w:rPr>
      </w:pPr>
      <w:r w:rsidRPr="0022288C">
        <w:rPr>
          <w:b w:val="0"/>
          <w:bCs/>
          <w:i/>
          <w:iCs/>
        </w:rPr>
        <w:t>Low expectations for students and young people with disability</w:t>
      </w:r>
    </w:p>
    <w:p w14:paraId="4E3E8F62" w14:textId="77777777" w:rsidR="00234212" w:rsidRPr="00234212" w:rsidRDefault="00234212" w:rsidP="00234212">
      <w:pPr>
        <w:keepNext/>
        <w:rPr>
          <w:b/>
        </w:rPr>
      </w:pPr>
      <w:r w:rsidRPr="00234212">
        <w:rPr>
          <w:b/>
        </w:rPr>
        <w:t>Table 4. Students with disability who completed ATAR score of survey respondents (n=101)</w:t>
      </w:r>
    </w:p>
    <w:tbl>
      <w:tblPr>
        <w:tblStyle w:val="TableGrid"/>
        <w:tblW w:w="0" w:type="auto"/>
        <w:tblLook w:val="04A0" w:firstRow="1" w:lastRow="0" w:firstColumn="1" w:lastColumn="0" w:noHBand="0" w:noVBand="1"/>
      </w:tblPr>
      <w:tblGrid>
        <w:gridCol w:w="5807"/>
        <w:gridCol w:w="1964"/>
        <w:gridCol w:w="1965"/>
      </w:tblGrid>
      <w:tr w:rsidR="00234212" w:rsidRPr="00234212" w14:paraId="1C6824E3" w14:textId="77777777" w:rsidTr="00234212">
        <w:tc>
          <w:tcPr>
            <w:tcW w:w="5807" w:type="dxa"/>
          </w:tcPr>
          <w:p w14:paraId="510F8967" w14:textId="77777777" w:rsidR="00234212" w:rsidRPr="00234212" w:rsidRDefault="00234212" w:rsidP="00234212">
            <w:pPr>
              <w:keepNext/>
              <w:rPr>
                <w:b/>
              </w:rPr>
            </w:pPr>
            <w:r w:rsidRPr="00234212">
              <w:rPr>
                <w:b/>
              </w:rPr>
              <w:t>Students with disability who completed ATAR score</w:t>
            </w:r>
          </w:p>
        </w:tc>
        <w:tc>
          <w:tcPr>
            <w:tcW w:w="1964" w:type="dxa"/>
          </w:tcPr>
          <w:p w14:paraId="5C171659" w14:textId="77777777" w:rsidR="00234212" w:rsidRPr="00234212" w:rsidRDefault="00234212" w:rsidP="00234212">
            <w:pPr>
              <w:keepNext/>
              <w:jc w:val="center"/>
              <w:rPr>
                <w:b/>
              </w:rPr>
            </w:pPr>
            <w:r w:rsidRPr="00234212">
              <w:rPr>
                <w:b/>
              </w:rPr>
              <w:t>Number</w:t>
            </w:r>
          </w:p>
        </w:tc>
        <w:tc>
          <w:tcPr>
            <w:tcW w:w="1965" w:type="dxa"/>
          </w:tcPr>
          <w:p w14:paraId="7CC13DAE" w14:textId="77777777" w:rsidR="00234212" w:rsidRPr="00234212" w:rsidRDefault="00234212" w:rsidP="00234212">
            <w:pPr>
              <w:keepNext/>
              <w:jc w:val="center"/>
              <w:rPr>
                <w:b/>
              </w:rPr>
            </w:pPr>
            <w:r w:rsidRPr="00234212">
              <w:rPr>
                <w:b/>
              </w:rPr>
              <w:t>Percentage</w:t>
            </w:r>
          </w:p>
        </w:tc>
      </w:tr>
      <w:tr w:rsidR="00234212" w:rsidRPr="00234212" w14:paraId="56006DA6" w14:textId="77777777" w:rsidTr="00234212">
        <w:tc>
          <w:tcPr>
            <w:tcW w:w="5807" w:type="dxa"/>
          </w:tcPr>
          <w:p w14:paraId="625BE8DC" w14:textId="77777777" w:rsidR="00234212" w:rsidRPr="00234212" w:rsidRDefault="00234212" w:rsidP="00234212">
            <w:r w:rsidRPr="00234212">
              <w:t>No</w:t>
            </w:r>
          </w:p>
        </w:tc>
        <w:tc>
          <w:tcPr>
            <w:tcW w:w="1964" w:type="dxa"/>
          </w:tcPr>
          <w:p w14:paraId="7B013C4D" w14:textId="77777777" w:rsidR="00234212" w:rsidRPr="00234212" w:rsidRDefault="00234212" w:rsidP="00234212">
            <w:pPr>
              <w:jc w:val="center"/>
            </w:pPr>
            <w:r w:rsidRPr="00234212">
              <w:t>71</w:t>
            </w:r>
          </w:p>
        </w:tc>
        <w:tc>
          <w:tcPr>
            <w:tcW w:w="1965" w:type="dxa"/>
          </w:tcPr>
          <w:p w14:paraId="797343E4" w14:textId="77777777" w:rsidR="00234212" w:rsidRPr="00234212" w:rsidRDefault="00234212" w:rsidP="00234212">
            <w:pPr>
              <w:jc w:val="center"/>
            </w:pPr>
            <w:r w:rsidRPr="00234212">
              <w:t>70.2%</w:t>
            </w:r>
          </w:p>
        </w:tc>
      </w:tr>
      <w:tr w:rsidR="00234212" w:rsidRPr="00234212" w14:paraId="08772B12" w14:textId="77777777" w:rsidTr="00234212">
        <w:tc>
          <w:tcPr>
            <w:tcW w:w="5807" w:type="dxa"/>
          </w:tcPr>
          <w:p w14:paraId="697B61D4" w14:textId="77777777" w:rsidR="00234212" w:rsidRPr="00234212" w:rsidRDefault="00234212" w:rsidP="00234212">
            <w:r w:rsidRPr="00234212">
              <w:t>Yes</w:t>
            </w:r>
          </w:p>
        </w:tc>
        <w:tc>
          <w:tcPr>
            <w:tcW w:w="1964" w:type="dxa"/>
          </w:tcPr>
          <w:p w14:paraId="3D64EAC4" w14:textId="77777777" w:rsidR="00234212" w:rsidRPr="00234212" w:rsidRDefault="00234212" w:rsidP="00234212">
            <w:pPr>
              <w:jc w:val="center"/>
            </w:pPr>
            <w:r w:rsidRPr="00234212">
              <w:t>21</w:t>
            </w:r>
          </w:p>
        </w:tc>
        <w:tc>
          <w:tcPr>
            <w:tcW w:w="1965" w:type="dxa"/>
          </w:tcPr>
          <w:p w14:paraId="638F387E" w14:textId="77777777" w:rsidR="00234212" w:rsidRPr="00234212" w:rsidRDefault="00234212" w:rsidP="00234212">
            <w:pPr>
              <w:jc w:val="center"/>
            </w:pPr>
            <w:r w:rsidRPr="00234212">
              <w:t>20.7%</w:t>
            </w:r>
          </w:p>
        </w:tc>
      </w:tr>
      <w:tr w:rsidR="00234212" w:rsidRPr="00234212" w14:paraId="0736CF73" w14:textId="77777777" w:rsidTr="00234212">
        <w:tc>
          <w:tcPr>
            <w:tcW w:w="5807" w:type="dxa"/>
          </w:tcPr>
          <w:p w14:paraId="5EBBF73A" w14:textId="77777777" w:rsidR="00234212" w:rsidRPr="00234212" w:rsidRDefault="00234212" w:rsidP="00234212">
            <w:r w:rsidRPr="00234212">
              <w:t xml:space="preserve">Don’t know </w:t>
            </w:r>
          </w:p>
        </w:tc>
        <w:tc>
          <w:tcPr>
            <w:tcW w:w="1964" w:type="dxa"/>
          </w:tcPr>
          <w:p w14:paraId="6C0853EB" w14:textId="77777777" w:rsidR="00234212" w:rsidRPr="00234212" w:rsidRDefault="00234212" w:rsidP="00234212">
            <w:pPr>
              <w:jc w:val="center"/>
            </w:pPr>
            <w:r w:rsidRPr="00234212">
              <w:t>8</w:t>
            </w:r>
          </w:p>
        </w:tc>
        <w:tc>
          <w:tcPr>
            <w:tcW w:w="1965" w:type="dxa"/>
          </w:tcPr>
          <w:p w14:paraId="16885523" w14:textId="77777777" w:rsidR="00234212" w:rsidRPr="00234212" w:rsidRDefault="00234212" w:rsidP="00234212">
            <w:pPr>
              <w:jc w:val="center"/>
            </w:pPr>
            <w:r w:rsidRPr="00234212">
              <w:t>7.9%</w:t>
            </w:r>
          </w:p>
        </w:tc>
      </w:tr>
    </w:tbl>
    <w:p w14:paraId="3FAB2224" w14:textId="77777777" w:rsidR="00597ADA" w:rsidRDefault="00597ADA" w:rsidP="00597ADA"/>
    <w:p w14:paraId="2349A0C9" w14:textId="77777777" w:rsidR="003D19C9" w:rsidRPr="0022288C" w:rsidRDefault="003D19C9" w:rsidP="003D19C9">
      <w:pPr>
        <w:pStyle w:val="Heading2"/>
        <w:rPr>
          <w:color w:val="538135" w:themeColor="accent6" w:themeShade="BF"/>
        </w:rPr>
      </w:pPr>
      <w:r>
        <w:rPr>
          <w:color w:val="538135" w:themeColor="accent6" w:themeShade="BF"/>
        </w:rPr>
        <w:t>Develop tailored transition support for students with disability</w:t>
      </w:r>
    </w:p>
    <w:p w14:paraId="5AAA1376" w14:textId="77777777" w:rsidR="00597ADA" w:rsidRPr="003D19C9" w:rsidRDefault="00597ADA" w:rsidP="00374F54">
      <w:pPr>
        <w:pStyle w:val="Heading2"/>
        <w:rPr>
          <w:b w:val="0"/>
          <w:bCs/>
          <w:i/>
          <w:iCs/>
        </w:rPr>
      </w:pPr>
      <w:r w:rsidRPr="003D19C9">
        <w:rPr>
          <w:b w:val="0"/>
          <w:bCs/>
          <w:i/>
          <w:iCs/>
        </w:rPr>
        <w:t>Lack of appropriate support for students’ career-planning</w:t>
      </w:r>
    </w:p>
    <w:p w14:paraId="49B98AE8" w14:textId="77777777" w:rsidR="00597ADA" w:rsidRPr="007A74A2" w:rsidRDefault="00597ADA" w:rsidP="00597ADA">
      <w:pPr>
        <w:keepNext/>
        <w:rPr>
          <w:b/>
          <w14:textOutline w14:w="9525" w14:cap="rnd" w14:cmpd="sng" w14:algn="ctr">
            <w14:solidFill>
              <w14:schemeClr w14:val="accent1"/>
            </w14:solidFill>
            <w14:prstDash w14:val="solid"/>
            <w14:bevel/>
          </w14:textOutline>
        </w:rPr>
      </w:pPr>
      <w:r w:rsidRPr="005D1DE8">
        <w:rPr>
          <w:b/>
        </w:rPr>
        <w:t>Figure 1.</w:t>
      </w:r>
      <w:r w:rsidRPr="00DA2DB8">
        <w:rPr>
          <w:b/>
        </w:rPr>
        <w:t xml:space="preserve"> </w:t>
      </w:r>
      <w:r>
        <w:rPr>
          <w:b/>
        </w:rPr>
        <w:t>Respondents’ level of agreement with statements around the transition support they received</w:t>
      </w:r>
    </w:p>
    <w:p w14:paraId="6E12B57A" w14:textId="7D11DF9D" w:rsidR="00597ADA" w:rsidRPr="007A74A2" w:rsidRDefault="00DA1D4C" w:rsidP="00597ADA">
      <w:pPr>
        <w:keepNext/>
        <w:rPr>
          <w:b/>
        </w:rPr>
      </w:pPr>
      <w:r>
        <w:rPr>
          <w:noProof/>
          <w:lang w:eastAsia="en-AU"/>
        </w:rPr>
        <w:drawing>
          <wp:inline distT="0" distB="0" distL="0" distR="0" wp14:anchorId="369EB58B" wp14:editId="75D4BADE">
            <wp:extent cx="6188710" cy="2671445"/>
            <wp:effectExtent l="0" t="0" r="2540" b="14605"/>
            <wp:docPr id="2" name="Chart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221FC3" w14:textId="77777777" w:rsidR="00004BEA" w:rsidRDefault="00004BEA" w:rsidP="00004BEA">
      <w:pPr>
        <w:rPr>
          <w:b/>
        </w:rPr>
      </w:pPr>
    </w:p>
    <w:p w14:paraId="10292428" w14:textId="77777777" w:rsidR="00004BEA" w:rsidRPr="00004BEA" w:rsidRDefault="00004BEA" w:rsidP="00004BEA">
      <w:pPr>
        <w:rPr>
          <w:b/>
        </w:rPr>
      </w:pPr>
      <w:r w:rsidRPr="00004BEA">
        <w:rPr>
          <w:b/>
        </w:rPr>
        <w:t>Table 5. Career-planning support reported by students (n=82)</w:t>
      </w:r>
    </w:p>
    <w:tbl>
      <w:tblPr>
        <w:tblStyle w:val="TableGrid"/>
        <w:tblW w:w="0" w:type="auto"/>
        <w:tblLook w:val="04A0" w:firstRow="1" w:lastRow="0" w:firstColumn="1" w:lastColumn="0" w:noHBand="0" w:noVBand="1"/>
      </w:tblPr>
      <w:tblGrid>
        <w:gridCol w:w="5807"/>
        <w:gridCol w:w="1964"/>
        <w:gridCol w:w="1965"/>
      </w:tblGrid>
      <w:tr w:rsidR="00004BEA" w:rsidRPr="00004BEA" w14:paraId="222C2A82" w14:textId="77777777" w:rsidTr="00F477CC">
        <w:trPr>
          <w:tblHeader/>
        </w:trPr>
        <w:tc>
          <w:tcPr>
            <w:tcW w:w="5807" w:type="dxa"/>
          </w:tcPr>
          <w:p w14:paraId="155CD811" w14:textId="77777777" w:rsidR="00004BEA" w:rsidRPr="00004BEA" w:rsidRDefault="00004BEA" w:rsidP="00004BEA">
            <w:pPr>
              <w:rPr>
                <w:b/>
              </w:rPr>
            </w:pPr>
            <w:r w:rsidRPr="00004BEA">
              <w:rPr>
                <w:b/>
              </w:rPr>
              <w:t>Type of support</w:t>
            </w:r>
          </w:p>
        </w:tc>
        <w:tc>
          <w:tcPr>
            <w:tcW w:w="1964" w:type="dxa"/>
          </w:tcPr>
          <w:p w14:paraId="25D9CD3C" w14:textId="77777777" w:rsidR="00004BEA" w:rsidRPr="00004BEA" w:rsidRDefault="00004BEA" w:rsidP="00004BEA">
            <w:pPr>
              <w:jc w:val="center"/>
              <w:rPr>
                <w:b/>
              </w:rPr>
            </w:pPr>
            <w:r w:rsidRPr="00004BEA">
              <w:rPr>
                <w:b/>
              </w:rPr>
              <w:t>Number</w:t>
            </w:r>
          </w:p>
        </w:tc>
        <w:tc>
          <w:tcPr>
            <w:tcW w:w="1965" w:type="dxa"/>
          </w:tcPr>
          <w:p w14:paraId="2FA32E18" w14:textId="77777777" w:rsidR="00004BEA" w:rsidRPr="00004BEA" w:rsidRDefault="00004BEA" w:rsidP="00004BEA">
            <w:pPr>
              <w:jc w:val="center"/>
              <w:rPr>
                <w:b/>
              </w:rPr>
            </w:pPr>
            <w:r w:rsidRPr="00004BEA">
              <w:rPr>
                <w:b/>
              </w:rPr>
              <w:t>Percentage</w:t>
            </w:r>
          </w:p>
        </w:tc>
      </w:tr>
      <w:tr w:rsidR="00004BEA" w:rsidRPr="00004BEA" w14:paraId="3868D40A" w14:textId="77777777" w:rsidTr="00F477CC">
        <w:tc>
          <w:tcPr>
            <w:tcW w:w="5807" w:type="dxa"/>
          </w:tcPr>
          <w:p w14:paraId="13678443" w14:textId="77777777" w:rsidR="00004BEA" w:rsidRPr="00004BEA" w:rsidRDefault="00004BEA" w:rsidP="00004BEA">
            <w:r w:rsidRPr="00004BEA">
              <w:t>Individual career counselling and advice</w:t>
            </w:r>
          </w:p>
        </w:tc>
        <w:tc>
          <w:tcPr>
            <w:tcW w:w="1964" w:type="dxa"/>
          </w:tcPr>
          <w:p w14:paraId="0549B950" w14:textId="77777777" w:rsidR="00004BEA" w:rsidRPr="00004BEA" w:rsidRDefault="00004BEA" w:rsidP="00004BEA">
            <w:pPr>
              <w:jc w:val="center"/>
            </w:pPr>
            <w:r w:rsidRPr="00004BEA">
              <w:t>24</w:t>
            </w:r>
          </w:p>
        </w:tc>
        <w:tc>
          <w:tcPr>
            <w:tcW w:w="1965" w:type="dxa"/>
          </w:tcPr>
          <w:p w14:paraId="7856E3A9" w14:textId="77777777" w:rsidR="00004BEA" w:rsidRPr="00004BEA" w:rsidRDefault="00004BEA" w:rsidP="00004BEA">
            <w:pPr>
              <w:jc w:val="center"/>
            </w:pPr>
            <w:r w:rsidRPr="00004BEA">
              <w:t>29.2%</w:t>
            </w:r>
          </w:p>
        </w:tc>
      </w:tr>
      <w:tr w:rsidR="00004BEA" w:rsidRPr="00004BEA" w14:paraId="157B954F" w14:textId="77777777" w:rsidTr="00F477CC">
        <w:tc>
          <w:tcPr>
            <w:tcW w:w="5807" w:type="dxa"/>
          </w:tcPr>
          <w:p w14:paraId="289B5109" w14:textId="77777777" w:rsidR="00004BEA" w:rsidRPr="00004BEA" w:rsidRDefault="00004BEA" w:rsidP="00004BEA">
            <w:r w:rsidRPr="00004BEA">
              <w:t>Opportunity to participate in career related activities (e.g. workshops, seminars, information sessions)</w:t>
            </w:r>
          </w:p>
        </w:tc>
        <w:tc>
          <w:tcPr>
            <w:tcW w:w="1964" w:type="dxa"/>
          </w:tcPr>
          <w:p w14:paraId="69809218" w14:textId="77777777" w:rsidR="00004BEA" w:rsidRPr="00004BEA" w:rsidRDefault="00004BEA" w:rsidP="00004BEA">
            <w:pPr>
              <w:jc w:val="center"/>
            </w:pPr>
            <w:r w:rsidRPr="00004BEA">
              <w:t>22</w:t>
            </w:r>
          </w:p>
        </w:tc>
        <w:tc>
          <w:tcPr>
            <w:tcW w:w="1965" w:type="dxa"/>
          </w:tcPr>
          <w:p w14:paraId="04719C08" w14:textId="77777777" w:rsidR="00004BEA" w:rsidRPr="00004BEA" w:rsidRDefault="00004BEA" w:rsidP="00004BEA">
            <w:pPr>
              <w:jc w:val="center"/>
            </w:pPr>
            <w:r w:rsidRPr="00004BEA">
              <w:t>26.8%</w:t>
            </w:r>
          </w:p>
        </w:tc>
      </w:tr>
      <w:tr w:rsidR="00004BEA" w:rsidRPr="00004BEA" w14:paraId="11DD0E19" w14:textId="77777777" w:rsidTr="00F477CC">
        <w:tc>
          <w:tcPr>
            <w:tcW w:w="5807" w:type="dxa"/>
          </w:tcPr>
          <w:p w14:paraId="411BA63B" w14:textId="77777777" w:rsidR="00004BEA" w:rsidRPr="00004BEA" w:rsidRDefault="00004BEA" w:rsidP="00004BEA">
            <w:r w:rsidRPr="00004BEA">
              <w:t>Individual assistance with planning any study or training post-school (e.g. university, TAFE, traineeships or apprenticeships)</w:t>
            </w:r>
          </w:p>
        </w:tc>
        <w:tc>
          <w:tcPr>
            <w:tcW w:w="1964" w:type="dxa"/>
          </w:tcPr>
          <w:p w14:paraId="5CC4F78E" w14:textId="77777777" w:rsidR="00004BEA" w:rsidRPr="00004BEA" w:rsidRDefault="00004BEA" w:rsidP="00004BEA">
            <w:pPr>
              <w:jc w:val="center"/>
            </w:pPr>
            <w:r w:rsidRPr="00004BEA">
              <w:t>16</w:t>
            </w:r>
          </w:p>
        </w:tc>
        <w:tc>
          <w:tcPr>
            <w:tcW w:w="1965" w:type="dxa"/>
          </w:tcPr>
          <w:p w14:paraId="0B59DF6D" w14:textId="77777777" w:rsidR="00004BEA" w:rsidRPr="00004BEA" w:rsidRDefault="00004BEA" w:rsidP="00004BEA">
            <w:pPr>
              <w:jc w:val="center"/>
            </w:pPr>
            <w:r w:rsidRPr="00004BEA">
              <w:t>19.5%</w:t>
            </w:r>
          </w:p>
        </w:tc>
      </w:tr>
      <w:tr w:rsidR="00004BEA" w:rsidRPr="00004BEA" w14:paraId="2C7D862D" w14:textId="77777777" w:rsidTr="00F477CC">
        <w:tc>
          <w:tcPr>
            <w:tcW w:w="5807" w:type="dxa"/>
          </w:tcPr>
          <w:p w14:paraId="6872A315" w14:textId="77777777" w:rsidR="00004BEA" w:rsidRPr="00004BEA" w:rsidRDefault="00004BEA" w:rsidP="00004BEA">
            <w:r w:rsidRPr="00004BEA">
              <w:t>Assistance in understanding your strengths and skills for your post-school transition</w:t>
            </w:r>
          </w:p>
        </w:tc>
        <w:tc>
          <w:tcPr>
            <w:tcW w:w="1964" w:type="dxa"/>
          </w:tcPr>
          <w:p w14:paraId="10E739D8" w14:textId="77777777" w:rsidR="00004BEA" w:rsidRPr="00004BEA" w:rsidRDefault="00004BEA" w:rsidP="00004BEA">
            <w:pPr>
              <w:jc w:val="center"/>
            </w:pPr>
            <w:r w:rsidRPr="00004BEA">
              <w:t>17</w:t>
            </w:r>
          </w:p>
        </w:tc>
        <w:tc>
          <w:tcPr>
            <w:tcW w:w="1965" w:type="dxa"/>
          </w:tcPr>
          <w:p w14:paraId="11A2C573" w14:textId="77777777" w:rsidR="00004BEA" w:rsidRPr="00004BEA" w:rsidRDefault="00004BEA" w:rsidP="00004BEA">
            <w:pPr>
              <w:jc w:val="center"/>
            </w:pPr>
            <w:r w:rsidRPr="00004BEA">
              <w:t>20.7%</w:t>
            </w:r>
          </w:p>
        </w:tc>
      </w:tr>
      <w:tr w:rsidR="00004BEA" w:rsidRPr="00004BEA" w14:paraId="3DA6A0EA" w14:textId="77777777" w:rsidTr="00F477CC">
        <w:tc>
          <w:tcPr>
            <w:tcW w:w="5807" w:type="dxa"/>
          </w:tcPr>
          <w:p w14:paraId="66912511" w14:textId="77777777" w:rsidR="00004BEA" w:rsidRPr="00004BEA" w:rsidRDefault="00004BEA" w:rsidP="00004BEA">
            <w:r w:rsidRPr="00004BEA">
              <w:t>The opportunity to undertake work experience and assistance to organise this</w:t>
            </w:r>
          </w:p>
        </w:tc>
        <w:tc>
          <w:tcPr>
            <w:tcW w:w="1964" w:type="dxa"/>
          </w:tcPr>
          <w:p w14:paraId="6947EA45" w14:textId="77777777" w:rsidR="00004BEA" w:rsidRPr="00004BEA" w:rsidRDefault="00004BEA" w:rsidP="00004BEA">
            <w:pPr>
              <w:jc w:val="center"/>
            </w:pPr>
            <w:r w:rsidRPr="00004BEA">
              <w:t>35</w:t>
            </w:r>
          </w:p>
        </w:tc>
        <w:tc>
          <w:tcPr>
            <w:tcW w:w="1965" w:type="dxa"/>
          </w:tcPr>
          <w:p w14:paraId="06F344E4" w14:textId="77777777" w:rsidR="00004BEA" w:rsidRPr="00004BEA" w:rsidRDefault="00004BEA" w:rsidP="00004BEA">
            <w:pPr>
              <w:jc w:val="center"/>
            </w:pPr>
            <w:r w:rsidRPr="00004BEA">
              <w:t>42.6%</w:t>
            </w:r>
          </w:p>
        </w:tc>
      </w:tr>
      <w:tr w:rsidR="00004BEA" w:rsidRPr="00004BEA" w14:paraId="47732F55" w14:textId="77777777" w:rsidTr="00F477CC">
        <w:tc>
          <w:tcPr>
            <w:tcW w:w="5807" w:type="dxa"/>
          </w:tcPr>
          <w:p w14:paraId="3C7812CA" w14:textId="77777777" w:rsidR="00004BEA" w:rsidRPr="00004BEA" w:rsidRDefault="00004BEA" w:rsidP="00004BEA">
            <w:r w:rsidRPr="00004BEA">
              <w:t>Information about upcoming University or TAFE information sessions or expos</w:t>
            </w:r>
          </w:p>
        </w:tc>
        <w:tc>
          <w:tcPr>
            <w:tcW w:w="1964" w:type="dxa"/>
          </w:tcPr>
          <w:p w14:paraId="6575AACB" w14:textId="77777777" w:rsidR="00004BEA" w:rsidRPr="00004BEA" w:rsidRDefault="00004BEA" w:rsidP="00004BEA">
            <w:pPr>
              <w:jc w:val="center"/>
            </w:pPr>
            <w:r w:rsidRPr="00004BEA">
              <w:t>17</w:t>
            </w:r>
          </w:p>
        </w:tc>
        <w:tc>
          <w:tcPr>
            <w:tcW w:w="1965" w:type="dxa"/>
          </w:tcPr>
          <w:p w14:paraId="6E261EA9" w14:textId="77777777" w:rsidR="00004BEA" w:rsidRPr="00004BEA" w:rsidRDefault="00004BEA" w:rsidP="00004BEA">
            <w:pPr>
              <w:jc w:val="center"/>
            </w:pPr>
            <w:r w:rsidRPr="00004BEA">
              <w:t>20.7%</w:t>
            </w:r>
          </w:p>
        </w:tc>
      </w:tr>
      <w:tr w:rsidR="00004BEA" w:rsidRPr="00004BEA" w14:paraId="23B8428A" w14:textId="77777777" w:rsidTr="00F477CC">
        <w:tc>
          <w:tcPr>
            <w:tcW w:w="5807" w:type="dxa"/>
          </w:tcPr>
          <w:p w14:paraId="28EBA620" w14:textId="77777777" w:rsidR="00004BEA" w:rsidRPr="00004BEA" w:rsidRDefault="00004BEA" w:rsidP="00004BEA">
            <w:r w:rsidRPr="00004BEA">
              <w:t>Practical assistance such as resume writing, assisting with job applications, assistance with applications to university or TAFE</w:t>
            </w:r>
          </w:p>
        </w:tc>
        <w:tc>
          <w:tcPr>
            <w:tcW w:w="1964" w:type="dxa"/>
          </w:tcPr>
          <w:p w14:paraId="7350CFB8" w14:textId="77777777" w:rsidR="00004BEA" w:rsidRPr="00004BEA" w:rsidRDefault="00004BEA" w:rsidP="00004BEA">
            <w:pPr>
              <w:jc w:val="center"/>
            </w:pPr>
            <w:r w:rsidRPr="00004BEA">
              <w:t>13</w:t>
            </w:r>
          </w:p>
        </w:tc>
        <w:tc>
          <w:tcPr>
            <w:tcW w:w="1965" w:type="dxa"/>
          </w:tcPr>
          <w:p w14:paraId="7E3DCB96" w14:textId="77777777" w:rsidR="00004BEA" w:rsidRPr="00004BEA" w:rsidRDefault="00004BEA" w:rsidP="00004BEA">
            <w:pPr>
              <w:jc w:val="center"/>
            </w:pPr>
            <w:r w:rsidRPr="00004BEA">
              <w:t>15.8%</w:t>
            </w:r>
          </w:p>
        </w:tc>
      </w:tr>
      <w:tr w:rsidR="00004BEA" w:rsidRPr="00004BEA" w14:paraId="39A19CC3" w14:textId="77777777" w:rsidTr="00F477CC">
        <w:tc>
          <w:tcPr>
            <w:tcW w:w="5807" w:type="dxa"/>
          </w:tcPr>
          <w:p w14:paraId="6EDD6426" w14:textId="77777777" w:rsidR="00004BEA" w:rsidRPr="00004BEA" w:rsidRDefault="00004BEA" w:rsidP="00004BEA">
            <w:r w:rsidRPr="00004BEA">
              <w:t>Other</w:t>
            </w:r>
          </w:p>
        </w:tc>
        <w:tc>
          <w:tcPr>
            <w:tcW w:w="1964" w:type="dxa"/>
          </w:tcPr>
          <w:p w14:paraId="3E57F29A" w14:textId="77777777" w:rsidR="00004BEA" w:rsidRPr="00004BEA" w:rsidRDefault="00004BEA" w:rsidP="00004BEA">
            <w:pPr>
              <w:jc w:val="center"/>
            </w:pPr>
            <w:r w:rsidRPr="00004BEA">
              <w:t>27</w:t>
            </w:r>
          </w:p>
        </w:tc>
        <w:tc>
          <w:tcPr>
            <w:tcW w:w="1965" w:type="dxa"/>
          </w:tcPr>
          <w:p w14:paraId="4F02CDE5" w14:textId="77777777" w:rsidR="00004BEA" w:rsidRPr="00004BEA" w:rsidRDefault="00004BEA" w:rsidP="00004BEA">
            <w:pPr>
              <w:jc w:val="center"/>
            </w:pPr>
            <w:r w:rsidRPr="00004BEA">
              <w:t>32.9%</w:t>
            </w:r>
          </w:p>
        </w:tc>
      </w:tr>
    </w:tbl>
    <w:p w14:paraId="0807C520" w14:textId="77777777" w:rsidR="00004BEA" w:rsidRPr="00004BEA" w:rsidRDefault="00004BEA" w:rsidP="00004BEA"/>
    <w:p w14:paraId="5EC9094C" w14:textId="77777777" w:rsidR="00BE420B" w:rsidRDefault="00BE420B"/>
    <w:p w14:paraId="0C9F484F" w14:textId="77777777" w:rsidR="00004BEA" w:rsidRDefault="00004BEA"/>
    <w:p w14:paraId="0A5AD31B" w14:textId="77777777" w:rsidR="00BE420B" w:rsidRDefault="00BE420B" w:rsidP="00BE420B"/>
    <w:p w14:paraId="59616EAD" w14:textId="77777777" w:rsidR="00BE420B" w:rsidRDefault="00BE420B" w:rsidP="00BE420B">
      <w:pPr>
        <w:pStyle w:val="Heading2"/>
        <w:rPr>
          <w:shd w:val="clear" w:color="auto" w:fill="F4F5F5"/>
        </w:rPr>
        <w:sectPr w:rsidR="00BE420B" w:rsidSect="00050C5F">
          <w:headerReference w:type="first" r:id="rId16"/>
          <w:footerReference w:type="first" r:id="rId17"/>
          <w:pgSz w:w="11906" w:h="16838"/>
          <w:pgMar w:top="1440" w:right="1080" w:bottom="1440" w:left="1080" w:header="708" w:footer="708" w:gutter="0"/>
          <w:pgNumType w:start="1"/>
          <w:cols w:space="708"/>
          <w:titlePg/>
          <w:docGrid w:linePitch="360"/>
        </w:sectPr>
      </w:pPr>
    </w:p>
    <w:p w14:paraId="09DFC1B6" w14:textId="77777777" w:rsidR="00BE420B" w:rsidRPr="003D19C9" w:rsidRDefault="00BE420B" w:rsidP="003D19C9">
      <w:pPr>
        <w:rPr>
          <w:i/>
          <w:iCs/>
          <w:shd w:val="clear" w:color="auto" w:fill="F4F5F5"/>
        </w:rPr>
      </w:pPr>
      <w:r w:rsidRPr="003D19C9">
        <w:rPr>
          <w:i/>
          <w:iCs/>
          <w:shd w:val="clear" w:color="auto" w:fill="F4F5F5"/>
        </w:rPr>
        <w:t>Inconsistencies around the country</w:t>
      </w:r>
    </w:p>
    <w:p w14:paraId="681714F1" w14:textId="77777777" w:rsidR="00BE420B" w:rsidRPr="00007635" w:rsidRDefault="00BE420B" w:rsidP="00BE420B">
      <w:pPr>
        <w:rPr>
          <w:b/>
        </w:rPr>
      </w:pPr>
      <w:r w:rsidRPr="00007635">
        <w:rPr>
          <w:b/>
        </w:rPr>
        <w:t xml:space="preserve">Table </w:t>
      </w:r>
      <w:r w:rsidR="003D19C9">
        <w:rPr>
          <w:b/>
        </w:rPr>
        <w:t>6</w:t>
      </w:r>
      <w:r w:rsidRPr="00007635">
        <w:rPr>
          <w:b/>
        </w:rPr>
        <w:t xml:space="preserve">. Current school programs to support pathways after school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3261"/>
        <w:gridCol w:w="8079"/>
      </w:tblGrid>
      <w:tr w:rsidR="00BE420B" w:rsidRPr="00AE3F74" w14:paraId="327266D3" w14:textId="77777777" w:rsidTr="00371188">
        <w:tc>
          <w:tcPr>
            <w:tcW w:w="2263" w:type="dxa"/>
            <w:tcBorders>
              <w:top w:val="single" w:sz="4" w:space="0" w:color="auto"/>
              <w:left w:val="single" w:sz="4" w:space="0" w:color="auto"/>
              <w:bottom w:val="single" w:sz="4" w:space="0" w:color="auto"/>
              <w:right w:val="single" w:sz="4" w:space="0" w:color="auto"/>
            </w:tcBorders>
            <w:hideMark/>
          </w:tcPr>
          <w:p w14:paraId="588B59BC" w14:textId="77777777" w:rsidR="00BE420B" w:rsidRPr="00AE3F74" w:rsidRDefault="00BE420B" w:rsidP="00371188">
            <w:pPr>
              <w:pStyle w:val="NormalWeb"/>
              <w:rPr>
                <w:rFonts w:ascii="Arial" w:hAnsi="Arial" w:cs="Arial"/>
                <w:b/>
                <w:sz w:val="22"/>
                <w:szCs w:val="22"/>
              </w:rPr>
            </w:pPr>
            <w:r w:rsidRPr="00AE3F74">
              <w:rPr>
                <w:rFonts w:ascii="Arial" w:hAnsi="Arial" w:cs="Arial"/>
                <w:b/>
                <w:sz w:val="22"/>
                <w:szCs w:val="22"/>
              </w:rPr>
              <w:t>State / territory</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4FE689F" w14:textId="77777777" w:rsidR="00BE420B" w:rsidRPr="00AE3F74" w:rsidRDefault="00BE420B" w:rsidP="00371188">
            <w:pPr>
              <w:pStyle w:val="NormalWeb"/>
              <w:rPr>
                <w:rFonts w:ascii="Arial" w:hAnsi="Arial" w:cs="Arial"/>
                <w:b/>
                <w:sz w:val="22"/>
                <w:szCs w:val="22"/>
              </w:rPr>
            </w:pPr>
            <w:r w:rsidRPr="00AE3F74">
              <w:rPr>
                <w:rFonts w:ascii="Arial" w:hAnsi="Arial" w:cs="Arial"/>
                <w:b/>
                <w:sz w:val="22"/>
                <w:szCs w:val="22"/>
              </w:rPr>
              <w:t>Program</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F00881B" w14:textId="77777777" w:rsidR="00BE420B" w:rsidRPr="00AE3F74" w:rsidRDefault="00BE420B" w:rsidP="00371188">
            <w:pPr>
              <w:pStyle w:val="NormalWeb"/>
              <w:rPr>
                <w:rFonts w:ascii="Arial" w:hAnsi="Arial" w:cs="Arial"/>
                <w:b/>
                <w:sz w:val="22"/>
                <w:szCs w:val="22"/>
              </w:rPr>
            </w:pPr>
            <w:r w:rsidRPr="00AE3F74">
              <w:rPr>
                <w:rFonts w:ascii="Arial" w:hAnsi="Arial" w:cs="Arial"/>
                <w:b/>
                <w:sz w:val="22"/>
                <w:szCs w:val="22"/>
              </w:rPr>
              <w:t>Purpose</w:t>
            </w:r>
          </w:p>
        </w:tc>
      </w:tr>
      <w:tr w:rsidR="00BE420B" w:rsidRPr="00AE3F74" w14:paraId="17BE2935" w14:textId="77777777" w:rsidTr="00371188">
        <w:tc>
          <w:tcPr>
            <w:tcW w:w="2263" w:type="dxa"/>
            <w:tcBorders>
              <w:top w:val="single" w:sz="4" w:space="0" w:color="auto"/>
              <w:left w:val="single" w:sz="4" w:space="0" w:color="auto"/>
              <w:bottom w:val="single" w:sz="4" w:space="0" w:color="auto"/>
              <w:right w:val="single" w:sz="4" w:space="0" w:color="auto"/>
            </w:tcBorders>
            <w:hideMark/>
          </w:tcPr>
          <w:p w14:paraId="69DF7F85"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Australian Capital Territory</w:t>
            </w:r>
          </w:p>
        </w:tc>
        <w:tc>
          <w:tcPr>
            <w:tcW w:w="3261" w:type="dxa"/>
            <w:tcBorders>
              <w:top w:val="single" w:sz="4" w:space="0" w:color="auto"/>
              <w:left w:val="single" w:sz="4" w:space="0" w:color="auto"/>
              <w:bottom w:val="single" w:sz="4" w:space="0" w:color="auto"/>
              <w:right w:val="single" w:sz="4" w:space="0" w:color="auto"/>
            </w:tcBorders>
            <w:hideMark/>
          </w:tcPr>
          <w:p w14:paraId="3E2C0D79"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Pathways Website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B0DB3F9" w14:textId="77777777" w:rsidR="00BE420B" w:rsidRPr="00AE3F74" w:rsidRDefault="00BE420B" w:rsidP="00371188">
            <w:pPr>
              <w:pStyle w:val="NormalWeb"/>
              <w:numPr>
                <w:ilvl w:val="0"/>
                <w:numId w:val="29"/>
              </w:numPr>
              <w:rPr>
                <w:rFonts w:ascii="Arial" w:hAnsi="Arial" w:cs="Arial"/>
                <w:sz w:val="22"/>
                <w:szCs w:val="22"/>
              </w:rPr>
            </w:pPr>
            <w:r w:rsidRPr="00AE3F74">
              <w:rPr>
                <w:rFonts w:ascii="Arial" w:hAnsi="Arial" w:cs="Arial"/>
                <w:sz w:val="22"/>
                <w:szCs w:val="22"/>
              </w:rPr>
              <w:t>A Website assisting young people with their transitions and career planning however not specific for students with disability</w:t>
            </w:r>
          </w:p>
        </w:tc>
      </w:tr>
      <w:tr w:rsidR="00BE420B" w:rsidRPr="00AE3F74" w14:paraId="2C1825C4" w14:textId="77777777" w:rsidTr="00371188">
        <w:tc>
          <w:tcPr>
            <w:tcW w:w="2263" w:type="dxa"/>
            <w:tcBorders>
              <w:top w:val="single" w:sz="4" w:space="0" w:color="auto"/>
              <w:left w:val="single" w:sz="4" w:space="0" w:color="auto"/>
              <w:bottom w:val="single" w:sz="4" w:space="0" w:color="auto"/>
              <w:right w:val="single" w:sz="4" w:space="0" w:color="auto"/>
            </w:tcBorders>
          </w:tcPr>
          <w:p w14:paraId="753F903F"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 New South Wales </w:t>
            </w:r>
          </w:p>
        </w:tc>
        <w:tc>
          <w:tcPr>
            <w:tcW w:w="3261" w:type="dxa"/>
            <w:tcBorders>
              <w:top w:val="single" w:sz="4" w:space="0" w:color="auto"/>
              <w:left w:val="single" w:sz="4" w:space="0" w:color="auto"/>
              <w:bottom w:val="single" w:sz="4" w:space="0" w:color="auto"/>
              <w:right w:val="single" w:sz="4" w:space="0" w:color="auto"/>
            </w:tcBorders>
          </w:tcPr>
          <w:p w14:paraId="228DB15B"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School to Work Program </w:t>
            </w:r>
          </w:p>
        </w:tc>
        <w:tc>
          <w:tcPr>
            <w:tcW w:w="8079" w:type="dxa"/>
            <w:tcBorders>
              <w:top w:val="single" w:sz="4" w:space="0" w:color="auto"/>
              <w:left w:val="single" w:sz="4" w:space="0" w:color="auto"/>
              <w:bottom w:val="single" w:sz="4" w:space="0" w:color="auto"/>
              <w:right w:val="single" w:sz="4" w:space="0" w:color="auto"/>
            </w:tcBorders>
            <w:vAlign w:val="center"/>
          </w:tcPr>
          <w:p w14:paraId="30D9BC43" w14:textId="77777777" w:rsidR="00BE420B" w:rsidRPr="00AE3F74" w:rsidRDefault="00BE420B" w:rsidP="00371188">
            <w:pPr>
              <w:pStyle w:val="NormalWeb"/>
              <w:numPr>
                <w:ilvl w:val="0"/>
                <w:numId w:val="29"/>
              </w:numPr>
              <w:rPr>
                <w:rFonts w:ascii="Arial" w:hAnsi="Arial" w:cs="Arial"/>
                <w:sz w:val="22"/>
                <w:szCs w:val="22"/>
              </w:rPr>
            </w:pPr>
            <w:r w:rsidRPr="00AE3F74">
              <w:rPr>
                <w:rFonts w:ascii="Arial" w:hAnsi="Arial" w:cs="Arial"/>
                <w:spacing w:val="2"/>
                <w:sz w:val="22"/>
                <w:szCs w:val="22"/>
                <w:shd w:val="clear" w:color="auto" w:fill="FFFFFF"/>
              </w:rPr>
              <w:t>The School to Work Program is for all students in NSW public schools with a secondary enrolment and actively supports their informed, planned and quality transitions through school and particularly from school for each student. It also includes collaboration with primary schools to coordinate career related learning as student’s transition from Year 6 to Year 7.</w:t>
            </w:r>
          </w:p>
        </w:tc>
      </w:tr>
      <w:tr w:rsidR="00BE420B" w:rsidRPr="00AE3F74" w14:paraId="2EE135F7" w14:textId="77777777" w:rsidTr="00371188">
        <w:tc>
          <w:tcPr>
            <w:tcW w:w="2263" w:type="dxa"/>
            <w:tcBorders>
              <w:top w:val="single" w:sz="4" w:space="0" w:color="auto"/>
              <w:left w:val="single" w:sz="4" w:space="0" w:color="auto"/>
              <w:bottom w:val="single" w:sz="4" w:space="0" w:color="auto"/>
              <w:right w:val="single" w:sz="4" w:space="0" w:color="auto"/>
            </w:tcBorders>
          </w:tcPr>
          <w:p w14:paraId="356D985C"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Northern Territory </w:t>
            </w:r>
          </w:p>
        </w:tc>
        <w:tc>
          <w:tcPr>
            <w:tcW w:w="3261" w:type="dxa"/>
            <w:tcBorders>
              <w:top w:val="single" w:sz="4" w:space="0" w:color="auto"/>
              <w:left w:val="single" w:sz="4" w:space="0" w:color="auto"/>
              <w:bottom w:val="single" w:sz="4" w:space="0" w:color="auto"/>
              <w:right w:val="single" w:sz="4" w:space="0" w:color="auto"/>
            </w:tcBorders>
          </w:tcPr>
          <w:p w14:paraId="487AD830"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Transition from School Services </w:t>
            </w:r>
          </w:p>
        </w:tc>
        <w:tc>
          <w:tcPr>
            <w:tcW w:w="8079" w:type="dxa"/>
            <w:tcBorders>
              <w:top w:val="single" w:sz="4" w:space="0" w:color="auto"/>
              <w:left w:val="single" w:sz="4" w:space="0" w:color="auto"/>
              <w:bottom w:val="single" w:sz="4" w:space="0" w:color="auto"/>
              <w:right w:val="single" w:sz="4" w:space="0" w:color="auto"/>
            </w:tcBorders>
            <w:vAlign w:val="center"/>
          </w:tcPr>
          <w:p w14:paraId="2BC49051" w14:textId="77777777" w:rsidR="00BE420B" w:rsidRPr="00AE3F74" w:rsidRDefault="00BE420B" w:rsidP="00371188">
            <w:pPr>
              <w:pStyle w:val="NormalWeb"/>
              <w:numPr>
                <w:ilvl w:val="0"/>
                <w:numId w:val="29"/>
              </w:numPr>
              <w:rPr>
                <w:rFonts w:ascii="Arial" w:hAnsi="Arial" w:cs="Arial"/>
                <w:sz w:val="22"/>
                <w:szCs w:val="22"/>
              </w:rPr>
            </w:pPr>
            <w:r w:rsidRPr="00AE3F74">
              <w:rPr>
                <w:rFonts w:ascii="Arial" w:hAnsi="Arial" w:cs="Arial"/>
                <w:sz w:val="22"/>
                <w:szCs w:val="22"/>
              </w:rPr>
              <w:t>Provide support for students with a disability when they leave school to go to further education, employment or community access programs. The transition process can begin in Year 9 or 14 years of age.</w:t>
            </w:r>
          </w:p>
        </w:tc>
      </w:tr>
      <w:tr w:rsidR="00BE420B" w:rsidRPr="00AE3F74" w14:paraId="1284BD1B" w14:textId="77777777" w:rsidTr="00371188">
        <w:tc>
          <w:tcPr>
            <w:tcW w:w="2263" w:type="dxa"/>
            <w:tcBorders>
              <w:top w:val="single" w:sz="4" w:space="0" w:color="auto"/>
              <w:left w:val="single" w:sz="4" w:space="0" w:color="auto"/>
              <w:bottom w:val="single" w:sz="4" w:space="0" w:color="auto"/>
              <w:right w:val="single" w:sz="4" w:space="0" w:color="auto"/>
            </w:tcBorders>
          </w:tcPr>
          <w:p w14:paraId="10E00399"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Queensland</w:t>
            </w:r>
          </w:p>
        </w:tc>
        <w:tc>
          <w:tcPr>
            <w:tcW w:w="3261" w:type="dxa"/>
            <w:tcBorders>
              <w:top w:val="single" w:sz="4" w:space="0" w:color="auto"/>
              <w:left w:val="single" w:sz="4" w:space="0" w:color="auto"/>
              <w:bottom w:val="single" w:sz="4" w:space="0" w:color="auto"/>
              <w:right w:val="single" w:sz="4" w:space="0" w:color="auto"/>
            </w:tcBorders>
          </w:tcPr>
          <w:p w14:paraId="7CF6C744" w14:textId="77777777" w:rsidR="00BE420B" w:rsidRPr="00AE3F74" w:rsidRDefault="00BE420B" w:rsidP="00371188">
            <w:pPr>
              <w:pStyle w:val="NormalWeb"/>
              <w:numPr>
                <w:ilvl w:val="0"/>
                <w:numId w:val="26"/>
              </w:numPr>
              <w:rPr>
                <w:rFonts w:ascii="Arial" w:hAnsi="Arial" w:cs="Arial"/>
                <w:sz w:val="22"/>
                <w:szCs w:val="22"/>
              </w:rPr>
            </w:pPr>
            <w:r w:rsidRPr="00AE3F74">
              <w:rPr>
                <w:rFonts w:ascii="Arial" w:hAnsi="Arial" w:cs="Arial"/>
                <w:sz w:val="22"/>
                <w:szCs w:val="22"/>
              </w:rPr>
              <w:t>Senior Education and Training (SET) plans</w:t>
            </w:r>
          </w:p>
          <w:p w14:paraId="22476EDF" w14:textId="77777777" w:rsidR="00BE420B" w:rsidRPr="00AE3F74" w:rsidRDefault="00BE420B" w:rsidP="00371188">
            <w:pPr>
              <w:pStyle w:val="NormalWeb"/>
              <w:numPr>
                <w:ilvl w:val="0"/>
                <w:numId w:val="26"/>
              </w:numPr>
              <w:rPr>
                <w:rFonts w:ascii="Arial" w:hAnsi="Arial" w:cs="Arial"/>
                <w:sz w:val="22"/>
                <w:szCs w:val="22"/>
              </w:rPr>
            </w:pPr>
            <w:r w:rsidRPr="00AE3F74">
              <w:rPr>
                <w:rFonts w:ascii="Arial" w:hAnsi="Arial" w:cs="Arial"/>
                <w:sz w:val="22"/>
                <w:szCs w:val="22"/>
              </w:rPr>
              <w:t>My Future, My life</w:t>
            </w:r>
          </w:p>
        </w:tc>
        <w:tc>
          <w:tcPr>
            <w:tcW w:w="8079" w:type="dxa"/>
            <w:tcBorders>
              <w:top w:val="single" w:sz="4" w:space="0" w:color="auto"/>
              <w:left w:val="single" w:sz="4" w:space="0" w:color="auto"/>
              <w:bottom w:val="single" w:sz="4" w:space="0" w:color="auto"/>
              <w:right w:val="single" w:sz="4" w:space="0" w:color="auto"/>
            </w:tcBorders>
            <w:vAlign w:val="center"/>
          </w:tcPr>
          <w:p w14:paraId="29751B88" w14:textId="77777777" w:rsidR="00BE420B" w:rsidRPr="00AE3F74" w:rsidRDefault="00BE420B" w:rsidP="00371188">
            <w:pPr>
              <w:pStyle w:val="NormalWeb"/>
              <w:numPr>
                <w:ilvl w:val="0"/>
                <w:numId w:val="27"/>
              </w:numPr>
              <w:rPr>
                <w:rFonts w:ascii="Arial" w:hAnsi="Arial" w:cs="Arial"/>
                <w:sz w:val="22"/>
                <w:szCs w:val="22"/>
              </w:rPr>
            </w:pPr>
            <w:r w:rsidRPr="00AE3F74">
              <w:rPr>
                <w:rFonts w:ascii="Arial" w:hAnsi="Arial" w:cs="Arial"/>
                <w:sz w:val="22"/>
                <w:szCs w:val="22"/>
              </w:rPr>
              <w:t>SET Plans are completed with all students during Year 10.</w:t>
            </w:r>
          </w:p>
          <w:p w14:paraId="0CAE04EE" w14:textId="77777777" w:rsidR="00BE420B" w:rsidRPr="00AE3F74" w:rsidRDefault="00BE420B" w:rsidP="00371188">
            <w:pPr>
              <w:pStyle w:val="NormalWeb"/>
              <w:rPr>
                <w:rFonts w:ascii="Arial" w:hAnsi="Arial" w:cs="Arial"/>
                <w:sz w:val="22"/>
                <w:szCs w:val="22"/>
              </w:rPr>
            </w:pPr>
          </w:p>
          <w:p w14:paraId="0AFFCDBF" w14:textId="77777777" w:rsidR="00BE420B" w:rsidRPr="00AE3F74" w:rsidRDefault="00BE420B" w:rsidP="00371188">
            <w:pPr>
              <w:pStyle w:val="NormalWeb"/>
              <w:numPr>
                <w:ilvl w:val="0"/>
                <w:numId w:val="27"/>
              </w:numPr>
              <w:rPr>
                <w:rFonts w:ascii="Arial" w:hAnsi="Arial" w:cs="Arial"/>
                <w:sz w:val="22"/>
                <w:szCs w:val="22"/>
              </w:rPr>
            </w:pPr>
            <w:r w:rsidRPr="00AE3F74">
              <w:rPr>
                <w:rFonts w:ascii="Arial" w:hAnsi="Arial" w:cs="Arial"/>
                <w:sz w:val="22"/>
                <w:szCs w:val="22"/>
              </w:rPr>
              <w:t xml:space="preserve">My Future, My life is an Initiative designed to help students with disability achieve the goals they have set for themselves in their SET plans. This early intervention strategy has been developed to provide practical assistance to young people with disability in their final years of school to begin their transition from school. My Future, My Life is run by a non-government organisation  </w:t>
            </w:r>
          </w:p>
        </w:tc>
      </w:tr>
      <w:tr w:rsidR="00BE420B" w:rsidRPr="00AE3F74" w14:paraId="21606D7C" w14:textId="77777777" w:rsidTr="00371188">
        <w:tc>
          <w:tcPr>
            <w:tcW w:w="2263" w:type="dxa"/>
            <w:tcBorders>
              <w:top w:val="single" w:sz="4" w:space="0" w:color="auto"/>
              <w:left w:val="single" w:sz="4" w:space="0" w:color="auto"/>
              <w:bottom w:val="single" w:sz="4" w:space="0" w:color="auto"/>
              <w:right w:val="single" w:sz="4" w:space="0" w:color="auto"/>
            </w:tcBorders>
            <w:hideMark/>
          </w:tcPr>
          <w:p w14:paraId="09576870"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South Australia</w:t>
            </w:r>
          </w:p>
        </w:tc>
        <w:tc>
          <w:tcPr>
            <w:tcW w:w="3261" w:type="dxa"/>
            <w:tcBorders>
              <w:top w:val="single" w:sz="4" w:space="0" w:color="auto"/>
              <w:left w:val="single" w:sz="4" w:space="0" w:color="auto"/>
              <w:bottom w:val="single" w:sz="4" w:space="0" w:color="auto"/>
              <w:right w:val="single" w:sz="4" w:space="0" w:color="auto"/>
            </w:tcBorders>
            <w:hideMark/>
          </w:tcPr>
          <w:p w14:paraId="794E49EE" w14:textId="77777777" w:rsidR="00BE420B" w:rsidRPr="00AE3F74" w:rsidRDefault="00BE420B" w:rsidP="00371188">
            <w:pPr>
              <w:pStyle w:val="NormalWeb"/>
              <w:ind w:left="720" w:hanging="720"/>
              <w:contextualSpacing/>
              <w:rPr>
                <w:rFonts w:ascii="Arial" w:hAnsi="Arial" w:cs="Arial"/>
                <w:sz w:val="22"/>
                <w:szCs w:val="22"/>
              </w:rPr>
            </w:pPr>
            <w:r w:rsidRPr="00AE3F74">
              <w:rPr>
                <w:rFonts w:ascii="Arial" w:hAnsi="Arial" w:cs="Arial"/>
                <w:sz w:val="22"/>
                <w:szCs w:val="22"/>
              </w:rPr>
              <w:t xml:space="preserve">1.  Better pathways program </w:t>
            </w:r>
          </w:p>
          <w:p w14:paraId="4B7726F9" w14:textId="77777777" w:rsidR="00BE420B" w:rsidRPr="00AE3F74" w:rsidRDefault="00BE420B" w:rsidP="00371188">
            <w:pPr>
              <w:pStyle w:val="NormalWeb"/>
              <w:ind w:left="720" w:hanging="720"/>
              <w:contextualSpacing/>
              <w:rPr>
                <w:rFonts w:ascii="Arial" w:hAnsi="Arial" w:cs="Arial"/>
                <w:sz w:val="22"/>
                <w:szCs w:val="22"/>
              </w:rPr>
            </w:pPr>
          </w:p>
          <w:p w14:paraId="351EED82" w14:textId="77777777" w:rsidR="00BE420B" w:rsidRPr="00AE3F74" w:rsidRDefault="00BE420B" w:rsidP="00371188">
            <w:pPr>
              <w:pStyle w:val="NormalWeb"/>
              <w:contextualSpacing/>
              <w:rPr>
                <w:rFonts w:ascii="Arial" w:hAnsi="Arial" w:cs="Arial"/>
                <w:sz w:val="22"/>
                <w:szCs w:val="22"/>
              </w:rPr>
            </w:pPr>
          </w:p>
          <w:p w14:paraId="7E8A5FE7"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 2. Transition Centres </w:t>
            </w:r>
          </w:p>
          <w:p w14:paraId="1D8E0C4B"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w:t>
            </w:r>
          </w:p>
          <w:p w14:paraId="6D7A57F5"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w:t>
            </w:r>
          </w:p>
          <w:p w14:paraId="098D537C"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w:t>
            </w:r>
          </w:p>
          <w:p w14:paraId="0DC86ABB" w14:textId="77777777" w:rsidR="00BE420B" w:rsidRPr="00AE3F74" w:rsidRDefault="00BE420B" w:rsidP="00371188">
            <w:pPr>
              <w:pStyle w:val="NormalWeb"/>
              <w:contextualSpacing/>
              <w:rPr>
                <w:rFonts w:ascii="Arial" w:hAnsi="Arial" w:cs="Arial"/>
                <w:sz w:val="22"/>
                <w:szCs w:val="22"/>
              </w:rPr>
            </w:pPr>
            <w:r w:rsidRPr="00AE3F74">
              <w:rPr>
                <w:rFonts w:ascii="Arial" w:hAnsi="Arial" w:cs="Arial"/>
                <w:sz w:val="22"/>
                <w:szCs w:val="22"/>
              </w:rPr>
              <w:t xml:space="preserve">3.  The Transition       Program </w:t>
            </w:r>
          </w:p>
        </w:tc>
        <w:tc>
          <w:tcPr>
            <w:tcW w:w="8079" w:type="dxa"/>
            <w:tcBorders>
              <w:top w:val="single" w:sz="4" w:space="0" w:color="auto"/>
              <w:left w:val="single" w:sz="4" w:space="0" w:color="auto"/>
              <w:bottom w:val="single" w:sz="4" w:space="0" w:color="auto"/>
              <w:right w:val="single" w:sz="4" w:space="0" w:color="auto"/>
            </w:tcBorders>
            <w:vAlign w:val="center"/>
            <w:hideMark/>
          </w:tcPr>
          <w:p w14:paraId="5CB341A1" w14:textId="77777777" w:rsidR="00BE420B" w:rsidRPr="00AE3F74" w:rsidRDefault="00BE420B" w:rsidP="00371188">
            <w:pPr>
              <w:pStyle w:val="ListParagraph"/>
              <w:numPr>
                <w:ilvl w:val="0"/>
                <w:numId w:val="30"/>
              </w:numPr>
              <w:spacing w:before="100" w:beforeAutospacing="1" w:after="100" w:afterAutospacing="1" w:line="240" w:lineRule="auto"/>
              <w:rPr>
                <w:rFonts w:eastAsia="Times New Roman" w:cs="Arial"/>
              </w:rPr>
            </w:pPr>
            <w:r w:rsidRPr="00AE3F74">
              <w:rPr>
                <w:rFonts w:eastAsia="Times New Roman" w:cs="Arial"/>
              </w:rPr>
              <w:t>Provides coaching and mentoring services to students with disability. The program assists students to create, pursue and achieve their vocational goals. This is done through one-on-one support with a dedicated worker.</w:t>
            </w:r>
          </w:p>
          <w:p w14:paraId="63E99215" w14:textId="77777777" w:rsidR="00BE420B" w:rsidRPr="00AE3F74" w:rsidRDefault="00BE420B" w:rsidP="00371188">
            <w:pPr>
              <w:pStyle w:val="ListParagraph"/>
              <w:numPr>
                <w:ilvl w:val="0"/>
                <w:numId w:val="30"/>
              </w:numPr>
              <w:spacing w:before="100" w:beforeAutospacing="1" w:after="100" w:afterAutospacing="1" w:line="240" w:lineRule="auto"/>
              <w:rPr>
                <w:rFonts w:eastAsia="Times New Roman" w:cs="Arial"/>
              </w:rPr>
            </w:pPr>
            <w:r w:rsidRPr="00AE3F74">
              <w:rPr>
                <w:rFonts w:eastAsia="Times New Roman" w:cs="Arial"/>
              </w:rPr>
              <w:t>The Transition centres offers a range of courses for secondary students with disability to develop their employability skills. It is also a consultative service for teachers and leaders in the school to facilitate the planning and successful transition to post school options.</w:t>
            </w:r>
          </w:p>
          <w:p w14:paraId="12960C3E" w14:textId="77777777" w:rsidR="00BE420B" w:rsidRPr="00AE3F74" w:rsidRDefault="00BE420B" w:rsidP="00371188">
            <w:pPr>
              <w:pStyle w:val="ListParagraph"/>
              <w:numPr>
                <w:ilvl w:val="0"/>
                <w:numId w:val="30"/>
              </w:numPr>
              <w:spacing w:before="100" w:beforeAutospacing="1" w:after="100" w:afterAutospacing="1" w:line="240" w:lineRule="auto"/>
              <w:rPr>
                <w:rFonts w:eastAsia="Times New Roman" w:cs="Arial"/>
              </w:rPr>
            </w:pPr>
            <w:r w:rsidRPr="00AE3F74">
              <w:rPr>
                <w:rFonts w:eastAsia="Times New Roman" w:cs="Arial"/>
              </w:rPr>
              <w:t>This 12 month training program is designed to assist final year students with disability and learning difficulties to make a smooth transition from school to future pathways</w:t>
            </w:r>
          </w:p>
        </w:tc>
      </w:tr>
      <w:tr w:rsidR="00BE420B" w:rsidRPr="00AE3F74" w14:paraId="39833AAE" w14:textId="77777777" w:rsidTr="00371188">
        <w:tc>
          <w:tcPr>
            <w:tcW w:w="2263" w:type="dxa"/>
            <w:tcBorders>
              <w:top w:val="single" w:sz="4" w:space="0" w:color="auto"/>
              <w:left w:val="single" w:sz="4" w:space="0" w:color="auto"/>
              <w:bottom w:val="single" w:sz="4" w:space="0" w:color="auto"/>
              <w:right w:val="single" w:sz="4" w:space="0" w:color="auto"/>
            </w:tcBorders>
          </w:tcPr>
          <w:p w14:paraId="0B54E20D"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Tasmania </w:t>
            </w:r>
          </w:p>
        </w:tc>
        <w:tc>
          <w:tcPr>
            <w:tcW w:w="3261" w:type="dxa"/>
            <w:tcBorders>
              <w:top w:val="single" w:sz="4" w:space="0" w:color="auto"/>
              <w:left w:val="single" w:sz="4" w:space="0" w:color="auto"/>
              <w:bottom w:val="single" w:sz="4" w:space="0" w:color="auto"/>
              <w:right w:val="single" w:sz="4" w:space="0" w:color="auto"/>
            </w:tcBorders>
          </w:tcPr>
          <w:p w14:paraId="5270C272"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My Education </w:t>
            </w:r>
          </w:p>
        </w:tc>
        <w:tc>
          <w:tcPr>
            <w:tcW w:w="8079" w:type="dxa"/>
            <w:tcBorders>
              <w:top w:val="single" w:sz="4" w:space="0" w:color="auto"/>
              <w:left w:val="single" w:sz="4" w:space="0" w:color="auto"/>
              <w:bottom w:val="single" w:sz="4" w:space="0" w:color="auto"/>
              <w:right w:val="single" w:sz="4" w:space="0" w:color="auto"/>
            </w:tcBorders>
            <w:vAlign w:val="center"/>
          </w:tcPr>
          <w:p w14:paraId="4AE07252" w14:textId="77777777" w:rsidR="00BE420B" w:rsidRPr="00AE3F74" w:rsidRDefault="00BE420B" w:rsidP="00371188">
            <w:pPr>
              <w:pStyle w:val="NormalWeb"/>
              <w:numPr>
                <w:ilvl w:val="0"/>
                <w:numId w:val="29"/>
              </w:numPr>
              <w:rPr>
                <w:rFonts w:ascii="Arial" w:hAnsi="Arial" w:cs="Arial"/>
                <w:sz w:val="22"/>
                <w:szCs w:val="22"/>
              </w:rPr>
            </w:pPr>
            <w:r w:rsidRPr="00AE3F74">
              <w:rPr>
                <w:rFonts w:ascii="Arial" w:hAnsi="Arial" w:cs="Arial"/>
                <w:sz w:val="22"/>
                <w:szCs w:val="22"/>
              </w:rPr>
              <w:t xml:space="preserve">An online resource that guide all students from Kindergarten to Year 12. It supports students to identify their personal interests, values, strengths and aspirations, and teaches them how to use this knowledge to make decisions about their future learning, work and life opportunities. </w:t>
            </w:r>
          </w:p>
          <w:p w14:paraId="1F8E84A4" w14:textId="77777777" w:rsidR="00BE420B" w:rsidRPr="00AE3F74" w:rsidRDefault="00BE420B" w:rsidP="00371188">
            <w:pPr>
              <w:pStyle w:val="NormalWeb"/>
              <w:numPr>
                <w:ilvl w:val="0"/>
                <w:numId w:val="29"/>
              </w:numPr>
              <w:rPr>
                <w:rFonts w:ascii="Arial" w:hAnsi="Arial" w:cs="Arial"/>
                <w:sz w:val="22"/>
                <w:szCs w:val="22"/>
              </w:rPr>
            </w:pPr>
            <w:r w:rsidRPr="00AE3F74">
              <w:rPr>
                <w:rFonts w:ascii="Arial" w:hAnsi="Arial" w:cs="Arial"/>
                <w:sz w:val="22"/>
                <w:szCs w:val="22"/>
              </w:rPr>
              <w:t>My Education 7–12 is an online tool, ME Online. This tool will connect your child to resources, materials and data that will assist them in developing a life and career plan.</w:t>
            </w:r>
          </w:p>
        </w:tc>
      </w:tr>
      <w:tr w:rsidR="00BE420B" w:rsidRPr="00AE3F74" w14:paraId="01BAA522" w14:textId="77777777" w:rsidTr="00371188">
        <w:tc>
          <w:tcPr>
            <w:tcW w:w="2263" w:type="dxa"/>
            <w:tcBorders>
              <w:top w:val="single" w:sz="4" w:space="0" w:color="auto"/>
              <w:left w:val="single" w:sz="4" w:space="0" w:color="auto"/>
              <w:bottom w:val="single" w:sz="4" w:space="0" w:color="auto"/>
              <w:right w:val="single" w:sz="4" w:space="0" w:color="auto"/>
            </w:tcBorders>
            <w:hideMark/>
          </w:tcPr>
          <w:p w14:paraId="7A6EFA67"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Victoria</w:t>
            </w:r>
          </w:p>
        </w:tc>
        <w:tc>
          <w:tcPr>
            <w:tcW w:w="3261" w:type="dxa"/>
            <w:tcBorders>
              <w:top w:val="single" w:sz="4" w:space="0" w:color="auto"/>
              <w:left w:val="single" w:sz="4" w:space="0" w:color="auto"/>
              <w:bottom w:val="single" w:sz="4" w:space="0" w:color="auto"/>
              <w:right w:val="single" w:sz="4" w:space="0" w:color="auto"/>
            </w:tcBorders>
            <w:hideMark/>
          </w:tcPr>
          <w:p w14:paraId="0E892F6B" w14:textId="77777777" w:rsidR="00BE420B" w:rsidRPr="00AE3F74" w:rsidRDefault="00BE420B" w:rsidP="00371188">
            <w:pPr>
              <w:pStyle w:val="NormalWeb"/>
              <w:rPr>
                <w:rFonts w:ascii="Arial" w:hAnsi="Arial" w:cs="Arial"/>
                <w:color w:val="0B0C1D"/>
                <w:sz w:val="22"/>
                <w:szCs w:val="22"/>
                <w:shd w:val="clear" w:color="auto" w:fill="FFFFFF"/>
              </w:rPr>
            </w:pPr>
            <w:r w:rsidRPr="00AE3F74">
              <w:rPr>
                <w:rFonts w:ascii="Arial" w:hAnsi="Arial" w:cs="Arial"/>
                <w:sz w:val="22"/>
                <w:szCs w:val="22"/>
              </w:rPr>
              <w:t>Transforming career education.</w:t>
            </w:r>
          </w:p>
          <w:p w14:paraId="3FECC1DC" w14:textId="77777777" w:rsidR="00BE420B" w:rsidRPr="00AE3F74" w:rsidRDefault="00BE420B" w:rsidP="00371188">
            <w:pPr>
              <w:pStyle w:val="NormalWeb"/>
              <w:rPr>
                <w:rFonts w:ascii="Arial" w:hAnsi="Arial" w:cs="Arial"/>
                <w:color w:val="0B0C1D"/>
                <w:sz w:val="22"/>
                <w:szCs w:val="22"/>
                <w:shd w:val="clear" w:color="auto" w:fill="FFFFFF"/>
              </w:rPr>
            </w:pPr>
            <w:r w:rsidRPr="00AE3F74">
              <w:rPr>
                <w:rFonts w:ascii="Arial" w:hAnsi="Arial" w:cs="Arial"/>
                <w:color w:val="0B0C1D"/>
                <w:sz w:val="22"/>
                <w:szCs w:val="22"/>
                <w:shd w:val="clear" w:color="auto" w:fill="FFFFFF"/>
              </w:rPr>
              <w:t xml:space="preserve">Career Education Funding CEF replaced Managed individual pathways (MIPs) funding in 2019. </w:t>
            </w:r>
          </w:p>
          <w:p w14:paraId="78D5F248" w14:textId="77777777" w:rsidR="00BE420B" w:rsidRPr="00AE3F74" w:rsidRDefault="00BE420B" w:rsidP="00371188">
            <w:pPr>
              <w:pStyle w:val="NormalWeb"/>
              <w:rPr>
                <w:rFonts w:ascii="Arial" w:hAnsi="Arial" w:cs="Arial"/>
                <w:sz w:val="22"/>
                <w:szCs w:val="22"/>
              </w:rPr>
            </w:pPr>
          </w:p>
        </w:tc>
        <w:tc>
          <w:tcPr>
            <w:tcW w:w="8079" w:type="dxa"/>
            <w:tcBorders>
              <w:top w:val="single" w:sz="4" w:space="0" w:color="auto"/>
              <w:left w:val="single" w:sz="4" w:space="0" w:color="auto"/>
              <w:bottom w:val="single" w:sz="4" w:space="0" w:color="auto"/>
              <w:right w:val="single" w:sz="4" w:space="0" w:color="auto"/>
            </w:tcBorders>
            <w:vAlign w:val="center"/>
            <w:hideMark/>
          </w:tcPr>
          <w:p w14:paraId="42BC9A6F" w14:textId="77777777" w:rsidR="00BE420B" w:rsidRPr="00AE3F74" w:rsidRDefault="00BE420B" w:rsidP="00371188">
            <w:pPr>
              <w:pStyle w:val="NormalWeb"/>
              <w:numPr>
                <w:ilvl w:val="0"/>
                <w:numId w:val="31"/>
              </w:numPr>
              <w:rPr>
                <w:rFonts w:ascii="Arial" w:hAnsi="Arial" w:cs="Arial"/>
                <w:sz w:val="22"/>
                <w:szCs w:val="22"/>
              </w:rPr>
            </w:pPr>
            <w:r w:rsidRPr="00AE3F74">
              <w:rPr>
                <w:rFonts w:ascii="Arial" w:hAnsi="Arial" w:cs="Arial"/>
                <w:sz w:val="22"/>
                <w:szCs w:val="22"/>
              </w:rPr>
              <w:t xml:space="preserve">Supports schools to provide career education activities for all students in Years 7 to 12. </w:t>
            </w:r>
          </w:p>
          <w:p w14:paraId="587D6BEA" w14:textId="77777777" w:rsidR="00BE420B" w:rsidRPr="00AE3F74" w:rsidRDefault="00BE420B" w:rsidP="00371188">
            <w:pPr>
              <w:pStyle w:val="NormalWeb"/>
              <w:numPr>
                <w:ilvl w:val="0"/>
                <w:numId w:val="31"/>
              </w:numPr>
              <w:rPr>
                <w:rFonts w:ascii="Arial" w:hAnsi="Arial" w:cs="Arial"/>
                <w:sz w:val="22"/>
                <w:szCs w:val="22"/>
              </w:rPr>
            </w:pPr>
            <w:r w:rsidRPr="00AE3F74">
              <w:rPr>
                <w:rFonts w:ascii="Arial" w:hAnsi="Arial" w:cs="Arial"/>
                <w:sz w:val="22"/>
                <w:szCs w:val="22"/>
              </w:rPr>
              <w:t>Additional funding is provided to schools with Student Family Occupation (SFO) densities greater than a threshold value to support young people at risk of disengaging or not making a successful transition to further education, training or secure employment.</w:t>
            </w:r>
          </w:p>
          <w:p w14:paraId="5EA1D6CF" w14:textId="77777777" w:rsidR="00BE420B" w:rsidRPr="00AE3F74" w:rsidRDefault="00BE420B" w:rsidP="00371188">
            <w:pPr>
              <w:pStyle w:val="NormalWeb"/>
              <w:numPr>
                <w:ilvl w:val="0"/>
                <w:numId w:val="31"/>
              </w:numPr>
              <w:rPr>
                <w:rFonts w:ascii="Arial" w:hAnsi="Arial" w:cs="Arial"/>
                <w:sz w:val="22"/>
                <w:szCs w:val="22"/>
              </w:rPr>
            </w:pPr>
            <w:r w:rsidRPr="00AE3F74">
              <w:rPr>
                <w:rFonts w:ascii="Arial" w:hAnsi="Arial" w:cs="Arial"/>
                <w:sz w:val="22"/>
                <w:szCs w:val="22"/>
              </w:rPr>
              <w:t xml:space="preserve">PSD: Program for students with disability. </w:t>
            </w:r>
          </w:p>
        </w:tc>
      </w:tr>
      <w:tr w:rsidR="00BE420B" w:rsidRPr="00AE3F74" w14:paraId="046ADE04" w14:textId="77777777" w:rsidTr="00371188">
        <w:tc>
          <w:tcPr>
            <w:tcW w:w="2263" w:type="dxa"/>
            <w:tcBorders>
              <w:top w:val="single" w:sz="4" w:space="0" w:color="auto"/>
              <w:left w:val="single" w:sz="4" w:space="0" w:color="auto"/>
              <w:bottom w:val="single" w:sz="4" w:space="0" w:color="auto"/>
              <w:right w:val="single" w:sz="4" w:space="0" w:color="auto"/>
            </w:tcBorders>
          </w:tcPr>
          <w:p w14:paraId="705DCC56"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 xml:space="preserve">Western Australia </w:t>
            </w:r>
          </w:p>
        </w:tc>
        <w:tc>
          <w:tcPr>
            <w:tcW w:w="3261" w:type="dxa"/>
            <w:tcBorders>
              <w:top w:val="single" w:sz="4" w:space="0" w:color="auto"/>
              <w:left w:val="single" w:sz="4" w:space="0" w:color="auto"/>
              <w:bottom w:val="single" w:sz="4" w:space="0" w:color="auto"/>
              <w:right w:val="single" w:sz="4" w:space="0" w:color="auto"/>
            </w:tcBorders>
          </w:tcPr>
          <w:p w14:paraId="5974E7EB" w14:textId="77777777" w:rsidR="00BE420B" w:rsidRPr="00AE3F74" w:rsidRDefault="00BE420B" w:rsidP="00371188">
            <w:pPr>
              <w:pStyle w:val="NormalWeb"/>
              <w:rPr>
                <w:rFonts w:ascii="Arial" w:hAnsi="Arial" w:cs="Arial"/>
                <w:sz w:val="22"/>
                <w:szCs w:val="22"/>
              </w:rPr>
            </w:pPr>
            <w:r w:rsidRPr="00AE3F74">
              <w:rPr>
                <w:rFonts w:ascii="Arial" w:hAnsi="Arial" w:cs="Arial"/>
                <w:sz w:val="22"/>
                <w:szCs w:val="22"/>
              </w:rPr>
              <w:t>Transition Planning Program</w:t>
            </w:r>
          </w:p>
        </w:tc>
        <w:tc>
          <w:tcPr>
            <w:tcW w:w="8079" w:type="dxa"/>
            <w:tcBorders>
              <w:top w:val="single" w:sz="4" w:space="0" w:color="auto"/>
              <w:left w:val="single" w:sz="4" w:space="0" w:color="auto"/>
              <w:bottom w:val="single" w:sz="4" w:space="0" w:color="auto"/>
              <w:right w:val="single" w:sz="4" w:space="0" w:color="auto"/>
            </w:tcBorders>
            <w:vAlign w:val="center"/>
          </w:tcPr>
          <w:p w14:paraId="74F209B2" w14:textId="77777777" w:rsidR="00BE420B" w:rsidRPr="00AE3F74" w:rsidRDefault="00BE420B" w:rsidP="00371188">
            <w:pPr>
              <w:pStyle w:val="NormalWeb"/>
              <w:numPr>
                <w:ilvl w:val="0"/>
                <w:numId w:val="32"/>
              </w:numPr>
              <w:rPr>
                <w:rFonts w:ascii="Arial" w:hAnsi="Arial" w:cs="Arial"/>
                <w:sz w:val="22"/>
                <w:szCs w:val="22"/>
              </w:rPr>
            </w:pPr>
            <w:r w:rsidRPr="00AE3F74">
              <w:rPr>
                <w:rFonts w:ascii="Arial" w:hAnsi="Arial" w:cs="Arial"/>
                <w:sz w:val="22"/>
                <w:szCs w:val="22"/>
              </w:rPr>
              <w:t xml:space="preserve">To assist young people with a disability make a smooth transition to adult life. Transition planning activities are from 8 to year 12. </w:t>
            </w:r>
          </w:p>
        </w:tc>
      </w:tr>
    </w:tbl>
    <w:p w14:paraId="12D3E5BF" w14:textId="77777777" w:rsidR="00BE420B" w:rsidRDefault="00BE420B" w:rsidP="00BE420B">
      <w:pPr>
        <w:rPr>
          <w:shd w:val="clear" w:color="auto" w:fill="F4F5F5"/>
        </w:rPr>
      </w:pPr>
    </w:p>
    <w:p w14:paraId="66217CE4" w14:textId="77777777" w:rsidR="00BE420B" w:rsidRDefault="00BE420B" w:rsidP="00BE420B">
      <w:pPr>
        <w:rPr>
          <w:shd w:val="clear" w:color="auto" w:fill="F4F5F5"/>
        </w:rPr>
      </w:pPr>
    </w:p>
    <w:p w14:paraId="2DC132FC" w14:textId="77777777" w:rsidR="00BE420B" w:rsidRDefault="00BE420B" w:rsidP="00BE420B">
      <w:pPr>
        <w:rPr>
          <w:shd w:val="clear" w:color="auto" w:fill="F4F5F5"/>
        </w:rPr>
        <w:sectPr w:rsidR="00BE420B" w:rsidSect="00374F54">
          <w:pgSz w:w="16838" w:h="11906" w:orient="landscape"/>
          <w:pgMar w:top="1077" w:right="1440" w:bottom="1077" w:left="1440" w:header="709" w:footer="709" w:gutter="0"/>
          <w:cols w:space="708"/>
          <w:titlePg/>
          <w:docGrid w:linePitch="360"/>
        </w:sectPr>
      </w:pPr>
    </w:p>
    <w:p w14:paraId="67CDC68F" w14:textId="77777777" w:rsidR="00747CF0" w:rsidRPr="003D19C9" w:rsidRDefault="00747CF0" w:rsidP="00374F54">
      <w:pPr>
        <w:pStyle w:val="Heading2"/>
        <w:rPr>
          <w:b w:val="0"/>
          <w:bCs/>
          <w:i/>
          <w:iCs/>
          <w:shd w:val="clear" w:color="auto" w:fill="F4F5F5"/>
        </w:rPr>
      </w:pPr>
      <w:r w:rsidRPr="003D19C9">
        <w:rPr>
          <w:b w:val="0"/>
          <w:bCs/>
          <w:i/>
          <w:iCs/>
          <w:shd w:val="clear" w:color="auto" w:fill="F4F5F5"/>
        </w:rPr>
        <w:t>Starting planning earlier</w:t>
      </w:r>
    </w:p>
    <w:p w14:paraId="3F02A1F3" w14:textId="77777777" w:rsidR="00004BEA" w:rsidRPr="00004BEA" w:rsidRDefault="00004BEA" w:rsidP="00004BEA">
      <w:r w:rsidRPr="00004BEA">
        <w:rPr>
          <w:b/>
        </w:rPr>
        <w:t>Table 7. Year when student with disability start receiving career planning support (n=83)</w:t>
      </w:r>
    </w:p>
    <w:tbl>
      <w:tblPr>
        <w:tblStyle w:val="TableGrid"/>
        <w:tblW w:w="0" w:type="auto"/>
        <w:tblLook w:val="04A0" w:firstRow="1" w:lastRow="0" w:firstColumn="1" w:lastColumn="0" w:noHBand="0" w:noVBand="1"/>
      </w:tblPr>
      <w:tblGrid>
        <w:gridCol w:w="5807"/>
        <w:gridCol w:w="1964"/>
        <w:gridCol w:w="1965"/>
      </w:tblGrid>
      <w:tr w:rsidR="00004BEA" w:rsidRPr="00004BEA" w14:paraId="4982B5FF" w14:textId="77777777" w:rsidTr="00F477CC">
        <w:tc>
          <w:tcPr>
            <w:tcW w:w="5807" w:type="dxa"/>
          </w:tcPr>
          <w:p w14:paraId="630BB128" w14:textId="77777777" w:rsidR="00004BEA" w:rsidRPr="00004BEA" w:rsidRDefault="00004BEA" w:rsidP="00004BEA">
            <w:pPr>
              <w:rPr>
                <w:b/>
              </w:rPr>
            </w:pPr>
            <w:r w:rsidRPr="00004BEA">
              <w:rPr>
                <w:b/>
              </w:rPr>
              <w:t>Year level when student with disability start receiving career planning</w:t>
            </w:r>
          </w:p>
        </w:tc>
        <w:tc>
          <w:tcPr>
            <w:tcW w:w="1964" w:type="dxa"/>
          </w:tcPr>
          <w:p w14:paraId="5298291E" w14:textId="77777777" w:rsidR="00004BEA" w:rsidRPr="00004BEA" w:rsidRDefault="00004BEA" w:rsidP="00004BEA">
            <w:pPr>
              <w:jc w:val="center"/>
              <w:rPr>
                <w:b/>
              </w:rPr>
            </w:pPr>
            <w:r w:rsidRPr="00004BEA">
              <w:rPr>
                <w:b/>
              </w:rPr>
              <w:t>Number</w:t>
            </w:r>
          </w:p>
        </w:tc>
        <w:tc>
          <w:tcPr>
            <w:tcW w:w="1965" w:type="dxa"/>
          </w:tcPr>
          <w:p w14:paraId="326E38B8" w14:textId="77777777" w:rsidR="00004BEA" w:rsidRPr="00004BEA" w:rsidRDefault="00004BEA" w:rsidP="00004BEA">
            <w:pPr>
              <w:jc w:val="center"/>
              <w:rPr>
                <w:b/>
              </w:rPr>
            </w:pPr>
            <w:r w:rsidRPr="00004BEA">
              <w:rPr>
                <w:b/>
              </w:rPr>
              <w:t>Percentage</w:t>
            </w:r>
          </w:p>
        </w:tc>
      </w:tr>
      <w:tr w:rsidR="00004BEA" w:rsidRPr="00004BEA" w14:paraId="03746640" w14:textId="77777777" w:rsidTr="00F477CC">
        <w:trPr>
          <w:trHeight w:val="738"/>
        </w:trPr>
        <w:tc>
          <w:tcPr>
            <w:tcW w:w="5807" w:type="dxa"/>
          </w:tcPr>
          <w:p w14:paraId="368CD898" w14:textId="77777777" w:rsidR="00004BEA" w:rsidRPr="00004BEA" w:rsidRDefault="00004BEA" w:rsidP="00004BEA">
            <w:r w:rsidRPr="00004BEA">
              <w:t>Year 9</w:t>
            </w:r>
          </w:p>
        </w:tc>
        <w:tc>
          <w:tcPr>
            <w:tcW w:w="1964" w:type="dxa"/>
          </w:tcPr>
          <w:p w14:paraId="545E1AB5" w14:textId="77777777" w:rsidR="00004BEA" w:rsidRPr="00004BEA" w:rsidRDefault="00004BEA" w:rsidP="00004BEA">
            <w:pPr>
              <w:jc w:val="center"/>
            </w:pPr>
            <w:r w:rsidRPr="00004BEA">
              <w:t>6</w:t>
            </w:r>
          </w:p>
        </w:tc>
        <w:tc>
          <w:tcPr>
            <w:tcW w:w="1965" w:type="dxa"/>
          </w:tcPr>
          <w:p w14:paraId="39336347" w14:textId="77777777" w:rsidR="00004BEA" w:rsidRPr="00004BEA" w:rsidRDefault="00004BEA" w:rsidP="00004BEA">
            <w:pPr>
              <w:jc w:val="center"/>
            </w:pPr>
            <w:r w:rsidRPr="00004BEA">
              <w:t>7.2%</w:t>
            </w:r>
          </w:p>
        </w:tc>
      </w:tr>
      <w:tr w:rsidR="00004BEA" w:rsidRPr="00004BEA" w14:paraId="69F32E1B" w14:textId="77777777" w:rsidTr="00F477CC">
        <w:tc>
          <w:tcPr>
            <w:tcW w:w="5807" w:type="dxa"/>
          </w:tcPr>
          <w:p w14:paraId="2383555B" w14:textId="77777777" w:rsidR="00004BEA" w:rsidRPr="00004BEA" w:rsidRDefault="00004BEA" w:rsidP="00004BEA">
            <w:r w:rsidRPr="00004BEA">
              <w:t>Year 10</w:t>
            </w:r>
          </w:p>
        </w:tc>
        <w:tc>
          <w:tcPr>
            <w:tcW w:w="1964" w:type="dxa"/>
          </w:tcPr>
          <w:p w14:paraId="006E4F11" w14:textId="77777777" w:rsidR="00004BEA" w:rsidRPr="00004BEA" w:rsidRDefault="00004BEA" w:rsidP="00004BEA">
            <w:pPr>
              <w:jc w:val="center"/>
            </w:pPr>
            <w:r w:rsidRPr="00004BEA">
              <w:t>19</w:t>
            </w:r>
          </w:p>
        </w:tc>
        <w:tc>
          <w:tcPr>
            <w:tcW w:w="1965" w:type="dxa"/>
          </w:tcPr>
          <w:p w14:paraId="22DBEBD6" w14:textId="77777777" w:rsidR="00004BEA" w:rsidRPr="00004BEA" w:rsidRDefault="00004BEA" w:rsidP="00004BEA">
            <w:pPr>
              <w:jc w:val="center"/>
            </w:pPr>
            <w:r w:rsidRPr="00004BEA">
              <w:t>22.8%</w:t>
            </w:r>
          </w:p>
        </w:tc>
      </w:tr>
      <w:tr w:rsidR="00004BEA" w:rsidRPr="00004BEA" w14:paraId="4475574E" w14:textId="77777777" w:rsidTr="00F477CC">
        <w:tc>
          <w:tcPr>
            <w:tcW w:w="5807" w:type="dxa"/>
          </w:tcPr>
          <w:p w14:paraId="313CC473" w14:textId="77777777" w:rsidR="00004BEA" w:rsidRPr="00004BEA" w:rsidRDefault="00004BEA" w:rsidP="00004BEA">
            <w:r w:rsidRPr="00004BEA">
              <w:t>Year 11</w:t>
            </w:r>
          </w:p>
        </w:tc>
        <w:tc>
          <w:tcPr>
            <w:tcW w:w="1964" w:type="dxa"/>
          </w:tcPr>
          <w:p w14:paraId="03492A86" w14:textId="77777777" w:rsidR="00004BEA" w:rsidRPr="00004BEA" w:rsidRDefault="00004BEA" w:rsidP="00004BEA">
            <w:pPr>
              <w:jc w:val="center"/>
            </w:pPr>
            <w:r w:rsidRPr="00004BEA">
              <w:t>15</w:t>
            </w:r>
          </w:p>
        </w:tc>
        <w:tc>
          <w:tcPr>
            <w:tcW w:w="1965" w:type="dxa"/>
          </w:tcPr>
          <w:p w14:paraId="28F119BE" w14:textId="77777777" w:rsidR="00004BEA" w:rsidRPr="00004BEA" w:rsidRDefault="00004BEA" w:rsidP="00004BEA">
            <w:pPr>
              <w:jc w:val="center"/>
            </w:pPr>
            <w:r w:rsidRPr="00004BEA">
              <w:t>18%</w:t>
            </w:r>
          </w:p>
        </w:tc>
      </w:tr>
      <w:tr w:rsidR="00004BEA" w:rsidRPr="00004BEA" w14:paraId="1EC246D4" w14:textId="77777777" w:rsidTr="00F477CC">
        <w:tc>
          <w:tcPr>
            <w:tcW w:w="5807" w:type="dxa"/>
          </w:tcPr>
          <w:p w14:paraId="64A32E8A" w14:textId="77777777" w:rsidR="00004BEA" w:rsidRPr="00004BEA" w:rsidRDefault="00004BEA" w:rsidP="00004BEA">
            <w:r w:rsidRPr="00004BEA">
              <w:t>Year 12</w:t>
            </w:r>
          </w:p>
        </w:tc>
        <w:tc>
          <w:tcPr>
            <w:tcW w:w="1964" w:type="dxa"/>
          </w:tcPr>
          <w:p w14:paraId="633D50DA" w14:textId="77777777" w:rsidR="00004BEA" w:rsidRPr="00004BEA" w:rsidRDefault="00004BEA" w:rsidP="00004BEA">
            <w:pPr>
              <w:jc w:val="center"/>
            </w:pPr>
            <w:r w:rsidRPr="00004BEA">
              <w:t>22</w:t>
            </w:r>
          </w:p>
        </w:tc>
        <w:tc>
          <w:tcPr>
            <w:tcW w:w="1965" w:type="dxa"/>
          </w:tcPr>
          <w:p w14:paraId="4253AA8A" w14:textId="77777777" w:rsidR="00004BEA" w:rsidRPr="00004BEA" w:rsidRDefault="00004BEA" w:rsidP="00004BEA">
            <w:pPr>
              <w:jc w:val="center"/>
            </w:pPr>
            <w:r w:rsidRPr="00004BEA">
              <w:t>26.5%</w:t>
            </w:r>
          </w:p>
        </w:tc>
      </w:tr>
    </w:tbl>
    <w:p w14:paraId="693355B2" w14:textId="77777777" w:rsidR="00004BEA" w:rsidRDefault="00004BEA" w:rsidP="00747CF0">
      <w:pPr>
        <w:rPr>
          <w:b/>
        </w:rPr>
      </w:pPr>
    </w:p>
    <w:p w14:paraId="6A03CC87" w14:textId="3B39B9E2" w:rsidR="003D19C9" w:rsidRPr="0022288C" w:rsidRDefault="003D19C9" w:rsidP="003D19C9">
      <w:pPr>
        <w:pStyle w:val="Heading2"/>
        <w:rPr>
          <w:color w:val="538135" w:themeColor="accent6" w:themeShade="BF"/>
        </w:rPr>
      </w:pPr>
      <w:r>
        <w:rPr>
          <w:color w:val="538135" w:themeColor="accent6" w:themeShade="BF"/>
        </w:rPr>
        <w:t xml:space="preserve">Provide more information to students </w:t>
      </w:r>
      <w:r w:rsidR="00AE3F74">
        <w:rPr>
          <w:color w:val="538135" w:themeColor="accent6" w:themeShade="BF"/>
        </w:rPr>
        <w:t xml:space="preserve">with disability </w:t>
      </w:r>
      <w:r>
        <w:rPr>
          <w:color w:val="538135" w:themeColor="accent6" w:themeShade="BF"/>
        </w:rPr>
        <w:t>and their families</w:t>
      </w:r>
    </w:p>
    <w:p w14:paraId="2ECA53E0" w14:textId="77777777" w:rsidR="00747CF0" w:rsidRPr="003D19C9" w:rsidRDefault="00747CF0" w:rsidP="00374F54">
      <w:pPr>
        <w:pStyle w:val="Heading2"/>
        <w:rPr>
          <w:b w:val="0"/>
          <w:bCs/>
          <w:i/>
          <w:iCs/>
          <w:shd w:val="clear" w:color="auto" w:fill="F4F5F5"/>
        </w:rPr>
      </w:pPr>
      <w:r w:rsidRPr="003D19C9">
        <w:rPr>
          <w:b w:val="0"/>
          <w:bCs/>
          <w:i/>
          <w:iCs/>
          <w:shd w:val="clear" w:color="auto" w:fill="F4F5F5"/>
        </w:rPr>
        <w:t>Improve support for parents and family members</w:t>
      </w:r>
    </w:p>
    <w:p w14:paraId="23008361" w14:textId="633716F8" w:rsidR="00747CF0" w:rsidRDefault="00747CF0" w:rsidP="00747CF0">
      <w:r>
        <w:rPr>
          <w:b/>
        </w:rPr>
        <w:t xml:space="preserve">Table </w:t>
      </w:r>
      <w:r w:rsidR="003D19C9">
        <w:rPr>
          <w:b/>
        </w:rPr>
        <w:t>8</w:t>
      </w:r>
      <w:r w:rsidRPr="00064357">
        <w:rPr>
          <w:b/>
        </w:rPr>
        <w:t xml:space="preserve">. Parent involvement in career planning process of their child </w:t>
      </w:r>
      <w:r w:rsidR="00004BEA">
        <w:rPr>
          <w:b/>
        </w:rPr>
        <w:t>(n=66</w:t>
      </w:r>
      <w:r w:rsidRPr="00B049C1">
        <w:rPr>
          <w:b/>
        </w:rPr>
        <w:t>)</w:t>
      </w:r>
    </w:p>
    <w:tbl>
      <w:tblPr>
        <w:tblStyle w:val="TableGrid"/>
        <w:tblW w:w="0" w:type="auto"/>
        <w:tblLook w:val="04A0" w:firstRow="1" w:lastRow="0" w:firstColumn="1" w:lastColumn="0" w:noHBand="0" w:noVBand="1"/>
      </w:tblPr>
      <w:tblGrid>
        <w:gridCol w:w="5807"/>
        <w:gridCol w:w="2268"/>
        <w:gridCol w:w="1661"/>
      </w:tblGrid>
      <w:tr w:rsidR="00747CF0" w14:paraId="58993B8A" w14:textId="77777777" w:rsidTr="00371188">
        <w:tc>
          <w:tcPr>
            <w:tcW w:w="5807" w:type="dxa"/>
          </w:tcPr>
          <w:p w14:paraId="65BCF342" w14:textId="77777777" w:rsidR="00747CF0" w:rsidRDefault="00747CF0" w:rsidP="00371188">
            <w:pPr>
              <w:rPr>
                <w:b/>
              </w:rPr>
            </w:pPr>
            <w:r w:rsidRPr="00064357">
              <w:rPr>
                <w:b/>
              </w:rPr>
              <w:t>Parent involvement in career planning process</w:t>
            </w:r>
          </w:p>
        </w:tc>
        <w:tc>
          <w:tcPr>
            <w:tcW w:w="2268" w:type="dxa"/>
          </w:tcPr>
          <w:p w14:paraId="1CCD0EB5" w14:textId="77777777" w:rsidR="00747CF0" w:rsidRDefault="00747CF0" w:rsidP="00371188">
            <w:pPr>
              <w:jc w:val="center"/>
              <w:rPr>
                <w:b/>
              </w:rPr>
            </w:pPr>
            <w:r>
              <w:rPr>
                <w:b/>
              </w:rPr>
              <w:t>Number</w:t>
            </w:r>
          </w:p>
        </w:tc>
        <w:tc>
          <w:tcPr>
            <w:tcW w:w="1661" w:type="dxa"/>
          </w:tcPr>
          <w:p w14:paraId="01BA0688" w14:textId="77777777" w:rsidR="00747CF0" w:rsidRDefault="00747CF0" w:rsidP="00371188">
            <w:pPr>
              <w:jc w:val="center"/>
              <w:rPr>
                <w:b/>
              </w:rPr>
            </w:pPr>
            <w:r>
              <w:rPr>
                <w:b/>
              </w:rPr>
              <w:t>Percentage</w:t>
            </w:r>
          </w:p>
        </w:tc>
      </w:tr>
      <w:tr w:rsidR="00747CF0" w14:paraId="517B617A" w14:textId="77777777" w:rsidTr="00371188">
        <w:tc>
          <w:tcPr>
            <w:tcW w:w="5807" w:type="dxa"/>
          </w:tcPr>
          <w:p w14:paraId="098DF674" w14:textId="77777777" w:rsidR="00747CF0" w:rsidRPr="00064357" w:rsidRDefault="00747CF0" w:rsidP="00371188">
            <w:r w:rsidRPr="00064357">
              <w:t xml:space="preserve">Not involvement </w:t>
            </w:r>
          </w:p>
        </w:tc>
        <w:tc>
          <w:tcPr>
            <w:tcW w:w="2268" w:type="dxa"/>
          </w:tcPr>
          <w:p w14:paraId="2634780A" w14:textId="44943166" w:rsidR="00747CF0" w:rsidRPr="00E12D22" w:rsidRDefault="000024BD" w:rsidP="00371188">
            <w:pPr>
              <w:jc w:val="center"/>
            </w:pPr>
            <w:r>
              <w:t xml:space="preserve">27 </w:t>
            </w:r>
          </w:p>
        </w:tc>
        <w:tc>
          <w:tcPr>
            <w:tcW w:w="1661" w:type="dxa"/>
          </w:tcPr>
          <w:p w14:paraId="45EDDE71" w14:textId="7242A71E" w:rsidR="00747CF0" w:rsidRPr="00880B44" w:rsidRDefault="000024BD" w:rsidP="00371188">
            <w:pPr>
              <w:jc w:val="center"/>
            </w:pPr>
            <w:r>
              <w:t>40.9</w:t>
            </w:r>
            <w:r w:rsidR="00747CF0" w:rsidRPr="00880B44">
              <w:t>%</w:t>
            </w:r>
          </w:p>
        </w:tc>
      </w:tr>
      <w:tr w:rsidR="00747CF0" w14:paraId="5BC0FBC9" w14:textId="77777777" w:rsidTr="00371188">
        <w:tc>
          <w:tcPr>
            <w:tcW w:w="5807" w:type="dxa"/>
          </w:tcPr>
          <w:p w14:paraId="055769A7" w14:textId="77777777" w:rsidR="00747CF0" w:rsidRPr="00064357" w:rsidRDefault="00747CF0" w:rsidP="00371188">
            <w:r w:rsidRPr="00064357">
              <w:t xml:space="preserve">Very little involvement </w:t>
            </w:r>
          </w:p>
        </w:tc>
        <w:tc>
          <w:tcPr>
            <w:tcW w:w="2268" w:type="dxa"/>
          </w:tcPr>
          <w:p w14:paraId="057CE777" w14:textId="77777777" w:rsidR="00747CF0" w:rsidRPr="00E12D22" w:rsidRDefault="00747CF0" w:rsidP="00371188">
            <w:pPr>
              <w:jc w:val="center"/>
            </w:pPr>
            <w:r>
              <w:t>12</w:t>
            </w:r>
          </w:p>
        </w:tc>
        <w:tc>
          <w:tcPr>
            <w:tcW w:w="1661" w:type="dxa"/>
          </w:tcPr>
          <w:p w14:paraId="23C871C3" w14:textId="37C7843A" w:rsidR="00747CF0" w:rsidRPr="00880B44" w:rsidRDefault="000024BD" w:rsidP="00371188">
            <w:pPr>
              <w:jc w:val="center"/>
            </w:pPr>
            <w:r>
              <w:t>18.1</w:t>
            </w:r>
            <w:r w:rsidR="00747CF0" w:rsidRPr="00880B44">
              <w:t>%</w:t>
            </w:r>
          </w:p>
        </w:tc>
      </w:tr>
      <w:tr w:rsidR="00747CF0" w14:paraId="728B3400" w14:textId="77777777" w:rsidTr="00371188">
        <w:tc>
          <w:tcPr>
            <w:tcW w:w="5807" w:type="dxa"/>
          </w:tcPr>
          <w:p w14:paraId="158845D5" w14:textId="77777777" w:rsidR="00747CF0" w:rsidRPr="00064357" w:rsidRDefault="00747CF0" w:rsidP="00371188">
            <w:r w:rsidRPr="00064357">
              <w:t>Involv</w:t>
            </w:r>
            <w:r>
              <w:t>ed in planning meeting with DHS</w:t>
            </w:r>
            <w:r w:rsidRPr="00064357">
              <w:t xml:space="preserve"> </w:t>
            </w:r>
            <w:r>
              <w:t>and not school (program before NDIS)</w:t>
            </w:r>
          </w:p>
        </w:tc>
        <w:tc>
          <w:tcPr>
            <w:tcW w:w="2268" w:type="dxa"/>
          </w:tcPr>
          <w:p w14:paraId="27EBC0DD" w14:textId="77777777" w:rsidR="00747CF0" w:rsidRPr="00E12D22" w:rsidRDefault="00747CF0" w:rsidP="00371188">
            <w:pPr>
              <w:jc w:val="center"/>
            </w:pPr>
            <w:r>
              <w:t>3</w:t>
            </w:r>
          </w:p>
        </w:tc>
        <w:tc>
          <w:tcPr>
            <w:tcW w:w="1661" w:type="dxa"/>
          </w:tcPr>
          <w:p w14:paraId="1A52B8E0" w14:textId="77777777" w:rsidR="00747CF0" w:rsidRPr="00C800DF" w:rsidRDefault="00747CF0" w:rsidP="00371188">
            <w:pPr>
              <w:jc w:val="center"/>
            </w:pPr>
            <w:r>
              <w:t>5.5</w:t>
            </w:r>
            <w:r w:rsidRPr="00C800DF">
              <w:t>%</w:t>
            </w:r>
          </w:p>
        </w:tc>
      </w:tr>
      <w:tr w:rsidR="00747CF0" w14:paraId="032CF197" w14:textId="77777777" w:rsidTr="00371188">
        <w:tc>
          <w:tcPr>
            <w:tcW w:w="5807" w:type="dxa"/>
          </w:tcPr>
          <w:p w14:paraId="6156E0E7" w14:textId="77777777" w:rsidR="00747CF0" w:rsidRPr="00E12D22" w:rsidRDefault="00747CF0" w:rsidP="00371188">
            <w:r w:rsidRPr="00E12D22">
              <w:t>In</w:t>
            </w:r>
            <w:r>
              <w:t>volvement in transition meetings, expos, open days meeting with providers</w:t>
            </w:r>
          </w:p>
        </w:tc>
        <w:tc>
          <w:tcPr>
            <w:tcW w:w="2268" w:type="dxa"/>
          </w:tcPr>
          <w:p w14:paraId="5CFEF654" w14:textId="77777777" w:rsidR="00747CF0" w:rsidRPr="00E12D22" w:rsidRDefault="00747CF0" w:rsidP="00371188">
            <w:pPr>
              <w:jc w:val="center"/>
            </w:pPr>
            <w:r>
              <w:t>14</w:t>
            </w:r>
          </w:p>
        </w:tc>
        <w:tc>
          <w:tcPr>
            <w:tcW w:w="1661" w:type="dxa"/>
          </w:tcPr>
          <w:p w14:paraId="3C3CCA62" w14:textId="66034ACD" w:rsidR="00747CF0" w:rsidRPr="00C800DF" w:rsidRDefault="0076734C" w:rsidP="00371188">
            <w:pPr>
              <w:jc w:val="center"/>
            </w:pPr>
            <w:r>
              <w:t>21.2</w:t>
            </w:r>
            <w:r w:rsidR="00747CF0" w:rsidRPr="00C800DF">
              <w:t>%</w:t>
            </w:r>
          </w:p>
        </w:tc>
      </w:tr>
      <w:tr w:rsidR="00747CF0" w14:paraId="2C527182" w14:textId="77777777" w:rsidTr="00371188">
        <w:tc>
          <w:tcPr>
            <w:tcW w:w="5807" w:type="dxa"/>
          </w:tcPr>
          <w:p w14:paraId="6E3CD51E" w14:textId="77777777" w:rsidR="00747CF0" w:rsidRPr="00E12D22" w:rsidRDefault="00747CF0" w:rsidP="00371188">
            <w:r w:rsidRPr="00E12D22">
              <w:t>Parent</w:t>
            </w:r>
            <w:r>
              <w:t>s</w:t>
            </w:r>
            <w:r w:rsidRPr="00E12D22">
              <w:t xml:space="preserve"> did the career planning </w:t>
            </w:r>
          </w:p>
        </w:tc>
        <w:tc>
          <w:tcPr>
            <w:tcW w:w="2268" w:type="dxa"/>
          </w:tcPr>
          <w:p w14:paraId="2EC8C0A2" w14:textId="77777777" w:rsidR="00747CF0" w:rsidRPr="00E12D22" w:rsidRDefault="00747CF0" w:rsidP="00371188">
            <w:pPr>
              <w:jc w:val="center"/>
            </w:pPr>
            <w:r>
              <w:t>3</w:t>
            </w:r>
          </w:p>
        </w:tc>
        <w:tc>
          <w:tcPr>
            <w:tcW w:w="1661" w:type="dxa"/>
          </w:tcPr>
          <w:p w14:paraId="6692E46F" w14:textId="3322756F" w:rsidR="00747CF0" w:rsidRPr="00C800DF" w:rsidRDefault="0076734C" w:rsidP="00371188">
            <w:pPr>
              <w:jc w:val="center"/>
            </w:pPr>
            <w:r>
              <w:t>4.5</w:t>
            </w:r>
            <w:r w:rsidR="00747CF0" w:rsidRPr="00C800DF">
              <w:t>%</w:t>
            </w:r>
          </w:p>
        </w:tc>
      </w:tr>
      <w:tr w:rsidR="00747CF0" w14:paraId="7DA4C5EE" w14:textId="77777777" w:rsidTr="00371188">
        <w:tc>
          <w:tcPr>
            <w:tcW w:w="5807" w:type="dxa"/>
          </w:tcPr>
          <w:p w14:paraId="71D95360" w14:textId="77777777" w:rsidR="00747CF0" w:rsidRPr="00E12D22" w:rsidRDefault="00747CF0" w:rsidP="00371188">
            <w:r>
              <w:t xml:space="preserve">Parent involved in subject selection meetings with school staff </w:t>
            </w:r>
          </w:p>
        </w:tc>
        <w:tc>
          <w:tcPr>
            <w:tcW w:w="2268" w:type="dxa"/>
          </w:tcPr>
          <w:p w14:paraId="39609132" w14:textId="77777777" w:rsidR="00747CF0" w:rsidRDefault="00747CF0" w:rsidP="00371188">
            <w:pPr>
              <w:jc w:val="center"/>
            </w:pPr>
            <w:r>
              <w:t>1</w:t>
            </w:r>
          </w:p>
        </w:tc>
        <w:tc>
          <w:tcPr>
            <w:tcW w:w="1661" w:type="dxa"/>
          </w:tcPr>
          <w:p w14:paraId="48AF06CD" w14:textId="37078146" w:rsidR="00747CF0" w:rsidRPr="00C800DF" w:rsidRDefault="0076734C" w:rsidP="00371188">
            <w:pPr>
              <w:jc w:val="center"/>
            </w:pPr>
            <w:r>
              <w:t>1.5</w:t>
            </w:r>
            <w:r w:rsidR="00747CF0">
              <w:t>%</w:t>
            </w:r>
          </w:p>
        </w:tc>
      </w:tr>
      <w:tr w:rsidR="00747CF0" w14:paraId="0E9B0294" w14:textId="77777777" w:rsidTr="00371188">
        <w:tc>
          <w:tcPr>
            <w:tcW w:w="5807" w:type="dxa"/>
          </w:tcPr>
          <w:p w14:paraId="354A2509" w14:textId="77777777" w:rsidR="00747CF0" w:rsidRDefault="00747CF0" w:rsidP="00371188">
            <w:r>
              <w:t xml:space="preserve">School provided parents with formal feedback on potential ATAR and engagement with Coordinator </w:t>
            </w:r>
          </w:p>
        </w:tc>
        <w:tc>
          <w:tcPr>
            <w:tcW w:w="2268" w:type="dxa"/>
          </w:tcPr>
          <w:p w14:paraId="787BA18F" w14:textId="77777777" w:rsidR="00747CF0" w:rsidRDefault="00747CF0" w:rsidP="00371188">
            <w:pPr>
              <w:jc w:val="center"/>
            </w:pPr>
            <w:r>
              <w:t>1</w:t>
            </w:r>
          </w:p>
        </w:tc>
        <w:tc>
          <w:tcPr>
            <w:tcW w:w="1661" w:type="dxa"/>
          </w:tcPr>
          <w:p w14:paraId="39F1DC3E" w14:textId="684F44B8" w:rsidR="00747CF0" w:rsidRPr="00C800DF" w:rsidRDefault="0076734C" w:rsidP="00371188">
            <w:pPr>
              <w:jc w:val="center"/>
            </w:pPr>
            <w:r>
              <w:t>1.5</w:t>
            </w:r>
            <w:r w:rsidR="00747CF0">
              <w:t>%</w:t>
            </w:r>
          </w:p>
        </w:tc>
      </w:tr>
      <w:tr w:rsidR="00747CF0" w14:paraId="1F0A299A" w14:textId="77777777" w:rsidTr="00371188">
        <w:tc>
          <w:tcPr>
            <w:tcW w:w="5807" w:type="dxa"/>
          </w:tcPr>
          <w:p w14:paraId="6BBEA940" w14:textId="77777777" w:rsidR="00747CF0" w:rsidRPr="00E12D22" w:rsidRDefault="00747CF0" w:rsidP="00371188">
            <w:r w:rsidRPr="00E12D22">
              <w:t xml:space="preserve">Learning support teacher helped </w:t>
            </w:r>
            <w:r>
              <w:t>and helped student and parent but not the career teacher</w:t>
            </w:r>
          </w:p>
        </w:tc>
        <w:tc>
          <w:tcPr>
            <w:tcW w:w="2268" w:type="dxa"/>
          </w:tcPr>
          <w:p w14:paraId="0C6FF304" w14:textId="77777777" w:rsidR="00747CF0" w:rsidRPr="00E12D22" w:rsidRDefault="00747CF0" w:rsidP="00371188">
            <w:pPr>
              <w:jc w:val="center"/>
            </w:pPr>
            <w:r>
              <w:t>1</w:t>
            </w:r>
          </w:p>
        </w:tc>
        <w:tc>
          <w:tcPr>
            <w:tcW w:w="1661" w:type="dxa"/>
          </w:tcPr>
          <w:p w14:paraId="3DCA902F" w14:textId="22319585" w:rsidR="00747CF0" w:rsidRPr="00C800DF" w:rsidRDefault="0076734C" w:rsidP="00371188">
            <w:pPr>
              <w:jc w:val="center"/>
            </w:pPr>
            <w:r>
              <w:t>1.5</w:t>
            </w:r>
            <w:r w:rsidR="00747CF0" w:rsidRPr="00C800DF">
              <w:t>%</w:t>
            </w:r>
          </w:p>
        </w:tc>
      </w:tr>
      <w:tr w:rsidR="00747CF0" w14:paraId="2C549F05" w14:textId="77777777" w:rsidTr="00371188">
        <w:tc>
          <w:tcPr>
            <w:tcW w:w="5807" w:type="dxa"/>
          </w:tcPr>
          <w:p w14:paraId="63EABA35" w14:textId="77777777" w:rsidR="00747CF0" w:rsidRPr="00E12D22" w:rsidRDefault="00747CF0" w:rsidP="00371188">
            <w:r>
              <w:t xml:space="preserve">Parent involved in two planning meetings in a year </w:t>
            </w:r>
          </w:p>
        </w:tc>
        <w:tc>
          <w:tcPr>
            <w:tcW w:w="2268" w:type="dxa"/>
          </w:tcPr>
          <w:p w14:paraId="3EF6651C" w14:textId="77777777" w:rsidR="00747CF0" w:rsidRDefault="00747CF0" w:rsidP="00371188">
            <w:pPr>
              <w:jc w:val="center"/>
            </w:pPr>
            <w:r>
              <w:t>1</w:t>
            </w:r>
          </w:p>
        </w:tc>
        <w:tc>
          <w:tcPr>
            <w:tcW w:w="1661" w:type="dxa"/>
          </w:tcPr>
          <w:p w14:paraId="0D91C58E" w14:textId="72443915" w:rsidR="00747CF0" w:rsidRPr="00C800DF" w:rsidRDefault="0076734C" w:rsidP="00371188">
            <w:pPr>
              <w:jc w:val="center"/>
            </w:pPr>
            <w:r>
              <w:t>1.5</w:t>
            </w:r>
            <w:r w:rsidR="00747CF0" w:rsidRPr="00C800DF">
              <w:t>%</w:t>
            </w:r>
          </w:p>
        </w:tc>
      </w:tr>
      <w:tr w:rsidR="00747CF0" w14:paraId="6CA9F01D" w14:textId="77777777" w:rsidTr="00371188">
        <w:tc>
          <w:tcPr>
            <w:tcW w:w="5807" w:type="dxa"/>
          </w:tcPr>
          <w:p w14:paraId="456552C4" w14:textId="77777777" w:rsidR="00747CF0" w:rsidRDefault="00747CF0" w:rsidP="00371188">
            <w:r>
              <w:t>School offered insurance for work experience</w:t>
            </w:r>
          </w:p>
        </w:tc>
        <w:tc>
          <w:tcPr>
            <w:tcW w:w="2268" w:type="dxa"/>
          </w:tcPr>
          <w:p w14:paraId="5B24FBC6" w14:textId="77777777" w:rsidR="00747CF0" w:rsidRDefault="00747CF0" w:rsidP="00371188">
            <w:pPr>
              <w:jc w:val="center"/>
            </w:pPr>
            <w:r>
              <w:t>1</w:t>
            </w:r>
          </w:p>
        </w:tc>
        <w:tc>
          <w:tcPr>
            <w:tcW w:w="1661" w:type="dxa"/>
          </w:tcPr>
          <w:p w14:paraId="34DBBB37" w14:textId="6DA4A35F" w:rsidR="00747CF0" w:rsidRPr="00C800DF" w:rsidRDefault="0076734C" w:rsidP="00371188">
            <w:pPr>
              <w:jc w:val="center"/>
            </w:pPr>
            <w:r>
              <w:t>1.5</w:t>
            </w:r>
            <w:r w:rsidR="00747CF0">
              <w:t>%</w:t>
            </w:r>
          </w:p>
        </w:tc>
      </w:tr>
      <w:tr w:rsidR="00747CF0" w14:paraId="4909DF3A" w14:textId="77777777" w:rsidTr="00371188">
        <w:tc>
          <w:tcPr>
            <w:tcW w:w="5807" w:type="dxa"/>
          </w:tcPr>
          <w:p w14:paraId="4E6D7F25" w14:textId="77777777" w:rsidR="00747CF0" w:rsidRDefault="00747CF0" w:rsidP="00371188">
            <w:r>
              <w:t xml:space="preserve">Info session about tertiary study. </w:t>
            </w:r>
          </w:p>
        </w:tc>
        <w:tc>
          <w:tcPr>
            <w:tcW w:w="2268" w:type="dxa"/>
          </w:tcPr>
          <w:p w14:paraId="59B39CF6" w14:textId="77777777" w:rsidR="00747CF0" w:rsidRDefault="00747CF0" w:rsidP="00371188">
            <w:pPr>
              <w:jc w:val="center"/>
            </w:pPr>
            <w:r>
              <w:t>1</w:t>
            </w:r>
          </w:p>
        </w:tc>
        <w:tc>
          <w:tcPr>
            <w:tcW w:w="1661" w:type="dxa"/>
          </w:tcPr>
          <w:p w14:paraId="5A996022" w14:textId="3C14C1E2" w:rsidR="00747CF0" w:rsidRPr="00C800DF" w:rsidRDefault="0076734C" w:rsidP="00371188">
            <w:pPr>
              <w:jc w:val="center"/>
            </w:pPr>
            <w:r>
              <w:t>1.5</w:t>
            </w:r>
            <w:r w:rsidR="00747CF0">
              <w:t>%</w:t>
            </w:r>
          </w:p>
        </w:tc>
      </w:tr>
    </w:tbl>
    <w:p w14:paraId="1AC59CF9" w14:textId="77777777" w:rsidR="00747CF0" w:rsidRDefault="00747CF0" w:rsidP="00747CF0"/>
    <w:p w14:paraId="2A23BB53" w14:textId="77777777" w:rsidR="004D020A" w:rsidRDefault="004D020A">
      <w:pPr>
        <w:pStyle w:val="Heading2"/>
        <w:rPr>
          <w:shd w:val="clear" w:color="auto" w:fill="F4F5F5"/>
        </w:rPr>
      </w:pPr>
    </w:p>
    <w:p w14:paraId="37D621D7" w14:textId="77777777" w:rsidR="00747CF0" w:rsidRPr="003D19C9" w:rsidRDefault="00747CF0" w:rsidP="00374F54">
      <w:pPr>
        <w:pStyle w:val="Heading2"/>
        <w:rPr>
          <w:b w:val="0"/>
          <w:bCs/>
          <w:i/>
          <w:iCs/>
          <w:shd w:val="clear" w:color="auto" w:fill="F4F5F5"/>
        </w:rPr>
      </w:pPr>
      <w:r w:rsidRPr="003D19C9">
        <w:rPr>
          <w:b w:val="0"/>
          <w:bCs/>
          <w:i/>
          <w:iCs/>
          <w:shd w:val="clear" w:color="auto" w:fill="F4F5F5"/>
        </w:rPr>
        <w:t>Provide relevant information to organisations in students’ lives</w:t>
      </w:r>
    </w:p>
    <w:p w14:paraId="425E602B" w14:textId="77777777" w:rsidR="009709B8" w:rsidRPr="009709B8" w:rsidRDefault="009709B8" w:rsidP="009709B8">
      <w:pPr>
        <w:keepNext/>
        <w:rPr>
          <w:b/>
        </w:rPr>
      </w:pPr>
      <w:r w:rsidRPr="009709B8">
        <w:rPr>
          <w:b/>
        </w:rPr>
        <w:t>Table 9. Source of assistance or information available other than school (n=82)</w:t>
      </w:r>
    </w:p>
    <w:tbl>
      <w:tblPr>
        <w:tblStyle w:val="TableGrid"/>
        <w:tblW w:w="0" w:type="auto"/>
        <w:tblLook w:val="04A0" w:firstRow="1" w:lastRow="0" w:firstColumn="1" w:lastColumn="0" w:noHBand="0" w:noVBand="1"/>
      </w:tblPr>
      <w:tblGrid>
        <w:gridCol w:w="5949"/>
        <w:gridCol w:w="1893"/>
        <w:gridCol w:w="1894"/>
      </w:tblGrid>
      <w:tr w:rsidR="009709B8" w:rsidRPr="009709B8" w14:paraId="1EEBB17B" w14:textId="77777777" w:rsidTr="00F477CC">
        <w:tc>
          <w:tcPr>
            <w:tcW w:w="5949" w:type="dxa"/>
          </w:tcPr>
          <w:p w14:paraId="399C301B" w14:textId="77777777" w:rsidR="009709B8" w:rsidRPr="009709B8" w:rsidRDefault="009709B8" w:rsidP="009709B8">
            <w:pPr>
              <w:keepNext/>
              <w:rPr>
                <w:b/>
              </w:rPr>
            </w:pPr>
            <w:r w:rsidRPr="009709B8">
              <w:rPr>
                <w:b/>
              </w:rPr>
              <w:t>Assistance or information available out of school for post school pathways</w:t>
            </w:r>
          </w:p>
        </w:tc>
        <w:tc>
          <w:tcPr>
            <w:tcW w:w="1893" w:type="dxa"/>
          </w:tcPr>
          <w:p w14:paraId="37EE5786" w14:textId="77777777" w:rsidR="009709B8" w:rsidRPr="009709B8" w:rsidRDefault="009709B8" w:rsidP="009709B8">
            <w:pPr>
              <w:keepNext/>
              <w:jc w:val="center"/>
              <w:rPr>
                <w:b/>
              </w:rPr>
            </w:pPr>
            <w:r w:rsidRPr="009709B8">
              <w:rPr>
                <w:b/>
              </w:rPr>
              <w:t>Number</w:t>
            </w:r>
          </w:p>
        </w:tc>
        <w:tc>
          <w:tcPr>
            <w:tcW w:w="1894" w:type="dxa"/>
          </w:tcPr>
          <w:p w14:paraId="4DA06FBE" w14:textId="77777777" w:rsidR="009709B8" w:rsidRPr="009709B8" w:rsidRDefault="009709B8" w:rsidP="009709B8">
            <w:pPr>
              <w:keepNext/>
              <w:jc w:val="center"/>
              <w:rPr>
                <w:b/>
              </w:rPr>
            </w:pPr>
            <w:r w:rsidRPr="009709B8">
              <w:rPr>
                <w:b/>
              </w:rPr>
              <w:t>Percentage</w:t>
            </w:r>
          </w:p>
        </w:tc>
      </w:tr>
      <w:tr w:rsidR="009709B8" w:rsidRPr="009709B8" w14:paraId="13F50965" w14:textId="77777777" w:rsidTr="00F477CC">
        <w:tc>
          <w:tcPr>
            <w:tcW w:w="5949" w:type="dxa"/>
          </w:tcPr>
          <w:p w14:paraId="53046CE9" w14:textId="77777777" w:rsidR="009709B8" w:rsidRPr="009709B8" w:rsidRDefault="009709B8" w:rsidP="009709B8">
            <w:pPr>
              <w:keepNext/>
            </w:pPr>
            <w:r w:rsidRPr="009709B8">
              <w:t>Disability Employment Services</w:t>
            </w:r>
          </w:p>
        </w:tc>
        <w:tc>
          <w:tcPr>
            <w:tcW w:w="1893" w:type="dxa"/>
          </w:tcPr>
          <w:p w14:paraId="6BD30D72" w14:textId="77777777" w:rsidR="009709B8" w:rsidRPr="009709B8" w:rsidRDefault="009709B8" w:rsidP="009709B8">
            <w:pPr>
              <w:keepNext/>
              <w:jc w:val="center"/>
            </w:pPr>
            <w:r w:rsidRPr="009709B8">
              <w:t>27</w:t>
            </w:r>
          </w:p>
        </w:tc>
        <w:tc>
          <w:tcPr>
            <w:tcW w:w="1894" w:type="dxa"/>
          </w:tcPr>
          <w:p w14:paraId="1AB7B059" w14:textId="77777777" w:rsidR="009709B8" w:rsidRPr="009709B8" w:rsidRDefault="009709B8" w:rsidP="009709B8">
            <w:pPr>
              <w:keepNext/>
              <w:jc w:val="center"/>
            </w:pPr>
            <w:r w:rsidRPr="009709B8">
              <w:t>32.9%</w:t>
            </w:r>
          </w:p>
        </w:tc>
      </w:tr>
      <w:tr w:rsidR="009709B8" w:rsidRPr="009709B8" w14:paraId="67E58671" w14:textId="77777777" w:rsidTr="00F477CC">
        <w:tc>
          <w:tcPr>
            <w:tcW w:w="5949" w:type="dxa"/>
          </w:tcPr>
          <w:p w14:paraId="3A7630F9" w14:textId="77777777" w:rsidR="009709B8" w:rsidRPr="009709B8" w:rsidRDefault="009709B8" w:rsidP="009709B8">
            <w:pPr>
              <w:keepNext/>
            </w:pPr>
            <w:proofErr w:type="spellStart"/>
            <w:r w:rsidRPr="009709B8">
              <w:t>JobActive</w:t>
            </w:r>
            <w:proofErr w:type="spellEnd"/>
            <w:r w:rsidRPr="009709B8">
              <w:t xml:space="preserve"> Employment Service</w:t>
            </w:r>
          </w:p>
        </w:tc>
        <w:tc>
          <w:tcPr>
            <w:tcW w:w="1893" w:type="dxa"/>
          </w:tcPr>
          <w:p w14:paraId="63418CA8" w14:textId="77777777" w:rsidR="009709B8" w:rsidRPr="009709B8" w:rsidRDefault="009709B8" w:rsidP="009709B8">
            <w:pPr>
              <w:keepNext/>
              <w:jc w:val="center"/>
            </w:pPr>
            <w:r w:rsidRPr="009709B8">
              <w:t>2</w:t>
            </w:r>
          </w:p>
        </w:tc>
        <w:tc>
          <w:tcPr>
            <w:tcW w:w="1894" w:type="dxa"/>
          </w:tcPr>
          <w:p w14:paraId="64BDFED1" w14:textId="77777777" w:rsidR="009709B8" w:rsidRPr="009709B8" w:rsidRDefault="009709B8" w:rsidP="009709B8">
            <w:pPr>
              <w:keepNext/>
              <w:jc w:val="center"/>
            </w:pPr>
            <w:r w:rsidRPr="009709B8">
              <w:t>2.4%</w:t>
            </w:r>
          </w:p>
        </w:tc>
      </w:tr>
      <w:tr w:rsidR="009709B8" w:rsidRPr="009709B8" w14:paraId="63571D6D" w14:textId="77777777" w:rsidTr="00F477CC">
        <w:tc>
          <w:tcPr>
            <w:tcW w:w="5949" w:type="dxa"/>
          </w:tcPr>
          <w:p w14:paraId="6B639A2E" w14:textId="77777777" w:rsidR="009709B8" w:rsidRPr="009709B8" w:rsidRDefault="009709B8" w:rsidP="009709B8">
            <w:pPr>
              <w:keepNext/>
            </w:pPr>
            <w:r w:rsidRPr="009709B8">
              <w:t xml:space="preserve">Support by education or training provider to participate and maintain enrolment </w:t>
            </w:r>
          </w:p>
        </w:tc>
        <w:tc>
          <w:tcPr>
            <w:tcW w:w="1893" w:type="dxa"/>
          </w:tcPr>
          <w:p w14:paraId="671EBD96" w14:textId="77777777" w:rsidR="009709B8" w:rsidRPr="009709B8" w:rsidRDefault="009709B8" w:rsidP="009709B8">
            <w:pPr>
              <w:keepNext/>
              <w:jc w:val="center"/>
            </w:pPr>
            <w:r w:rsidRPr="009709B8">
              <w:t>12</w:t>
            </w:r>
          </w:p>
        </w:tc>
        <w:tc>
          <w:tcPr>
            <w:tcW w:w="1894" w:type="dxa"/>
          </w:tcPr>
          <w:p w14:paraId="215C0C78" w14:textId="77777777" w:rsidR="009709B8" w:rsidRPr="009709B8" w:rsidRDefault="009709B8" w:rsidP="009709B8">
            <w:pPr>
              <w:keepNext/>
              <w:jc w:val="center"/>
            </w:pPr>
            <w:r w:rsidRPr="009709B8">
              <w:t>14.6%</w:t>
            </w:r>
          </w:p>
        </w:tc>
      </w:tr>
      <w:tr w:rsidR="009709B8" w:rsidRPr="009709B8" w14:paraId="3306B3CC" w14:textId="77777777" w:rsidTr="00F477CC">
        <w:tc>
          <w:tcPr>
            <w:tcW w:w="5949" w:type="dxa"/>
          </w:tcPr>
          <w:p w14:paraId="2010C387" w14:textId="77777777" w:rsidR="009709B8" w:rsidRPr="009709B8" w:rsidRDefault="009709B8" w:rsidP="009709B8">
            <w:pPr>
              <w:keepNext/>
            </w:pPr>
            <w:r w:rsidRPr="009709B8">
              <w:t xml:space="preserve">Online and web searches </w:t>
            </w:r>
          </w:p>
        </w:tc>
        <w:tc>
          <w:tcPr>
            <w:tcW w:w="1893" w:type="dxa"/>
          </w:tcPr>
          <w:p w14:paraId="3E29DF38" w14:textId="77777777" w:rsidR="009709B8" w:rsidRPr="009709B8" w:rsidRDefault="009709B8" w:rsidP="009709B8">
            <w:pPr>
              <w:keepNext/>
              <w:jc w:val="center"/>
            </w:pPr>
            <w:r w:rsidRPr="009709B8">
              <w:t>12</w:t>
            </w:r>
          </w:p>
        </w:tc>
        <w:tc>
          <w:tcPr>
            <w:tcW w:w="1894" w:type="dxa"/>
          </w:tcPr>
          <w:p w14:paraId="676544A1" w14:textId="77777777" w:rsidR="009709B8" w:rsidRPr="009709B8" w:rsidRDefault="009709B8" w:rsidP="009709B8">
            <w:pPr>
              <w:keepNext/>
              <w:jc w:val="center"/>
            </w:pPr>
            <w:r w:rsidRPr="009709B8">
              <w:t>14.6%</w:t>
            </w:r>
          </w:p>
        </w:tc>
      </w:tr>
      <w:tr w:rsidR="009709B8" w:rsidRPr="009709B8" w14:paraId="3149D74A" w14:textId="77777777" w:rsidTr="00F477CC">
        <w:tc>
          <w:tcPr>
            <w:tcW w:w="5949" w:type="dxa"/>
          </w:tcPr>
          <w:p w14:paraId="232C74C0" w14:textId="77777777" w:rsidR="009709B8" w:rsidRPr="009709B8" w:rsidRDefault="009709B8" w:rsidP="009709B8">
            <w:pPr>
              <w:keepNext/>
            </w:pPr>
            <w:r w:rsidRPr="009709B8">
              <w:t>Community Service organisation</w:t>
            </w:r>
          </w:p>
        </w:tc>
        <w:tc>
          <w:tcPr>
            <w:tcW w:w="1893" w:type="dxa"/>
          </w:tcPr>
          <w:p w14:paraId="7B87A2D8" w14:textId="77777777" w:rsidR="009709B8" w:rsidRPr="009709B8" w:rsidRDefault="009709B8" w:rsidP="009709B8">
            <w:pPr>
              <w:keepNext/>
              <w:jc w:val="center"/>
            </w:pPr>
            <w:r w:rsidRPr="009709B8">
              <w:t>13</w:t>
            </w:r>
          </w:p>
        </w:tc>
        <w:tc>
          <w:tcPr>
            <w:tcW w:w="1894" w:type="dxa"/>
          </w:tcPr>
          <w:p w14:paraId="1D7F220C" w14:textId="77777777" w:rsidR="009709B8" w:rsidRPr="009709B8" w:rsidRDefault="009709B8" w:rsidP="009709B8">
            <w:pPr>
              <w:keepNext/>
              <w:jc w:val="center"/>
            </w:pPr>
            <w:r w:rsidRPr="009709B8">
              <w:t>15.8%</w:t>
            </w:r>
          </w:p>
        </w:tc>
      </w:tr>
      <w:tr w:rsidR="009709B8" w:rsidRPr="009709B8" w14:paraId="68AA85BB" w14:textId="77777777" w:rsidTr="00F477CC">
        <w:tc>
          <w:tcPr>
            <w:tcW w:w="5949" w:type="dxa"/>
          </w:tcPr>
          <w:p w14:paraId="78D4FCCF" w14:textId="77777777" w:rsidR="009709B8" w:rsidRPr="009709B8" w:rsidRDefault="009709B8" w:rsidP="009709B8">
            <w:pPr>
              <w:keepNext/>
            </w:pPr>
            <w:r w:rsidRPr="009709B8">
              <w:t>NDIS provider or disability provider</w:t>
            </w:r>
          </w:p>
        </w:tc>
        <w:tc>
          <w:tcPr>
            <w:tcW w:w="1893" w:type="dxa"/>
          </w:tcPr>
          <w:p w14:paraId="1DF3839E" w14:textId="77777777" w:rsidR="009709B8" w:rsidRPr="009709B8" w:rsidRDefault="009709B8" w:rsidP="009709B8">
            <w:pPr>
              <w:keepNext/>
              <w:jc w:val="center"/>
            </w:pPr>
            <w:r w:rsidRPr="009709B8">
              <w:t>32</w:t>
            </w:r>
          </w:p>
        </w:tc>
        <w:tc>
          <w:tcPr>
            <w:tcW w:w="1894" w:type="dxa"/>
          </w:tcPr>
          <w:p w14:paraId="220D05F6" w14:textId="77777777" w:rsidR="009709B8" w:rsidRPr="009709B8" w:rsidRDefault="009709B8" w:rsidP="009709B8">
            <w:pPr>
              <w:keepNext/>
              <w:jc w:val="center"/>
            </w:pPr>
            <w:r w:rsidRPr="009709B8">
              <w:t>39%</w:t>
            </w:r>
          </w:p>
        </w:tc>
      </w:tr>
      <w:tr w:rsidR="009709B8" w:rsidRPr="009709B8" w14:paraId="6EBF11CA" w14:textId="77777777" w:rsidTr="00F477CC">
        <w:tc>
          <w:tcPr>
            <w:tcW w:w="5949" w:type="dxa"/>
          </w:tcPr>
          <w:p w14:paraId="70D94F31" w14:textId="77777777" w:rsidR="009709B8" w:rsidRPr="009709B8" w:rsidRDefault="009709B8" w:rsidP="009709B8">
            <w:pPr>
              <w:keepNext/>
            </w:pPr>
            <w:r w:rsidRPr="009709B8">
              <w:t>Advocacy organisation</w:t>
            </w:r>
          </w:p>
        </w:tc>
        <w:tc>
          <w:tcPr>
            <w:tcW w:w="1893" w:type="dxa"/>
          </w:tcPr>
          <w:p w14:paraId="5BBFF918" w14:textId="77777777" w:rsidR="009709B8" w:rsidRPr="009709B8" w:rsidRDefault="009709B8" w:rsidP="009709B8">
            <w:pPr>
              <w:keepNext/>
              <w:jc w:val="center"/>
            </w:pPr>
            <w:r w:rsidRPr="009709B8">
              <w:t>5</w:t>
            </w:r>
          </w:p>
        </w:tc>
        <w:tc>
          <w:tcPr>
            <w:tcW w:w="1894" w:type="dxa"/>
          </w:tcPr>
          <w:p w14:paraId="6EC3F5F1" w14:textId="77777777" w:rsidR="009709B8" w:rsidRPr="009709B8" w:rsidRDefault="009709B8" w:rsidP="009709B8">
            <w:pPr>
              <w:keepNext/>
              <w:jc w:val="center"/>
            </w:pPr>
            <w:r w:rsidRPr="009709B8">
              <w:t>6%</w:t>
            </w:r>
          </w:p>
        </w:tc>
      </w:tr>
      <w:tr w:rsidR="009709B8" w:rsidRPr="009709B8" w14:paraId="3A8990BA" w14:textId="77777777" w:rsidTr="00F477CC">
        <w:tc>
          <w:tcPr>
            <w:tcW w:w="5949" w:type="dxa"/>
          </w:tcPr>
          <w:p w14:paraId="331A5A4F" w14:textId="77777777" w:rsidR="009709B8" w:rsidRPr="009709B8" w:rsidRDefault="009709B8" w:rsidP="009709B8">
            <w:pPr>
              <w:keepNext/>
            </w:pPr>
            <w:r w:rsidRPr="009709B8">
              <w:t>Other</w:t>
            </w:r>
          </w:p>
        </w:tc>
        <w:tc>
          <w:tcPr>
            <w:tcW w:w="1893" w:type="dxa"/>
          </w:tcPr>
          <w:p w14:paraId="15076025" w14:textId="77777777" w:rsidR="009709B8" w:rsidRPr="009709B8" w:rsidRDefault="009709B8" w:rsidP="009709B8">
            <w:pPr>
              <w:keepNext/>
              <w:jc w:val="center"/>
            </w:pPr>
            <w:r w:rsidRPr="009709B8">
              <w:t>30</w:t>
            </w:r>
          </w:p>
        </w:tc>
        <w:tc>
          <w:tcPr>
            <w:tcW w:w="1894" w:type="dxa"/>
          </w:tcPr>
          <w:p w14:paraId="57001DF1" w14:textId="77777777" w:rsidR="009709B8" w:rsidRPr="009709B8" w:rsidRDefault="009709B8" w:rsidP="009709B8">
            <w:pPr>
              <w:keepNext/>
              <w:jc w:val="center"/>
            </w:pPr>
            <w:r w:rsidRPr="009709B8">
              <w:t>36.5%</w:t>
            </w:r>
          </w:p>
        </w:tc>
      </w:tr>
    </w:tbl>
    <w:p w14:paraId="7F8C7845" w14:textId="77777777" w:rsidR="009709B8" w:rsidRDefault="009709B8" w:rsidP="00747CF0">
      <w:pPr>
        <w:keepNext/>
        <w:rPr>
          <w:b/>
        </w:rPr>
      </w:pPr>
    </w:p>
    <w:p w14:paraId="0AFE84AD" w14:textId="77777777" w:rsidR="00747CF0" w:rsidRDefault="00747CF0" w:rsidP="00747CF0"/>
    <w:p w14:paraId="61348676" w14:textId="309CF602" w:rsidR="00747CF0" w:rsidRDefault="004D020A" w:rsidP="00374F54">
      <w:pPr>
        <w:pStyle w:val="Heading2"/>
        <w:rPr>
          <w:color w:val="538135" w:themeColor="accent6" w:themeShade="BF"/>
        </w:rPr>
      </w:pPr>
      <w:r w:rsidRPr="003D19C9">
        <w:rPr>
          <w:color w:val="538135" w:themeColor="accent6" w:themeShade="BF"/>
        </w:rPr>
        <w:t xml:space="preserve">Deliver strong outcomes for students </w:t>
      </w:r>
      <w:r w:rsidR="00AE3F74">
        <w:rPr>
          <w:color w:val="538135" w:themeColor="accent6" w:themeShade="BF"/>
        </w:rPr>
        <w:t xml:space="preserve">with disability </w:t>
      </w:r>
      <w:r w:rsidRPr="003D19C9">
        <w:rPr>
          <w:color w:val="538135" w:themeColor="accent6" w:themeShade="BF"/>
        </w:rPr>
        <w:t>after school</w:t>
      </w:r>
    </w:p>
    <w:p w14:paraId="37173DC0" w14:textId="77777777" w:rsidR="003D19C9" w:rsidRPr="00AE3F74" w:rsidRDefault="003D19C9" w:rsidP="003D19C9">
      <w:pPr>
        <w:rPr>
          <w:i/>
          <w:iCs/>
          <w:sz w:val="24"/>
          <w:szCs w:val="24"/>
        </w:rPr>
      </w:pPr>
      <w:r w:rsidRPr="00AE3F74">
        <w:rPr>
          <w:i/>
          <w:iCs/>
          <w:sz w:val="24"/>
          <w:szCs w:val="24"/>
        </w:rPr>
        <w:t>Employment outcomes for young people with disability</w:t>
      </w:r>
    </w:p>
    <w:p w14:paraId="11A8C346" w14:textId="3F8D68A1" w:rsidR="00A3312C" w:rsidRPr="00100447" w:rsidRDefault="00A3312C" w:rsidP="00A3312C">
      <w:pPr>
        <w:rPr>
          <w:b/>
          <w:color w:val="000000" w:themeColor="text1"/>
        </w:rPr>
      </w:pPr>
      <w:r w:rsidRPr="00100447">
        <w:rPr>
          <w:b/>
          <w:color w:val="000000" w:themeColor="text1"/>
        </w:rPr>
        <w:t>Table 10. Current post school activi</w:t>
      </w:r>
      <w:r w:rsidR="00F477CC" w:rsidRPr="00100447">
        <w:rPr>
          <w:b/>
          <w:color w:val="000000" w:themeColor="text1"/>
        </w:rPr>
        <w:t>ties of survey respondents (n=74</w:t>
      </w:r>
      <w:r w:rsidRPr="00100447">
        <w:rPr>
          <w:b/>
          <w:color w:val="000000" w:themeColor="text1"/>
        </w:rPr>
        <w:t xml:space="preserve">) </w:t>
      </w:r>
    </w:p>
    <w:tbl>
      <w:tblPr>
        <w:tblStyle w:val="TableGrid"/>
        <w:tblW w:w="0" w:type="auto"/>
        <w:tblLook w:val="04A0" w:firstRow="1" w:lastRow="0" w:firstColumn="1" w:lastColumn="0" w:noHBand="0" w:noVBand="1"/>
      </w:tblPr>
      <w:tblGrid>
        <w:gridCol w:w="5665"/>
        <w:gridCol w:w="2035"/>
        <w:gridCol w:w="2036"/>
      </w:tblGrid>
      <w:tr w:rsidR="00A3312C" w14:paraId="239917C7" w14:textId="77777777" w:rsidTr="00750440">
        <w:tc>
          <w:tcPr>
            <w:tcW w:w="5665" w:type="dxa"/>
          </w:tcPr>
          <w:p w14:paraId="125803B6" w14:textId="77777777" w:rsidR="00A3312C" w:rsidRPr="00A11544" w:rsidRDefault="00A3312C" w:rsidP="00750440">
            <w:pPr>
              <w:rPr>
                <w:b/>
              </w:rPr>
            </w:pPr>
            <w:r w:rsidRPr="00A11544">
              <w:rPr>
                <w:b/>
              </w:rPr>
              <w:t xml:space="preserve">Current post school activities </w:t>
            </w:r>
          </w:p>
        </w:tc>
        <w:tc>
          <w:tcPr>
            <w:tcW w:w="2035" w:type="dxa"/>
          </w:tcPr>
          <w:p w14:paraId="55932832" w14:textId="77777777" w:rsidR="00A3312C" w:rsidRPr="00A11544" w:rsidRDefault="00A3312C" w:rsidP="00750440">
            <w:pPr>
              <w:jc w:val="center"/>
              <w:rPr>
                <w:b/>
              </w:rPr>
            </w:pPr>
            <w:r w:rsidRPr="00A11544">
              <w:rPr>
                <w:b/>
              </w:rPr>
              <w:t>N</w:t>
            </w:r>
            <w:r>
              <w:rPr>
                <w:b/>
              </w:rPr>
              <w:t>umber</w:t>
            </w:r>
          </w:p>
        </w:tc>
        <w:tc>
          <w:tcPr>
            <w:tcW w:w="2036" w:type="dxa"/>
          </w:tcPr>
          <w:p w14:paraId="0979E028" w14:textId="77777777" w:rsidR="00A3312C" w:rsidRPr="00A11544" w:rsidRDefault="00A3312C" w:rsidP="00750440">
            <w:pPr>
              <w:jc w:val="center"/>
              <w:rPr>
                <w:b/>
              </w:rPr>
            </w:pPr>
            <w:r w:rsidRPr="00A11544">
              <w:rPr>
                <w:b/>
              </w:rPr>
              <w:t>Percentage</w:t>
            </w:r>
          </w:p>
        </w:tc>
      </w:tr>
      <w:tr w:rsidR="00A3312C" w14:paraId="362B97D2" w14:textId="77777777" w:rsidTr="00750440">
        <w:tc>
          <w:tcPr>
            <w:tcW w:w="5665" w:type="dxa"/>
          </w:tcPr>
          <w:p w14:paraId="4331FE71" w14:textId="77777777" w:rsidR="00A3312C" w:rsidRDefault="00A3312C" w:rsidP="00750440">
            <w:r w:rsidRPr="00A11544">
              <w:t>Currently in a day program</w:t>
            </w:r>
          </w:p>
        </w:tc>
        <w:tc>
          <w:tcPr>
            <w:tcW w:w="2035" w:type="dxa"/>
          </w:tcPr>
          <w:p w14:paraId="6FFB0406" w14:textId="0BACEE2F" w:rsidR="00A3312C" w:rsidRDefault="00F477CC" w:rsidP="00750440">
            <w:pPr>
              <w:jc w:val="center"/>
            </w:pPr>
            <w:r>
              <w:t>16</w:t>
            </w:r>
          </w:p>
        </w:tc>
        <w:tc>
          <w:tcPr>
            <w:tcW w:w="2036" w:type="dxa"/>
          </w:tcPr>
          <w:p w14:paraId="0BD64541" w14:textId="453D12FB" w:rsidR="00A3312C" w:rsidRDefault="00100447" w:rsidP="00750440">
            <w:pPr>
              <w:jc w:val="center"/>
            </w:pPr>
            <w:r>
              <w:t>21.6</w:t>
            </w:r>
            <w:r w:rsidR="00A3312C">
              <w:t>%</w:t>
            </w:r>
          </w:p>
        </w:tc>
      </w:tr>
      <w:tr w:rsidR="00A3312C" w14:paraId="53C4BDA2" w14:textId="77777777" w:rsidTr="00750440">
        <w:tc>
          <w:tcPr>
            <w:tcW w:w="5665" w:type="dxa"/>
          </w:tcPr>
          <w:p w14:paraId="416C1886" w14:textId="77777777" w:rsidR="00A3312C" w:rsidRDefault="00A3312C" w:rsidP="00750440">
            <w:r w:rsidRPr="00A11544">
              <w:t>Currently working full-time in an ongoing permanent position</w:t>
            </w:r>
          </w:p>
        </w:tc>
        <w:tc>
          <w:tcPr>
            <w:tcW w:w="2035" w:type="dxa"/>
          </w:tcPr>
          <w:p w14:paraId="6AF5A039" w14:textId="77777777" w:rsidR="00A3312C" w:rsidRDefault="00A3312C" w:rsidP="00750440">
            <w:pPr>
              <w:jc w:val="center"/>
            </w:pPr>
            <w:r>
              <w:t>1</w:t>
            </w:r>
          </w:p>
        </w:tc>
        <w:tc>
          <w:tcPr>
            <w:tcW w:w="2036" w:type="dxa"/>
          </w:tcPr>
          <w:p w14:paraId="6C1098D9" w14:textId="5E18B485" w:rsidR="00A3312C" w:rsidRDefault="00100447" w:rsidP="00750440">
            <w:pPr>
              <w:jc w:val="center"/>
            </w:pPr>
            <w:r>
              <w:t>1.3</w:t>
            </w:r>
            <w:r w:rsidR="00A3312C">
              <w:t>%</w:t>
            </w:r>
          </w:p>
        </w:tc>
      </w:tr>
      <w:tr w:rsidR="00A3312C" w14:paraId="61F44D33" w14:textId="77777777" w:rsidTr="00750440">
        <w:tc>
          <w:tcPr>
            <w:tcW w:w="5665" w:type="dxa"/>
          </w:tcPr>
          <w:p w14:paraId="3DABD2FB" w14:textId="77777777" w:rsidR="00A3312C" w:rsidRDefault="00A3312C" w:rsidP="00750440">
            <w:r w:rsidRPr="00A11544">
              <w:t>Currently working full-time in a fixed or short term position</w:t>
            </w:r>
          </w:p>
        </w:tc>
        <w:tc>
          <w:tcPr>
            <w:tcW w:w="2035" w:type="dxa"/>
          </w:tcPr>
          <w:p w14:paraId="03C9CCF1" w14:textId="77777777" w:rsidR="00A3312C" w:rsidRDefault="00A3312C" w:rsidP="00750440">
            <w:pPr>
              <w:jc w:val="center"/>
            </w:pPr>
            <w:r>
              <w:t>1</w:t>
            </w:r>
          </w:p>
        </w:tc>
        <w:tc>
          <w:tcPr>
            <w:tcW w:w="2036" w:type="dxa"/>
          </w:tcPr>
          <w:p w14:paraId="6FC7E049" w14:textId="3EB84369" w:rsidR="00A3312C" w:rsidRDefault="00100447" w:rsidP="00750440">
            <w:pPr>
              <w:jc w:val="center"/>
            </w:pPr>
            <w:r>
              <w:t>1.3</w:t>
            </w:r>
            <w:r w:rsidR="00A3312C">
              <w:t>%</w:t>
            </w:r>
          </w:p>
        </w:tc>
      </w:tr>
      <w:tr w:rsidR="00A3312C" w14:paraId="7962DA21" w14:textId="77777777" w:rsidTr="00750440">
        <w:tc>
          <w:tcPr>
            <w:tcW w:w="5665" w:type="dxa"/>
          </w:tcPr>
          <w:p w14:paraId="744280F4" w14:textId="77777777" w:rsidR="00A3312C" w:rsidRDefault="00A3312C" w:rsidP="00750440">
            <w:r w:rsidRPr="00A11544">
              <w:t>Currently working part-time in an ongoing permanent position</w:t>
            </w:r>
          </w:p>
        </w:tc>
        <w:tc>
          <w:tcPr>
            <w:tcW w:w="2035" w:type="dxa"/>
          </w:tcPr>
          <w:p w14:paraId="365A1244" w14:textId="47D0D8F7" w:rsidR="00A3312C" w:rsidRDefault="00F477CC" w:rsidP="00750440">
            <w:pPr>
              <w:jc w:val="center"/>
            </w:pPr>
            <w:r>
              <w:t>9</w:t>
            </w:r>
          </w:p>
        </w:tc>
        <w:tc>
          <w:tcPr>
            <w:tcW w:w="2036" w:type="dxa"/>
          </w:tcPr>
          <w:p w14:paraId="387B9DD6" w14:textId="0B9D04F2" w:rsidR="00A3312C" w:rsidRDefault="00B27053" w:rsidP="00750440">
            <w:pPr>
              <w:jc w:val="center"/>
            </w:pPr>
            <w:r>
              <w:t>12.1</w:t>
            </w:r>
            <w:r w:rsidR="00A3312C">
              <w:t>%</w:t>
            </w:r>
          </w:p>
        </w:tc>
      </w:tr>
      <w:tr w:rsidR="00A3312C" w14:paraId="2A235FFB" w14:textId="77777777" w:rsidTr="00750440">
        <w:tc>
          <w:tcPr>
            <w:tcW w:w="5665" w:type="dxa"/>
          </w:tcPr>
          <w:p w14:paraId="60571773" w14:textId="77777777" w:rsidR="00A3312C" w:rsidRDefault="00A3312C" w:rsidP="00750440">
            <w:r w:rsidRPr="00A11544">
              <w:t>Currently working part-time in a fixed term or short term position</w:t>
            </w:r>
          </w:p>
        </w:tc>
        <w:tc>
          <w:tcPr>
            <w:tcW w:w="2035" w:type="dxa"/>
          </w:tcPr>
          <w:p w14:paraId="082B9389" w14:textId="77777777" w:rsidR="00A3312C" w:rsidRDefault="00A3312C" w:rsidP="00750440">
            <w:pPr>
              <w:jc w:val="center"/>
            </w:pPr>
            <w:r>
              <w:t>3</w:t>
            </w:r>
          </w:p>
        </w:tc>
        <w:tc>
          <w:tcPr>
            <w:tcW w:w="2036" w:type="dxa"/>
          </w:tcPr>
          <w:p w14:paraId="0AC7B2CF" w14:textId="48C2C1DF" w:rsidR="00A3312C" w:rsidRDefault="00B27053" w:rsidP="00750440">
            <w:pPr>
              <w:jc w:val="center"/>
            </w:pPr>
            <w:r>
              <w:t>4</w:t>
            </w:r>
            <w:r w:rsidR="00A3312C">
              <w:t>%</w:t>
            </w:r>
          </w:p>
        </w:tc>
      </w:tr>
      <w:tr w:rsidR="00A3312C" w14:paraId="396D2FA7" w14:textId="77777777" w:rsidTr="00750440">
        <w:tc>
          <w:tcPr>
            <w:tcW w:w="5665" w:type="dxa"/>
          </w:tcPr>
          <w:p w14:paraId="2A25DD2D" w14:textId="77777777" w:rsidR="00A3312C" w:rsidRDefault="00A3312C" w:rsidP="00750440">
            <w:r w:rsidRPr="00A11544">
              <w:t>Currently working in a casual position</w:t>
            </w:r>
          </w:p>
        </w:tc>
        <w:tc>
          <w:tcPr>
            <w:tcW w:w="2035" w:type="dxa"/>
          </w:tcPr>
          <w:p w14:paraId="09A2DBA5" w14:textId="1BD0671D" w:rsidR="00A3312C" w:rsidRDefault="00F477CC" w:rsidP="00750440">
            <w:pPr>
              <w:jc w:val="center"/>
            </w:pPr>
            <w:r>
              <w:t>8</w:t>
            </w:r>
          </w:p>
        </w:tc>
        <w:tc>
          <w:tcPr>
            <w:tcW w:w="2036" w:type="dxa"/>
          </w:tcPr>
          <w:p w14:paraId="47D109AE" w14:textId="3F03C638" w:rsidR="00A3312C" w:rsidRDefault="00B27053" w:rsidP="00750440">
            <w:pPr>
              <w:jc w:val="center"/>
            </w:pPr>
            <w:r>
              <w:t>10.8</w:t>
            </w:r>
            <w:r w:rsidR="00A3312C">
              <w:t>%</w:t>
            </w:r>
          </w:p>
        </w:tc>
      </w:tr>
      <w:tr w:rsidR="00A3312C" w14:paraId="1DA27A81" w14:textId="77777777" w:rsidTr="00750440">
        <w:tc>
          <w:tcPr>
            <w:tcW w:w="5665" w:type="dxa"/>
          </w:tcPr>
          <w:p w14:paraId="2CC9F289" w14:textId="77777777" w:rsidR="00A3312C" w:rsidRDefault="00A3312C" w:rsidP="00750440">
            <w:r w:rsidRPr="00A11544">
              <w:t>Currently looking for work</w:t>
            </w:r>
          </w:p>
        </w:tc>
        <w:tc>
          <w:tcPr>
            <w:tcW w:w="2035" w:type="dxa"/>
          </w:tcPr>
          <w:p w14:paraId="5A6A3594" w14:textId="53733134" w:rsidR="00A3312C" w:rsidRDefault="00100447" w:rsidP="00750440">
            <w:pPr>
              <w:jc w:val="center"/>
            </w:pPr>
            <w:r>
              <w:t>10</w:t>
            </w:r>
          </w:p>
        </w:tc>
        <w:tc>
          <w:tcPr>
            <w:tcW w:w="2036" w:type="dxa"/>
          </w:tcPr>
          <w:p w14:paraId="3796575E" w14:textId="13217B69" w:rsidR="00A3312C" w:rsidRDefault="00B27053" w:rsidP="00750440">
            <w:pPr>
              <w:jc w:val="center"/>
            </w:pPr>
            <w:r>
              <w:t>13.5</w:t>
            </w:r>
            <w:r w:rsidR="00A3312C">
              <w:t>%</w:t>
            </w:r>
          </w:p>
        </w:tc>
      </w:tr>
      <w:tr w:rsidR="00A3312C" w14:paraId="1BDD5D05" w14:textId="77777777" w:rsidTr="00750440">
        <w:tc>
          <w:tcPr>
            <w:tcW w:w="5665" w:type="dxa"/>
          </w:tcPr>
          <w:p w14:paraId="7D427A08" w14:textId="77777777" w:rsidR="00A3312C" w:rsidRDefault="00A3312C" w:rsidP="00750440">
            <w:r w:rsidRPr="00A11544">
              <w:t>Currently not looking for work</w:t>
            </w:r>
          </w:p>
        </w:tc>
        <w:tc>
          <w:tcPr>
            <w:tcW w:w="2035" w:type="dxa"/>
          </w:tcPr>
          <w:p w14:paraId="7A507692" w14:textId="20CFEDEB" w:rsidR="00A3312C" w:rsidRDefault="00100447" w:rsidP="00750440">
            <w:pPr>
              <w:jc w:val="center"/>
            </w:pPr>
            <w:r>
              <w:t>9</w:t>
            </w:r>
          </w:p>
        </w:tc>
        <w:tc>
          <w:tcPr>
            <w:tcW w:w="2036" w:type="dxa"/>
          </w:tcPr>
          <w:p w14:paraId="7BE1AE01" w14:textId="2DC3DA2E" w:rsidR="00A3312C" w:rsidRDefault="00B27053" w:rsidP="00750440">
            <w:pPr>
              <w:jc w:val="center"/>
            </w:pPr>
            <w:r>
              <w:t>12</w:t>
            </w:r>
            <w:r w:rsidR="00A3312C">
              <w:t>.1%</w:t>
            </w:r>
          </w:p>
        </w:tc>
      </w:tr>
      <w:tr w:rsidR="00A3312C" w14:paraId="0DFC947F" w14:textId="77777777" w:rsidTr="00750440">
        <w:tc>
          <w:tcPr>
            <w:tcW w:w="5665" w:type="dxa"/>
          </w:tcPr>
          <w:p w14:paraId="164637A6" w14:textId="77777777" w:rsidR="00A3312C" w:rsidRDefault="00A3312C" w:rsidP="00750440">
            <w:r w:rsidRPr="00A11544">
              <w:t>Currently studying/training part-time</w:t>
            </w:r>
          </w:p>
        </w:tc>
        <w:tc>
          <w:tcPr>
            <w:tcW w:w="2035" w:type="dxa"/>
          </w:tcPr>
          <w:p w14:paraId="1ED1A2F0" w14:textId="77777777" w:rsidR="00A3312C" w:rsidRDefault="00A3312C" w:rsidP="00750440">
            <w:pPr>
              <w:jc w:val="center"/>
            </w:pPr>
            <w:r>
              <w:t>12</w:t>
            </w:r>
          </w:p>
        </w:tc>
        <w:tc>
          <w:tcPr>
            <w:tcW w:w="2036" w:type="dxa"/>
          </w:tcPr>
          <w:p w14:paraId="6B649D89" w14:textId="51875F71" w:rsidR="00A3312C" w:rsidRDefault="00B27053" w:rsidP="00750440">
            <w:pPr>
              <w:jc w:val="center"/>
            </w:pPr>
            <w:r>
              <w:t>16.2</w:t>
            </w:r>
            <w:r w:rsidR="00A3312C">
              <w:t>%</w:t>
            </w:r>
          </w:p>
        </w:tc>
      </w:tr>
      <w:tr w:rsidR="00A3312C" w14:paraId="5B9B03BB" w14:textId="77777777" w:rsidTr="00750440">
        <w:tc>
          <w:tcPr>
            <w:tcW w:w="5665" w:type="dxa"/>
          </w:tcPr>
          <w:p w14:paraId="2DD98C34" w14:textId="77777777" w:rsidR="00A3312C" w:rsidRDefault="00A3312C" w:rsidP="00750440">
            <w:r w:rsidRPr="00445AC0">
              <w:t>Currently studying/training full-time</w:t>
            </w:r>
          </w:p>
        </w:tc>
        <w:tc>
          <w:tcPr>
            <w:tcW w:w="2035" w:type="dxa"/>
          </w:tcPr>
          <w:p w14:paraId="0DE465FC" w14:textId="34B2FDA8" w:rsidR="00A3312C" w:rsidRDefault="00100447" w:rsidP="00750440">
            <w:pPr>
              <w:jc w:val="center"/>
            </w:pPr>
            <w:r>
              <w:t>10</w:t>
            </w:r>
          </w:p>
        </w:tc>
        <w:tc>
          <w:tcPr>
            <w:tcW w:w="2036" w:type="dxa"/>
          </w:tcPr>
          <w:p w14:paraId="0E2925C7" w14:textId="355CA42A" w:rsidR="00A3312C" w:rsidRDefault="00B27053" w:rsidP="00750440">
            <w:pPr>
              <w:jc w:val="center"/>
            </w:pPr>
            <w:r>
              <w:t>13.5</w:t>
            </w:r>
            <w:r w:rsidR="00A3312C">
              <w:t>%</w:t>
            </w:r>
          </w:p>
        </w:tc>
      </w:tr>
      <w:tr w:rsidR="00A3312C" w14:paraId="70F2935D" w14:textId="77777777" w:rsidTr="00750440">
        <w:tc>
          <w:tcPr>
            <w:tcW w:w="5665" w:type="dxa"/>
          </w:tcPr>
          <w:p w14:paraId="64EAFEDD" w14:textId="77777777" w:rsidR="00A3312C" w:rsidRDefault="00A3312C" w:rsidP="00750440">
            <w:r w:rsidRPr="00445AC0">
              <w:t>Currently undertaking a traineeship or apprenticeship</w:t>
            </w:r>
          </w:p>
        </w:tc>
        <w:tc>
          <w:tcPr>
            <w:tcW w:w="2035" w:type="dxa"/>
          </w:tcPr>
          <w:p w14:paraId="26404DA3" w14:textId="77777777" w:rsidR="00A3312C" w:rsidRDefault="00A3312C" w:rsidP="00750440">
            <w:pPr>
              <w:jc w:val="center"/>
            </w:pPr>
            <w:r>
              <w:t>2</w:t>
            </w:r>
          </w:p>
        </w:tc>
        <w:tc>
          <w:tcPr>
            <w:tcW w:w="2036" w:type="dxa"/>
          </w:tcPr>
          <w:p w14:paraId="0BEF2888" w14:textId="7064D977" w:rsidR="00A3312C" w:rsidRDefault="00B27053" w:rsidP="00750440">
            <w:pPr>
              <w:jc w:val="center"/>
            </w:pPr>
            <w:r>
              <w:t>2.7</w:t>
            </w:r>
            <w:r w:rsidR="00A3312C">
              <w:t>%</w:t>
            </w:r>
          </w:p>
        </w:tc>
      </w:tr>
      <w:tr w:rsidR="00A3312C" w14:paraId="5540E33C" w14:textId="77777777" w:rsidTr="00750440">
        <w:tc>
          <w:tcPr>
            <w:tcW w:w="5665" w:type="dxa"/>
          </w:tcPr>
          <w:p w14:paraId="250C4C33" w14:textId="77777777" w:rsidR="00A3312C" w:rsidRDefault="00A3312C" w:rsidP="00750440">
            <w:r w:rsidRPr="00445AC0">
              <w:t>Currently undertaking voluntary work</w:t>
            </w:r>
          </w:p>
        </w:tc>
        <w:tc>
          <w:tcPr>
            <w:tcW w:w="2035" w:type="dxa"/>
          </w:tcPr>
          <w:p w14:paraId="63D40C47" w14:textId="60D8C1DC" w:rsidR="00A3312C" w:rsidRDefault="00100447" w:rsidP="00750440">
            <w:pPr>
              <w:jc w:val="center"/>
            </w:pPr>
            <w:r>
              <w:t>17</w:t>
            </w:r>
          </w:p>
        </w:tc>
        <w:tc>
          <w:tcPr>
            <w:tcW w:w="2036" w:type="dxa"/>
          </w:tcPr>
          <w:p w14:paraId="58E7F222" w14:textId="2213245A" w:rsidR="00A3312C" w:rsidRDefault="00B27053" w:rsidP="00750440">
            <w:pPr>
              <w:jc w:val="center"/>
            </w:pPr>
            <w:r>
              <w:t>22.9</w:t>
            </w:r>
            <w:r w:rsidR="00A3312C">
              <w:t>%</w:t>
            </w:r>
          </w:p>
        </w:tc>
      </w:tr>
      <w:tr w:rsidR="00A3312C" w14:paraId="788EDE62" w14:textId="77777777" w:rsidTr="00750440">
        <w:tc>
          <w:tcPr>
            <w:tcW w:w="5665" w:type="dxa"/>
          </w:tcPr>
          <w:p w14:paraId="355A4951" w14:textId="418D6F0C" w:rsidR="00A3312C" w:rsidRDefault="00B27053" w:rsidP="00750440">
            <w:r>
              <w:t>Other</w:t>
            </w:r>
          </w:p>
        </w:tc>
        <w:tc>
          <w:tcPr>
            <w:tcW w:w="2035" w:type="dxa"/>
          </w:tcPr>
          <w:p w14:paraId="63BB7E11" w14:textId="5B589448" w:rsidR="00A3312C" w:rsidRDefault="00100447" w:rsidP="00750440">
            <w:pPr>
              <w:jc w:val="center"/>
            </w:pPr>
            <w:r>
              <w:t>24</w:t>
            </w:r>
          </w:p>
        </w:tc>
        <w:tc>
          <w:tcPr>
            <w:tcW w:w="2036" w:type="dxa"/>
          </w:tcPr>
          <w:p w14:paraId="2AE0439E" w14:textId="1A908143" w:rsidR="00A3312C" w:rsidRDefault="00B27053" w:rsidP="00750440">
            <w:pPr>
              <w:jc w:val="center"/>
            </w:pPr>
            <w:r>
              <w:t>32.4</w:t>
            </w:r>
            <w:r w:rsidR="00A3312C">
              <w:t>%</w:t>
            </w:r>
          </w:p>
        </w:tc>
      </w:tr>
    </w:tbl>
    <w:p w14:paraId="1BF65B93" w14:textId="77777777" w:rsidR="00A3312C" w:rsidRDefault="00A3312C" w:rsidP="00A3312C"/>
    <w:p w14:paraId="5523E78C" w14:textId="23A3F7AF" w:rsidR="003D19C9" w:rsidRPr="00763692" w:rsidRDefault="003D19C9" w:rsidP="003D19C9">
      <w:pPr>
        <w:rPr>
          <w:b/>
        </w:rPr>
      </w:pPr>
      <w:r>
        <w:rPr>
          <w:b/>
        </w:rPr>
        <w:t>Table 1</w:t>
      </w:r>
      <w:r w:rsidR="00A3312C">
        <w:rPr>
          <w:b/>
        </w:rPr>
        <w:t>1</w:t>
      </w:r>
      <w:r w:rsidRPr="00714CE7">
        <w:rPr>
          <w:b/>
        </w:rPr>
        <w:t xml:space="preserve">. Type of employment of survey respondents. </w:t>
      </w:r>
      <w:r w:rsidR="00B27053">
        <w:rPr>
          <w:b/>
        </w:rPr>
        <w:t>(n=44</w:t>
      </w:r>
      <w:r w:rsidRPr="00763692">
        <w:rPr>
          <w:b/>
        </w:rPr>
        <w:t>)</w:t>
      </w:r>
    </w:p>
    <w:tbl>
      <w:tblPr>
        <w:tblStyle w:val="TableGrid"/>
        <w:tblW w:w="0" w:type="auto"/>
        <w:tblLook w:val="04A0" w:firstRow="1" w:lastRow="0" w:firstColumn="1" w:lastColumn="0" w:noHBand="0" w:noVBand="1"/>
      </w:tblPr>
      <w:tblGrid>
        <w:gridCol w:w="5665"/>
        <w:gridCol w:w="2035"/>
        <w:gridCol w:w="2036"/>
      </w:tblGrid>
      <w:tr w:rsidR="003D19C9" w14:paraId="0E32CC84" w14:textId="77777777" w:rsidTr="00750440">
        <w:tc>
          <w:tcPr>
            <w:tcW w:w="5665" w:type="dxa"/>
          </w:tcPr>
          <w:p w14:paraId="5D76DB32" w14:textId="77777777" w:rsidR="003D19C9" w:rsidRDefault="003D19C9" w:rsidP="00750440">
            <w:pPr>
              <w:rPr>
                <w:b/>
              </w:rPr>
            </w:pPr>
            <w:r>
              <w:rPr>
                <w:b/>
              </w:rPr>
              <w:t xml:space="preserve">Type of Employment </w:t>
            </w:r>
          </w:p>
        </w:tc>
        <w:tc>
          <w:tcPr>
            <w:tcW w:w="2035" w:type="dxa"/>
          </w:tcPr>
          <w:p w14:paraId="33C3F83D" w14:textId="77777777" w:rsidR="003D19C9" w:rsidRDefault="003D19C9" w:rsidP="00750440">
            <w:pPr>
              <w:jc w:val="center"/>
              <w:rPr>
                <w:b/>
              </w:rPr>
            </w:pPr>
            <w:r>
              <w:rPr>
                <w:b/>
              </w:rPr>
              <w:t>No</w:t>
            </w:r>
          </w:p>
        </w:tc>
        <w:tc>
          <w:tcPr>
            <w:tcW w:w="2036" w:type="dxa"/>
          </w:tcPr>
          <w:p w14:paraId="0017054B" w14:textId="77777777" w:rsidR="003D19C9" w:rsidRDefault="003D19C9" w:rsidP="00750440">
            <w:pPr>
              <w:jc w:val="center"/>
              <w:rPr>
                <w:b/>
              </w:rPr>
            </w:pPr>
            <w:r>
              <w:rPr>
                <w:b/>
              </w:rPr>
              <w:t>Percentage</w:t>
            </w:r>
          </w:p>
        </w:tc>
      </w:tr>
      <w:tr w:rsidR="003D19C9" w14:paraId="4B6F3579" w14:textId="77777777" w:rsidTr="00750440">
        <w:tc>
          <w:tcPr>
            <w:tcW w:w="5665" w:type="dxa"/>
          </w:tcPr>
          <w:p w14:paraId="4DDC9542" w14:textId="77777777" w:rsidR="003D19C9" w:rsidRPr="004F59AE" w:rsidRDefault="003D19C9" w:rsidP="00750440">
            <w:r>
              <w:t xml:space="preserve">Working in the general labour market </w:t>
            </w:r>
          </w:p>
        </w:tc>
        <w:tc>
          <w:tcPr>
            <w:tcW w:w="2035" w:type="dxa"/>
          </w:tcPr>
          <w:p w14:paraId="2256DA0B" w14:textId="16D748E1" w:rsidR="003D19C9" w:rsidRPr="00A43B45" w:rsidRDefault="00B27053" w:rsidP="00750440">
            <w:pPr>
              <w:jc w:val="center"/>
            </w:pPr>
            <w:r>
              <w:t>21</w:t>
            </w:r>
          </w:p>
        </w:tc>
        <w:tc>
          <w:tcPr>
            <w:tcW w:w="2036" w:type="dxa"/>
          </w:tcPr>
          <w:p w14:paraId="78F789D2" w14:textId="6562D79D" w:rsidR="003D19C9" w:rsidRPr="00A43B45" w:rsidRDefault="003068A1" w:rsidP="00750440">
            <w:pPr>
              <w:jc w:val="center"/>
            </w:pPr>
            <w:r>
              <w:t>47.7</w:t>
            </w:r>
            <w:r w:rsidR="003D19C9" w:rsidRPr="00A43B45">
              <w:t>%</w:t>
            </w:r>
          </w:p>
        </w:tc>
      </w:tr>
      <w:tr w:rsidR="003D19C9" w14:paraId="71693028" w14:textId="77777777" w:rsidTr="00750440">
        <w:tc>
          <w:tcPr>
            <w:tcW w:w="5665" w:type="dxa"/>
          </w:tcPr>
          <w:p w14:paraId="04634A49" w14:textId="77777777" w:rsidR="003D19C9" w:rsidRPr="004F59AE" w:rsidRDefault="003D19C9" w:rsidP="00750440">
            <w:r>
              <w:t xml:space="preserve">Working in an </w:t>
            </w:r>
            <w:r w:rsidRPr="004F59AE">
              <w:t>Australia</w:t>
            </w:r>
            <w:r>
              <w:t>n</w:t>
            </w:r>
            <w:r w:rsidRPr="004F59AE">
              <w:t xml:space="preserve"> Disability </w:t>
            </w:r>
            <w:r>
              <w:t>Enterprise ADE</w:t>
            </w:r>
          </w:p>
        </w:tc>
        <w:tc>
          <w:tcPr>
            <w:tcW w:w="2035" w:type="dxa"/>
          </w:tcPr>
          <w:p w14:paraId="70259880" w14:textId="751AA120" w:rsidR="003D19C9" w:rsidRPr="00A43B45" w:rsidRDefault="00B27053" w:rsidP="00750440">
            <w:pPr>
              <w:jc w:val="center"/>
            </w:pPr>
            <w:r>
              <w:t>5</w:t>
            </w:r>
          </w:p>
        </w:tc>
        <w:tc>
          <w:tcPr>
            <w:tcW w:w="2036" w:type="dxa"/>
          </w:tcPr>
          <w:p w14:paraId="6D58595D" w14:textId="5B2EA435" w:rsidR="003D19C9" w:rsidRPr="00A43B45" w:rsidRDefault="003068A1" w:rsidP="00750440">
            <w:pPr>
              <w:jc w:val="center"/>
            </w:pPr>
            <w:r>
              <w:t>6.7</w:t>
            </w:r>
            <w:r w:rsidR="003D19C9">
              <w:t>%</w:t>
            </w:r>
          </w:p>
        </w:tc>
      </w:tr>
      <w:tr w:rsidR="003D19C9" w14:paraId="271325A2" w14:textId="77777777" w:rsidTr="00750440">
        <w:tc>
          <w:tcPr>
            <w:tcW w:w="5665" w:type="dxa"/>
          </w:tcPr>
          <w:p w14:paraId="6B69539B" w14:textId="77777777" w:rsidR="003D19C9" w:rsidRDefault="003D19C9" w:rsidP="00750440">
            <w:r>
              <w:t>Other</w:t>
            </w:r>
          </w:p>
        </w:tc>
        <w:tc>
          <w:tcPr>
            <w:tcW w:w="2035" w:type="dxa"/>
          </w:tcPr>
          <w:p w14:paraId="42B962DC" w14:textId="7F3C5656" w:rsidR="003D19C9" w:rsidRPr="00A43B45" w:rsidRDefault="003068A1" w:rsidP="00750440">
            <w:pPr>
              <w:jc w:val="center"/>
            </w:pPr>
            <w:r>
              <w:t>21</w:t>
            </w:r>
          </w:p>
        </w:tc>
        <w:tc>
          <w:tcPr>
            <w:tcW w:w="2036" w:type="dxa"/>
          </w:tcPr>
          <w:p w14:paraId="5D126E02" w14:textId="6D4A2CAB" w:rsidR="003D19C9" w:rsidRDefault="003068A1" w:rsidP="00750440">
            <w:pPr>
              <w:jc w:val="center"/>
            </w:pPr>
            <w:r>
              <w:t>47.7</w:t>
            </w:r>
            <w:r w:rsidR="003D19C9">
              <w:t>%</w:t>
            </w:r>
          </w:p>
        </w:tc>
      </w:tr>
    </w:tbl>
    <w:p w14:paraId="249788B4" w14:textId="77777777" w:rsidR="003D19C9" w:rsidRDefault="003D19C9" w:rsidP="003D19C9">
      <w:pPr>
        <w:rPr>
          <w:shd w:val="clear" w:color="auto" w:fill="F4F5F5"/>
        </w:rPr>
      </w:pPr>
    </w:p>
    <w:p w14:paraId="6464147D" w14:textId="200F1A02" w:rsidR="003D19C9" w:rsidRDefault="003D19C9" w:rsidP="003D19C9">
      <w:pPr>
        <w:rPr>
          <w:b/>
          <w:color w:val="FF0000"/>
        </w:rPr>
      </w:pPr>
      <w:r>
        <w:rPr>
          <w:b/>
        </w:rPr>
        <w:t>Table 1</w:t>
      </w:r>
      <w:r w:rsidR="00A3312C">
        <w:rPr>
          <w:b/>
        </w:rPr>
        <w:t>2</w:t>
      </w:r>
      <w:r>
        <w:rPr>
          <w:b/>
        </w:rPr>
        <w:t xml:space="preserve">. Type of award wages of survey respondents </w:t>
      </w:r>
      <w:r w:rsidR="00CB45BE">
        <w:rPr>
          <w:b/>
        </w:rPr>
        <w:t>(n=45</w:t>
      </w:r>
      <w:r w:rsidRPr="00561634">
        <w:rPr>
          <w:b/>
        </w:rPr>
        <w:t>)</w:t>
      </w:r>
    </w:p>
    <w:tbl>
      <w:tblPr>
        <w:tblStyle w:val="TableGrid"/>
        <w:tblW w:w="0" w:type="auto"/>
        <w:tblLook w:val="04A0" w:firstRow="1" w:lastRow="0" w:firstColumn="1" w:lastColumn="0" w:noHBand="0" w:noVBand="1"/>
      </w:tblPr>
      <w:tblGrid>
        <w:gridCol w:w="5665"/>
        <w:gridCol w:w="2035"/>
        <w:gridCol w:w="2036"/>
      </w:tblGrid>
      <w:tr w:rsidR="003D19C9" w14:paraId="140A7519" w14:textId="77777777" w:rsidTr="00750440">
        <w:tc>
          <w:tcPr>
            <w:tcW w:w="5665" w:type="dxa"/>
          </w:tcPr>
          <w:p w14:paraId="6E72FAF7" w14:textId="77777777" w:rsidR="003D19C9" w:rsidRPr="004234A1" w:rsidRDefault="003D19C9" w:rsidP="00750440">
            <w:pPr>
              <w:rPr>
                <w:b/>
              </w:rPr>
            </w:pPr>
            <w:r w:rsidRPr="004234A1">
              <w:rPr>
                <w:b/>
              </w:rPr>
              <w:t xml:space="preserve">Type of award wages </w:t>
            </w:r>
          </w:p>
        </w:tc>
        <w:tc>
          <w:tcPr>
            <w:tcW w:w="2035" w:type="dxa"/>
          </w:tcPr>
          <w:p w14:paraId="4C12C3BA" w14:textId="77777777" w:rsidR="003D19C9" w:rsidRPr="004234A1" w:rsidRDefault="003D19C9" w:rsidP="00750440">
            <w:pPr>
              <w:jc w:val="center"/>
              <w:rPr>
                <w:b/>
              </w:rPr>
            </w:pPr>
            <w:r w:rsidRPr="004234A1">
              <w:rPr>
                <w:b/>
              </w:rPr>
              <w:t>No</w:t>
            </w:r>
          </w:p>
        </w:tc>
        <w:tc>
          <w:tcPr>
            <w:tcW w:w="2036" w:type="dxa"/>
          </w:tcPr>
          <w:p w14:paraId="06EB82ED" w14:textId="77777777" w:rsidR="003D19C9" w:rsidRPr="004234A1" w:rsidRDefault="003D19C9" w:rsidP="00750440">
            <w:pPr>
              <w:jc w:val="center"/>
              <w:rPr>
                <w:b/>
              </w:rPr>
            </w:pPr>
            <w:r w:rsidRPr="004234A1">
              <w:rPr>
                <w:b/>
              </w:rPr>
              <w:t>Percentage</w:t>
            </w:r>
          </w:p>
        </w:tc>
      </w:tr>
      <w:tr w:rsidR="003D19C9" w14:paraId="2BF4B70E" w14:textId="77777777" w:rsidTr="00750440">
        <w:tc>
          <w:tcPr>
            <w:tcW w:w="5665" w:type="dxa"/>
          </w:tcPr>
          <w:p w14:paraId="703AFFFE" w14:textId="77777777" w:rsidR="003D19C9" w:rsidRPr="004234A1" w:rsidRDefault="003D19C9" w:rsidP="00750440">
            <w:r w:rsidRPr="004234A1">
              <w:t xml:space="preserve">Receiving full award wages </w:t>
            </w:r>
          </w:p>
        </w:tc>
        <w:tc>
          <w:tcPr>
            <w:tcW w:w="2035" w:type="dxa"/>
          </w:tcPr>
          <w:p w14:paraId="227BB128" w14:textId="175649FC" w:rsidR="003D19C9" w:rsidRPr="004234A1" w:rsidRDefault="003D19C9" w:rsidP="00750440">
            <w:pPr>
              <w:jc w:val="center"/>
            </w:pPr>
            <w:r w:rsidRPr="004234A1">
              <w:t>1</w:t>
            </w:r>
            <w:r w:rsidR="00CB45BE">
              <w:t>7</w:t>
            </w:r>
          </w:p>
        </w:tc>
        <w:tc>
          <w:tcPr>
            <w:tcW w:w="2036" w:type="dxa"/>
          </w:tcPr>
          <w:p w14:paraId="7E4804FF" w14:textId="77B58C79" w:rsidR="003D19C9" w:rsidRPr="004234A1" w:rsidRDefault="00CB45BE" w:rsidP="00750440">
            <w:pPr>
              <w:jc w:val="center"/>
            </w:pPr>
            <w:r>
              <w:t>37.7</w:t>
            </w:r>
            <w:r w:rsidR="003D19C9">
              <w:t>%</w:t>
            </w:r>
          </w:p>
        </w:tc>
      </w:tr>
      <w:tr w:rsidR="003D19C9" w14:paraId="21320AC7" w14:textId="77777777" w:rsidTr="00750440">
        <w:tc>
          <w:tcPr>
            <w:tcW w:w="5665" w:type="dxa"/>
          </w:tcPr>
          <w:p w14:paraId="661F56D8" w14:textId="77777777" w:rsidR="003D19C9" w:rsidRPr="004234A1" w:rsidRDefault="003D19C9" w:rsidP="00750440">
            <w:r w:rsidRPr="004234A1">
              <w:t xml:space="preserve">Receiving less than full award wages </w:t>
            </w:r>
          </w:p>
        </w:tc>
        <w:tc>
          <w:tcPr>
            <w:tcW w:w="2035" w:type="dxa"/>
          </w:tcPr>
          <w:p w14:paraId="5B53969A" w14:textId="7921334B" w:rsidR="003D19C9" w:rsidRPr="004234A1" w:rsidRDefault="003D19C9" w:rsidP="00750440">
            <w:pPr>
              <w:jc w:val="center"/>
            </w:pPr>
            <w:r w:rsidRPr="004234A1">
              <w:t>1</w:t>
            </w:r>
            <w:r w:rsidR="00CB45BE">
              <w:t>8</w:t>
            </w:r>
          </w:p>
        </w:tc>
        <w:tc>
          <w:tcPr>
            <w:tcW w:w="2036" w:type="dxa"/>
          </w:tcPr>
          <w:p w14:paraId="30C56EA2" w14:textId="0B24E160" w:rsidR="003D19C9" w:rsidRPr="004234A1" w:rsidRDefault="00CB45BE" w:rsidP="00750440">
            <w:pPr>
              <w:jc w:val="center"/>
            </w:pPr>
            <w:r>
              <w:t>40</w:t>
            </w:r>
            <w:r w:rsidR="003D19C9">
              <w:t>%</w:t>
            </w:r>
          </w:p>
        </w:tc>
      </w:tr>
      <w:tr w:rsidR="003D19C9" w14:paraId="0A144889" w14:textId="77777777" w:rsidTr="00750440">
        <w:tc>
          <w:tcPr>
            <w:tcW w:w="5665" w:type="dxa"/>
          </w:tcPr>
          <w:p w14:paraId="17D44A8A" w14:textId="77777777" w:rsidR="003D19C9" w:rsidRPr="004234A1" w:rsidRDefault="003D19C9" w:rsidP="00750440">
            <w:r w:rsidRPr="004234A1">
              <w:t xml:space="preserve">Don’t </w:t>
            </w:r>
            <w:r>
              <w:t>k</w:t>
            </w:r>
            <w:r w:rsidRPr="004234A1">
              <w:t>now</w:t>
            </w:r>
          </w:p>
        </w:tc>
        <w:tc>
          <w:tcPr>
            <w:tcW w:w="2035" w:type="dxa"/>
          </w:tcPr>
          <w:p w14:paraId="463C463B" w14:textId="3810F1BF" w:rsidR="003D19C9" w:rsidRPr="004234A1" w:rsidRDefault="00CB45BE" w:rsidP="00750440">
            <w:pPr>
              <w:jc w:val="center"/>
            </w:pPr>
            <w:r>
              <w:t>10</w:t>
            </w:r>
          </w:p>
        </w:tc>
        <w:tc>
          <w:tcPr>
            <w:tcW w:w="2036" w:type="dxa"/>
          </w:tcPr>
          <w:p w14:paraId="115F24D2" w14:textId="506CAAB5" w:rsidR="003D19C9" w:rsidRPr="004234A1" w:rsidRDefault="00CB45BE" w:rsidP="00750440">
            <w:pPr>
              <w:jc w:val="center"/>
            </w:pPr>
            <w:r>
              <w:t>22.2</w:t>
            </w:r>
            <w:r w:rsidR="003D19C9">
              <w:t>%</w:t>
            </w:r>
          </w:p>
        </w:tc>
      </w:tr>
    </w:tbl>
    <w:p w14:paraId="472F64BE" w14:textId="77777777" w:rsidR="003D19C9" w:rsidRDefault="003D19C9" w:rsidP="003D19C9">
      <w:pPr>
        <w:rPr>
          <w:shd w:val="clear" w:color="auto" w:fill="F4F5F5"/>
        </w:rPr>
      </w:pPr>
    </w:p>
    <w:p w14:paraId="0038B6FA" w14:textId="77777777" w:rsidR="00B43693" w:rsidRPr="00A3312C" w:rsidRDefault="00A3312C" w:rsidP="003D19C9">
      <w:pPr>
        <w:rPr>
          <w:i/>
          <w:iCs/>
          <w:shd w:val="clear" w:color="auto" w:fill="F4F5F5"/>
        </w:rPr>
      </w:pPr>
      <w:r>
        <w:rPr>
          <w:i/>
          <w:iCs/>
          <w:shd w:val="clear" w:color="auto" w:fill="F4F5F5"/>
        </w:rPr>
        <w:t>Income support programs</w:t>
      </w:r>
    </w:p>
    <w:p w14:paraId="1AD04228" w14:textId="2F6D27B9" w:rsidR="00B43693" w:rsidRPr="00561634" w:rsidRDefault="00B43693" w:rsidP="00B43693">
      <w:pPr>
        <w:rPr>
          <w:b/>
        </w:rPr>
      </w:pPr>
      <w:r>
        <w:rPr>
          <w:b/>
        </w:rPr>
        <w:t>Table 1</w:t>
      </w:r>
      <w:r w:rsidR="00A3312C">
        <w:rPr>
          <w:b/>
        </w:rPr>
        <w:t>3</w:t>
      </w:r>
      <w:r>
        <w:rPr>
          <w:b/>
        </w:rPr>
        <w:t xml:space="preserve">. Survey respondents receiving income support payments </w:t>
      </w:r>
      <w:r w:rsidRPr="00561634">
        <w:rPr>
          <w:b/>
        </w:rPr>
        <w:t>(n=</w:t>
      </w:r>
      <w:r w:rsidR="00EC534D">
        <w:rPr>
          <w:b/>
        </w:rPr>
        <w:t>80</w:t>
      </w:r>
      <w:r w:rsidRPr="00561634">
        <w:rPr>
          <w:b/>
        </w:rPr>
        <w:t>)</w:t>
      </w:r>
    </w:p>
    <w:tbl>
      <w:tblPr>
        <w:tblStyle w:val="TableGrid"/>
        <w:tblW w:w="0" w:type="auto"/>
        <w:tblLook w:val="04A0" w:firstRow="1" w:lastRow="0" w:firstColumn="1" w:lastColumn="0" w:noHBand="0" w:noVBand="1"/>
      </w:tblPr>
      <w:tblGrid>
        <w:gridCol w:w="5665"/>
        <w:gridCol w:w="2035"/>
        <w:gridCol w:w="2036"/>
      </w:tblGrid>
      <w:tr w:rsidR="00B43693" w14:paraId="3640577F" w14:textId="77777777" w:rsidTr="00750440">
        <w:tc>
          <w:tcPr>
            <w:tcW w:w="5665" w:type="dxa"/>
          </w:tcPr>
          <w:p w14:paraId="4286A7E3" w14:textId="77777777" w:rsidR="00B43693" w:rsidRDefault="00B43693" w:rsidP="00750440">
            <w:pPr>
              <w:rPr>
                <w:b/>
              </w:rPr>
            </w:pPr>
            <w:r>
              <w:rPr>
                <w:b/>
              </w:rPr>
              <w:t>Type of income support payments</w:t>
            </w:r>
          </w:p>
        </w:tc>
        <w:tc>
          <w:tcPr>
            <w:tcW w:w="2035" w:type="dxa"/>
          </w:tcPr>
          <w:p w14:paraId="42E38FE6" w14:textId="77777777" w:rsidR="00B43693" w:rsidRDefault="00B43693" w:rsidP="00750440">
            <w:pPr>
              <w:jc w:val="center"/>
              <w:rPr>
                <w:b/>
              </w:rPr>
            </w:pPr>
            <w:r>
              <w:rPr>
                <w:b/>
              </w:rPr>
              <w:t>No</w:t>
            </w:r>
          </w:p>
        </w:tc>
        <w:tc>
          <w:tcPr>
            <w:tcW w:w="2036" w:type="dxa"/>
          </w:tcPr>
          <w:p w14:paraId="2F143BA1" w14:textId="77777777" w:rsidR="00B43693" w:rsidRDefault="00B43693" w:rsidP="00750440">
            <w:pPr>
              <w:jc w:val="center"/>
              <w:rPr>
                <w:b/>
              </w:rPr>
            </w:pPr>
            <w:r>
              <w:rPr>
                <w:b/>
              </w:rPr>
              <w:t>Percentage</w:t>
            </w:r>
          </w:p>
        </w:tc>
      </w:tr>
      <w:tr w:rsidR="00B43693" w14:paraId="6042DE74" w14:textId="77777777" w:rsidTr="00750440">
        <w:tc>
          <w:tcPr>
            <w:tcW w:w="5665" w:type="dxa"/>
          </w:tcPr>
          <w:p w14:paraId="5D696BF7" w14:textId="77777777" w:rsidR="00B43693" w:rsidRPr="00433601" w:rsidRDefault="00B43693" w:rsidP="00750440">
            <w:r w:rsidRPr="00433601">
              <w:t>No</w:t>
            </w:r>
            <w:r>
              <w:t>t</w:t>
            </w:r>
            <w:r w:rsidRPr="00433601">
              <w:t xml:space="preserve"> receiving income support </w:t>
            </w:r>
          </w:p>
        </w:tc>
        <w:tc>
          <w:tcPr>
            <w:tcW w:w="2035" w:type="dxa"/>
          </w:tcPr>
          <w:p w14:paraId="305FD1DA" w14:textId="17269954" w:rsidR="00B43693" w:rsidRPr="00433601" w:rsidRDefault="00EC534D" w:rsidP="00750440">
            <w:pPr>
              <w:jc w:val="center"/>
            </w:pPr>
            <w:r>
              <w:t>22</w:t>
            </w:r>
          </w:p>
        </w:tc>
        <w:tc>
          <w:tcPr>
            <w:tcW w:w="2036" w:type="dxa"/>
          </w:tcPr>
          <w:p w14:paraId="670259FB" w14:textId="1BFDA37A" w:rsidR="00B43693" w:rsidRPr="00433601" w:rsidRDefault="00EC534D" w:rsidP="00750440">
            <w:pPr>
              <w:jc w:val="center"/>
            </w:pPr>
            <w:r>
              <w:t>27.5</w:t>
            </w:r>
            <w:r w:rsidR="00B43693">
              <w:t>%</w:t>
            </w:r>
          </w:p>
        </w:tc>
      </w:tr>
      <w:tr w:rsidR="00B43693" w14:paraId="09424CC0" w14:textId="77777777" w:rsidTr="00750440">
        <w:tc>
          <w:tcPr>
            <w:tcW w:w="5665" w:type="dxa"/>
          </w:tcPr>
          <w:p w14:paraId="005CF40B" w14:textId="77777777" w:rsidR="00B43693" w:rsidRPr="00433601" w:rsidRDefault="00B43693" w:rsidP="00750440">
            <w:r w:rsidRPr="00433601">
              <w:t>Disability Support Pension (DSP)</w:t>
            </w:r>
          </w:p>
        </w:tc>
        <w:tc>
          <w:tcPr>
            <w:tcW w:w="2035" w:type="dxa"/>
          </w:tcPr>
          <w:p w14:paraId="090AECB1" w14:textId="08E89786" w:rsidR="00B43693" w:rsidRPr="00433601" w:rsidRDefault="00EC534D" w:rsidP="00750440">
            <w:pPr>
              <w:jc w:val="center"/>
            </w:pPr>
            <w:r>
              <w:t>49</w:t>
            </w:r>
          </w:p>
        </w:tc>
        <w:tc>
          <w:tcPr>
            <w:tcW w:w="2036" w:type="dxa"/>
          </w:tcPr>
          <w:p w14:paraId="0326F99A" w14:textId="6BEA7713" w:rsidR="00B43693" w:rsidRPr="00433601" w:rsidRDefault="00EC534D" w:rsidP="00750440">
            <w:pPr>
              <w:jc w:val="center"/>
            </w:pPr>
            <w:r>
              <w:t>61.2</w:t>
            </w:r>
            <w:r w:rsidR="00B43693">
              <w:t>%</w:t>
            </w:r>
          </w:p>
        </w:tc>
      </w:tr>
      <w:tr w:rsidR="00B43693" w14:paraId="2E03498E" w14:textId="77777777" w:rsidTr="00750440">
        <w:tc>
          <w:tcPr>
            <w:tcW w:w="5665" w:type="dxa"/>
          </w:tcPr>
          <w:p w14:paraId="4F8714BB" w14:textId="77777777" w:rsidR="00B43693" w:rsidRPr="00433601" w:rsidRDefault="00B43693" w:rsidP="00750440">
            <w:r w:rsidRPr="00433601">
              <w:t>Newstart Allowance</w:t>
            </w:r>
          </w:p>
        </w:tc>
        <w:tc>
          <w:tcPr>
            <w:tcW w:w="2035" w:type="dxa"/>
          </w:tcPr>
          <w:p w14:paraId="0C332F99" w14:textId="34C1D050" w:rsidR="00B43693" w:rsidRPr="00433601" w:rsidRDefault="00EC534D" w:rsidP="00750440">
            <w:pPr>
              <w:jc w:val="center"/>
            </w:pPr>
            <w:r>
              <w:t>4</w:t>
            </w:r>
          </w:p>
        </w:tc>
        <w:tc>
          <w:tcPr>
            <w:tcW w:w="2036" w:type="dxa"/>
          </w:tcPr>
          <w:p w14:paraId="22B5A839" w14:textId="21E20D10" w:rsidR="00B43693" w:rsidRPr="00433601" w:rsidRDefault="002D08EB" w:rsidP="00750440">
            <w:pPr>
              <w:jc w:val="center"/>
            </w:pPr>
            <w:r>
              <w:t>5</w:t>
            </w:r>
            <w:r w:rsidR="00B43693">
              <w:t>%</w:t>
            </w:r>
          </w:p>
        </w:tc>
      </w:tr>
      <w:tr w:rsidR="00B43693" w14:paraId="71E35FAC" w14:textId="77777777" w:rsidTr="00750440">
        <w:tc>
          <w:tcPr>
            <w:tcW w:w="5665" w:type="dxa"/>
          </w:tcPr>
          <w:p w14:paraId="4F29A4ED" w14:textId="3F26DDFB" w:rsidR="00B43693" w:rsidRPr="00433601" w:rsidRDefault="002D08EB" w:rsidP="00750440">
            <w:r>
              <w:t xml:space="preserve">Other: </w:t>
            </w:r>
            <w:r w:rsidR="00B43693" w:rsidRPr="00433601">
              <w:t>Youth Allowance</w:t>
            </w:r>
          </w:p>
        </w:tc>
        <w:tc>
          <w:tcPr>
            <w:tcW w:w="2035" w:type="dxa"/>
          </w:tcPr>
          <w:p w14:paraId="0BA8F7DC" w14:textId="55901F45" w:rsidR="00B43693" w:rsidRPr="00433601" w:rsidRDefault="00EC534D" w:rsidP="00750440">
            <w:pPr>
              <w:jc w:val="center"/>
            </w:pPr>
            <w:r>
              <w:t>5</w:t>
            </w:r>
          </w:p>
        </w:tc>
        <w:tc>
          <w:tcPr>
            <w:tcW w:w="2036" w:type="dxa"/>
          </w:tcPr>
          <w:p w14:paraId="6C396BA4" w14:textId="781BE983" w:rsidR="00B43693" w:rsidRPr="00433601" w:rsidRDefault="00B43693" w:rsidP="00750440">
            <w:pPr>
              <w:jc w:val="center"/>
            </w:pPr>
            <w:r>
              <w:t>6</w:t>
            </w:r>
            <w:r w:rsidR="002D08EB">
              <w:t>.2</w:t>
            </w:r>
            <w:r>
              <w:t>%</w:t>
            </w:r>
          </w:p>
        </w:tc>
      </w:tr>
    </w:tbl>
    <w:p w14:paraId="3ADA354F" w14:textId="77777777" w:rsidR="00B43693" w:rsidRDefault="00B43693" w:rsidP="00B43693">
      <w:pPr>
        <w:rPr>
          <w:shd w:val="clear" w:color="auto" w:fill="F4F5F5"/>
        </w:rPr>
      </w:pPr>
    </w:p>
    <w:p w14:paraId="603BD9DC" w14:textId="77777777" w:rsidR="003D19C9" w:rsidRPr="000A41FF" w:rsidRDefault="003D19C9" w:rsidP="003D19C9">
      <w:pPr>
        <w:keepNext/>
        <w:rPr>
          <w:b/>
        </w:rPr>
      </w:pPr>
      <w:r w:rsidRPr="000A41FF">
        <w:rPr>
          <w:b/>
        </w:rPr>
        <w:t xml:space="preserve">Figure 2. </w:t>
      </w:r>
      <w:r>
        <w:rPr>
          <w:b/>
        </w:rPr>
        <w:t>T</w:t>
      </w:r>
      <w:r w:rsidRPr="00D355CF">
        <w:rPr>
          <w:b/>
        </w:rPr>
        <w:t>rends from 2009 to 2019</w:t>
      </w:r>
      <w:r>
        <w:rPr>
          <w:b/>
        </w:rPr>
        <w:t xml:space="preserve"> of </w:t>
      </w:r>
      <w:r w:rsidRPr="000A41FF">
        <w:rPr>
          <w:b/>
        </w:rPr>
        <w:t>Newstart Allowance, Youth Allowance with partial capacity to work and Disability Support Pension recipients</w:t>
      </w:r>
      <w:r>
        <w:rPr>
          <w:b/>
        </w:rPr>
        <w:t xml:space="preserve"> aged 20 to 25 years</w:t>
      </w:r>
      <w:r w:rsidRPr="000A41FF">
        <w:rPr>
          <w:b/>
        </w:rPr>
        <w:t xml:space="preserve"> </w:t>
      </w:r>
    </w:p>
    <w:p w14:paraId="7321B5AB" w14:textId="77777777" w:rsidR="003D19C9" w:rsidRDefault="003D19C9" w:rsidP="003D19C9">
      <w:pPr>
        <w:keepNext/>
      </w:pPr>
      <w:r>
        <w:rPr>
          <w:noProof/>
          <w:lang w:eastAsia="en-AU"/>
        </w:rPr>
        <w:drawing>
          <wp:inline distT="0" distB="0" distL="0" distR="0" wp14:anchorId="6579272E" wp14:editId="73E10E69">
            <wp:extent cx="5114925" cy="391001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435EC6" w14:textId="7AD19AF8" w:rsidR="003D19C9" w:rsidRPr="00AE3F74" w:rsidRDefault="00AE3F74" w:rsidP="003D19C9">
      <w:r w:rsidRPr="00AE3F74">
        <w:t>Source: Department of Social Services data provided to CYDA</w:t>
      </w:r>
    </w:p>
    <w:p w14:paraId="0697C34D" w14:textId="77777777" w:rsidR="003D19C9" w:rsidRDefault="003D19C9" w:rsidP="00B43693">
      <w:pPr>
        <w:keepNext/>
        <w:rPr>
          <w:b/>
        </w:rPr>
      </w:pPr>
      <w:r w:rsidRPr="00D355CF">
        <w:rPr>
          <w:b/>
        </w:rPr>
        <w:t>Figure 3.</w:t>
      </w:r>
      <w:r>
        <w:t xml:space="preserve"> </w:t>
      </w:r>
      <w:r w:rsidRPr="00D355CF">
        <w:rPr>
          <w:b/>
        </w:rPr>
        <w:t>Trends from 2009 to 2019</w:t>
      </w:r>
      <w:r>
        <w:rPr>
          <w:b/>
        </w:rPr>
        <w:t xml:space="preserve"> of</w:t>
      </w:r>
      <w:r>
        <w:t xml:space="preserve"> </w:t>
      </w:r>
      <w:r w:rsidRPr="000A41FF">
        <w:rPr>
          <w:b/>
        </w:rPr>
        <w:t xml:space="preserve">Youth Allowance with partial capacity to work and Disability Support Pension recipients </w:t>
      </w:r>
      <w:r>
        <w:rPr>
          <w:b/>
        </w:rPr>
        <w:t xml:space="preserve">aged 19 years and under </w:t>
      </w:r>
    </w:p>
    <w:p w14:paraId="072C0DB5" w14:textId="77777777" w:rsidR="003D19C9" w:rsidRDefault="003D19C9" w:rsidP="00B43693">
      <w:pPr>
        <w:keepNext/>
      </w:pPr>
      <w:r>
        <w:rPr>
          <w:noProof/>
          <w:lang w:eastAsia="en-AU"/>
        </w:rPr>
        <w:drawing>
          <wp:inline distT="0" distB="0" distL="0" distR="0" wp14:anchorId="1BF2D845" wp14:editId="4E5F87F0">
            <wp:extent cx="5038725" cy="3424239"/>
            <wp:effectExtent l="0" t="0" r="9525" b="50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2E0B41" w14:textId="77777777" w:rsidR="00AE3F74" w:rsidRPr="00AE3F74" w:rsidRDefault="00AE3F74" w:rsidP="00AE3F74">
      <w:r w:rsidRPr="00AE3F74">
        <w:t>Source: Department of Social Services data provided to CYDA</w:t>
      </w:r>
    </w:p>
    <w:p w14:paraId="40169D17" w14:textId="77777777" w:rsidR="003D19C9" w:rsidRDefault="003D19C9" w:rsidP="003D19C9">
      <w:pPr>
        <w:rPr>
          <w:shd w:val="clear" w:color="auto" w:fill="F4F5F5"/>
        </w:rPr>
      </w:pPr>
    </w:p>
    <w:p w14:paraId="3E954802" w14:textId="77777777" w:rsidR="00A3312C" w:rsidRPr="00A3312C" w:rsidRDefault="00A3312C" w:rsidP="003D19C9">
      <w:pPr>
        <w:rPr>
          <w:i/>
          <w:iCs/>
          <w:shd w:val="clear" w:color="auto" w:fill="F4F5F5"/>
        </w:rPr>
      </w:pPr>
      <w:r>
        <w:rPr>
          <w:i/>
          <w:iCs/>
          <w:shd w:val="clear" w:color="auto" w:fill="F4F5F5"/>
        </w:rPr>
        <w:t>Access to further education</w:t>
      </w:r>
    </w:p>
    <w:p w14:paraId="7FF84798" w14:textId="31BC2650" w:rsidR="00747CF0" w:rsidRPr="009C787F" w:rsidRDefault="00747CF0" w:rsidP="00747CF0">
      <w:pPr>
        <w:rPr>
          <w:b/>
        </w:rPr>
      </w:pPr>
      <w:r>
        <w:rPr>
          <w:b/>
        </w:rPr>
        <w:t>Table 1</w:t>
      </w:r>
      <w:r w:rsidR="004A78E9">
        <w:rPr>
          <w:b/>
        </w:rPr>
        <w:t>4</w:t>
      </w:r>
      <w:r w:rsidRPr="009C787F">
        <w:rPr>
          <w:b/>
        </w:rPr>
        <w:t>. Highest level of education of survey respondents (n=</w:t>
      </w:r>
      <w:r w:rsidR="002D08EB">
        <w:rPr>
          <w:b/>
        </w:rPr>
        <w:t>98</w:t>
      </w:r>
      <w:r w:rsidRPr="009C787F">
        <w:rPr>
          <w:b/>
        </w:rPr>
        <w:t>)</w:t>
      </w:r>
    </w:p>
    <w:tbl>
      <w:tblPr>
        <w:tblStyle w:val="TableGrid"/>
        <w:tblW w:w="0" w:type="auto"/>
        <w:tblLook w:val="04A0" w:firstRow="1" w:lastRow="0" w:firstColumn="1" w:lastColumn="0" w:noHBand="0" w:noVBand="1"/>
      </w:tblPr>
      <w:tblGrid>
        <w:gridCol w:w="5665"/>
        <w:gridCol w:w="2127"/>
        <w:gridCol w:w="1944"/>
      </w:tblGrid>
      <w:tr w:rsidR="00747CF0" w14:paraId="3A23D686" w14:textId="77777777" w:rsidTr="00371188">
        <w:tc>
          <w:tcPr>
            <w:tcW w:w="5665" w:type="dxa"/>
          </w:tcPr>
          <w:p w14:paraId="72DF8E5F" w14:textId="77777777" w:rsidR="00747CF0" w:rsidRPr="009C787F" w:rsidRDefault="00747CF0" w:rsidP="00371188">
            <w:pPr>
              <w:rPr>
                <w:b/>
              </w:rPr>
            </w:pPr>
            <w:r w:rsidRPr="009C787F">
              <w:rPr>
                <w:b/>
              </w:rPr>
              <w:t xml:space="preserve">Highest level of education </w:t>
            </w:r>
          </w:p>
        </w:tc>
        <w:tc>
          <w:tcPr>
            <w:tcW w:w="2127" w:type="dxa"/>
          </w:tcPr>
          <w:p w14:paraId="0565D1F8" w14:textId="77777777" w:rsidR="00747CF0" w:rsidRPr="009C787F" w:rsidRDefault="00747CF0" w:rsidP="00371188">
            <w:pPr>
              <w:jc w:val="center"/>
              <w:rPr>
                <w:b/>
              </w:rPr>
            </w:pPr>
            <w:r w:rsidRPr="009C787F">
              <w:rPr>
                <w:b/>
              </w:rPr>
              <w:t>N</w:t>
            </w:r>
            <w:r>
              <w:rPr>
                <w:b/>
              </w:rPr>
              <w:t>umber</w:t>
            </w:r>
          </w:p>
        </w:tc>
        <w:tc>
          <w:tcPr>
            <w:tcW w:w="1944" w:type="dxa"/>
          </w:tcPr>
          <w:p w14:paraId="2E34C986" w14:textId="77777777" w:rsidR="00747CF0" w:rsidRPr="009C787F" w:rsidRDefault="00747CF0" w:rsidP="00371188">
            <w:pPr>
              <w:jc w:val="center"/>
              <w:rPr>
                <w:b/>
              </w:rPr>
            </w:pPr>
            <w:r w:rsidRPr="009C787F">
              <w:rPr>
                <w:b/>
              </w:rPr>
              <w:t>Percentage</w:t>
            </w:r>
          </w:p>
        </w:tc>
      </w:tr>
      <w:tr w:rsidR="00747CF0" w14:paraId="34A30D7B" w14:textId="77777777" w:rsidTr="00371188">
        <w:tc>
          <w:tcPr>
            <w:tcW w:w="5665" w:type="dxa"/>
          </w:tcPr>
          <w:p w14:paraId="0BE9990A" w14:textId="77777777" w:rsidR="00747CF0" w:rsidRDefault="00747CF0" w:rsidP="00371188">
            <w:r>
              <w:t xml:space="preserve">Postgraduate Degree </w:t>
            </w:r>
          </w:p>
        </w:tc>
        <w:tc>
          <w:tcPr>
            <w:tcW w:w="2127" w:type="dxa"/>
          </w:tcPr>
          <w:p w14:paraId="1BA0DD9E" w14:textId="77777777" w:rsidR="00747CF0" w:rsidRDefault="00747CF0" w:rsidP="00371188">
            <w:pPr>
              <w:jc w:val="center"/>
            </w:pPr>
            <w:r>
              <w:t>0</w:t>
            </w:r>
          </w:p>
        </w:tc>
        <w:tc>
          <w:tcPr>
            <w:tcW w:w="1944" w:type="dxa"/>
          </w:tcPr>
          <w:p w14:paraId="0562A6BB" w14:textId="77777777" w:rsidR="00747CF0" w:rsidRDefault="00747CF0" w:rsidP="00371188">
            <w:pPr>
              <w:jc w:val="center"/>
            </w:pPr>
            <w:r>
              <w:t>0</w:t>
            </w:r>
          </w:p>
        </w:tc>
      </w:tr>
      <w:tr w:rsidR="00747CF0" w14:paraId="43F27F20" w14:textId="77777777" w:rsidTr="00371188">
        <w:tc>
          <w:tcPr>
            <w:tcW w:w="5665" w:type="dxa"/>
          </w:tcPr>
          <w:p w14:paraId="6E48EE57" w14:textId="77777777" w:rsidR="00747CF0" w:rsidRDefault="00747CF0" w:rsidP="00371188">
            <w:r>
              <w:t>Graduate Diploma</w:t>
            </w:r>
          </w:p>
        </w:tc>
        <w:tc>
          <w:tcPr>
            <w:tcW w:w="2127" w:type="dxa"/>
          </w:tcPr>
          <w:p w14:paraId="7EEC6475" w14:textId="77777777" w:rsidR="00747CF0" w:rsidRDefault="00747CF0" w:rsidP="00371188">
            <w:pPr>
              <w:jc w:val="center"/>
            </w:pPr>
            <w:r>
              <w:t>1</w:t>
            </w:r>
          </w:p>
        </w:tc>
        <w:tc>
          <w:tcPr>
            <w:tcW w:w="1944" w:type="dxa"/>
          </w:tcPr>
          <w:p w14:paraId="4DD6C939" w14:textId="3A61DA05" w:rsidR="00747CF0" w:rsidRDefault="00282523" w:rsidP="00371188">
            <w:pPr>
              <w:jc w:val="center"/>
            </w:pPr>
            <w:r>
              <w:t>1</w:t>
            </w:r>
            <w:r w:rsidR="00747CF0">
              <w:t>%</w:t>
            </w:r>
          </w:p>
        </w:tc>
      </w:tr>
      <w:tr w:rsidR="00747CF0" w14:paraId="2E261844" w14:textId="77777777" w:rsidTr="00371188">
        <w:tc>
          <w:tcPr>
            <w:tcW w:w="5665" w:type="dxa"/>
          </w:tcPr>
          <w:p w14:paraId="4903CC49" w14:textId="77777777" w:rsidR="00747CF0" w:rsidRDefault="00747CF0" w:rsidP="00371188">
            <w:r>
              <w:t xml:space="preserve">Graduate Certificate </w:t>
            </w:r>
          </w:p>
        </w:tc>
        <w:tc>
          <w:tcPr>
            <w:tcW w:w="2127" w:type="dxa"/>
          </w:tcPr>
          <w:p w14:paraId="31C0E84F" w14:textId="77777777" w:rsidR="00747CF0" w:rsidRDefault="00747CF0" w:rsidP="00371188">
            <w:pPr>
              <w:jc w:val="center"/>
            </w:pPr>
            <w:r>
              <w:t>1</w:t>
            </w:r>
          </w:p>
        </w:tc>
        <w:tc>
          <w:tcPr>
            <w:tcW w:w="1944" w:type="dxa"/>
          </w:tcPr>
          <w:p w14:paraId="509CE5BB" w14:textId="2AEC87BC" w:rsidR="00747CF0" w:rsidRDefault="00282523" w:rsidP="00371188">
            <w:pPr>
              <w:jc w:val="center"/>
            </w:pPr>
            <w:r>
              <w:t>1</w:t>
            </w:r>
            <w:r w:rsidR="00747CF0">
              <w:t>%</w:t>
            </w:r>
          </w:p>
        </w:tc>
      </w:tr>
      <w:tr w:rsidR="00747CF0" w14:paraId="40BBCB3F" w14:textId="77777777" w:rsidTr="00371188">
        <w:tc>
          <w:tcPr>
            <w:tcW w:w="5665" w:type="dxa"/>
          </w:tcPr>
          <w:p w14:paraId="067DC0AC" w14:textId="77777777" w:rsidR="00747CF0" w:rsidRDefault="00747CF0" w:rsidP="00371188">
            <w:r>
              <w:t>Bachelor Degree</w:t>
            </w:r>
          </w:p>
        </w:tc>
        <w:tc>
          <w:tcPr>
            <w:tcW w:w="2127" w:type="dxa"/>
          </w:tcPr>
          <w:p w14:paraId="21554367" w14:textId="29E35C79" w:rsidR="00747CF0" w:rsidRDefault="00282523" w:rsidP="00371188">
            <w:pPr>
              <w:jc w:val="center"/>
            </w:pPr>
            <w:r>
              <w:t>5</w:t>
            </w:r>
          </w:p>
        </w:tc>
        <w:tc>
          <w:tcPr>
            <w:tcW w:w="1944" w:type="dxa"/>
          </w:tcPr>
          <w:p w14:paraId="5F0793BE" w14:textId="1BABA3FC" w:rsidR="00747CF0" w:rsidRDefault="00282523" w:rsidP="00371188">
            <w:pPr>
              <w:jc w:val="center"/>
            </w:pPr>
            <w:r>
              <w:t>5.1</w:t>
            </w:r>
            <w:r w:rsidR="00747CF0">
              <w:t>%</w:t>
            </w:r>
          </w:p>
        </w:tc>
      </w:tr>
      <w:tr w:rsidR="00747CF0" w14:paraId="65450499" w14:textId="77777777" w:rsidTr="00371188">
        <w:tc>
          <w:tcPr>
            <w:tcW w:w="5665" w:type="dxa"/>
          </w:tcPr>
          <w:p w14:paraId="7F7106F3" w14:textId="77777777" w:rsidR="00747CF0" w:rsidRDefault="00747CF0" w:rsidP="00371188">
            <w:r>
              <w:t xml:space="preserve">Advanced Diploma and Diploma </w:t>
            </w:r>
          </w:p>
        </w:tc>
        <w:tc>
          <w:tcPr>
            <w:tcW w:w="2127" w:type="dxa"/>
          </w:tcPr>
          <w:p w14:paraId="2E249B07" w14:textId="77777777" w:rsidR="00747CF0" w:rsidRDefault="00747CF0" w:rsidP="00371188">
            <w:pPr>
              <w:jc w:val="center"/>
            </w:pPr>
            <w:r>
              <w:t>0</w:t>
            </w:r>
          </w:p>
        </w:tc>
        <w:tc>
          <w:tcPr>
            <w:tcW w:w="1944" w:type="dxa"/>
          </w:tcPr>
          <w:p w14:paraId="4D5C3408" w14:textId="77777777" w:rsidR="00747CF0" w:rsidRDefault="00747CF0" w:rsidP="00371188">
            <w:pPr>
              <w:jc w:val="center"/>
            </w:pPr>
            <w:r>
              <w:t>0</w:t>
            </w:r>
          </w:p>
        </w:tc>
      </w:tr>
      <w:tr w:rsidR="00747CF0" w14:paraId="4658A46A" w14:textId="77777777" w:rsidTr="00371188">
        <w:tc>
          <w:tcPr>
            <w:tcW w:w="5665" w:type="dxa"/>
          </w:tcPr>
          <w:p w14:paraId="23CE5ECA" w14:textId="77777777" w:rsidR="00747CF0" w:rsidRDefault="00747CF0" w:rsidP="00371188">
            <w:r>
              <w:t>Certificate III / IV</w:t>
            </w:r>
          </w:p>
        </w:tc>
        <w:tc>
          <w:tcPr>
            <w:tcW w:w="2127" w:type="dxa"/>
          </w:tcPr>
          <w:p w14:paraId="3F1732DD" w14:textId="712C2E22" w:rsidR="00747CF0" w:rsidRDefault="00282523" w:rsidP="00371188">
            <w:pPr>
              <w:jc w:val="center"/>
            </w:pPr>
            <w:r>
              <w:t>6</w:t>
            </w:r>
          </w:p>
        </w:tc>
        <w:tc>
          <w:tcPr>
            <w:tcW w:w="1944" w:type="dxa"/>
          </w:tcPr>
          <w:p w14:paraId="78072D10" w14:textId="0AD5EEF2" w:rsidR="00747CF0" w:rsidRDefault="00282523" w:rsidP="00371188">
            <w:pPr>
              <w:jc w:val="center"/>
            </w:pPr>
            <w:r>
              <w:t>6.1</w:t>
            </w:r>
            <w:r w:rsidR="00747CF0">
              <w:t>%</w:t>
            </w:r>
          </w:p>
        </w:tc>
      </w:tr>
      <w:tr w:rsidR="00747CF0" w14:paraId="551834F8" w14:textId="77777777" w:rsidTr="00371188">
        <w:tc>
          <w:tcPr>
            <w:tcW w:w="5665" w:type="dxa"/>
          </w:tcPr>
          <w:p w14:paraId="51A85C09" w14:textId="77777777" w:rsidR="00747CF0" w:rsidRDefault="00747CF0" w:rsidP="00371188">
            <w:r>
              <w:t>Year 12</w:t>
            </w:r>
          </w:p>
        </w:tc>
        <w:tc>
          <w:tcPr>
            <w:tcW w:w="2127" w:type="dxa"/>
          </w:tcPr>
          <w:p w14:paraId="42DFA3D4" w14:textId="68C333BF" w:rsidR="00747CF0" w:rsidRDefault="00282523" w:rsidP="00371188">
            <w:pPr>
              <w:jc w:val="center"/>
            </w:pPr>
            <w:r>
              <w:t>45</w:t>
            </w:r>
          </w:p>
        </w:tc>
        <w:tc>
          <w:tcPr>
            <w:tcW w:w="1944" w:type="dxa"/>
          </w:tcPr>
          <w:p w14:paraId="189CDEB3" w14:textId="470C322E" w:rsidR="00747CF0" w:rsidRDefault="00282523" w:rsidP="00371188">
            <w:pPr>
              <w:jc w:val="center"/>
            </w:pPr>
            <w:r>
              <w:t>45.9</w:t>
            </w:r>
            <w:r w:rsidR="00747CF0">
              <w:t>%</w:t>
            </w:r>
          </w:p>
        </w:tc>
      </w:tr>
      <w:tr w:rsidR="00747CF0" w14:paraId="28979BB6" w14:textId="77777777" w:rsidTr="00371188">
        <w:tc>
          <w:tcPr>
            <w:tcW w:w="5665" w:type="dxa"/>
          </w:tcPr>
          <w:p w14:paraId="1CB4F3EC" w14:textId="77777777" w:rsidR="00747CF0" w:rsidRDefault="00747CF0" w:rsidP="00371188">
            <w:r>
              <w:t>Year 11</w:t>
            </w:r>
          </w:p>
        </w:tc>
        <w:tc>
          <w:tcPr>
            <w:tcW w:w="2127" w:type="dxa"/>
          </w:tcPr>
          <w:p w14:paraId="64FE78CD" w14:textId="0F1CFF2E" w:rsidR="00747CF0" w:rsidRDefault="00282523" w:rsidP="00371188">
            <w:pPr>
              <w:jc w:val="center"/>
            </w:pPr>
            <w:r>
              <w:t>12</w:t>
            </w:r>
          </w:p>
        </w:tc>
        <w:tc>
          <w:tcPr>
            <w:tcW w:w="1944" w:type="dxa"/>
          </w:tcPr>
          <w:p w14:paraId="116D4909" w14:textId="753BEF32" w:rsidR="00747CF0" w:rsidRDefault="00282523" w:rsidP="00371188">
            <w:pPr>
              <w:jc w:val="center"/>
            </w:pPr>
            <w:r>
              <w:t>12.2</w:t>
            </w:r>
            <w:r w:rsidR="00747CF0">
              <w:t>%</w:t>
            </w:r>
          </w:p>
        </w:tc>
      </w:tr>
      <w:tr w:rsidR="00747CF0" w14:paraId="30A608B6" w14:textId="77777777" w:rsidTr="00371188">
        <w:tc>
          <w:tcPr>
            <w:tcW w:w="5665" w:type="dxa"/>
          </w:tcPr>
          <w:p w14:paraId="5B3D6CDB" w14:textId="77777777" w:rsidR="00747CF0" w:rsidRDefault="00747CF0" w:rsidP="00371188">
            <w:r>
              <w:t>Year 10</w:t>
            </w:r>
          </w:p>
        </w:tc>
        <w:tc>
          <w:tcPr>
            <w:tcW w:w="2127" w:type="dxa"/>
          </w:tcPr>
          <w:p w14:paraId="5E86024C" w14:textId="635BB47E" w:rsidR="00747CF0" w:rsidRDefault="00282523" w:rsidP="00371188">
            <w:pPr>
              <w:jc w:val="center"/>
            </w:pPr>
            <w:r>
              <w:t>9</w:t>
            </w:r>
          </w:p>
        </w:tc>
        <w:tc>
          <w:tcPr>
            <w:tcW w:w="1944" w:type="dxa"/>
          </w:tcPr>
          <w:p w14:paraId="5612F74C" w14:textId="12D8999E" w:rsidR="00747CF0" w:rsidRDefault="00413471" w:rsidP="00371188">
            <w:pPr>
              <w:jc w:val="center"/>
            </w:pPr>
            <w:r>
              <w:t>9.1</w:t>
            </w:r>
            <w:r w:rsidR="00747CF0">
              <w:t>%</w:t>
            </w:r>
          </w:p>
        </w:tc>
      </w:tr>
      <w:tr w:rsidR="00747CF0" w14:paraId="4D06B866" w14:textId="77777777" w:rsidTr="00371188">
        <w:tc>
          <w:tcPr>
            <w:tcW w:w="5665" w:type="dxa"/>
          </w:tcPr>
          <w:p w14:paraId="6CA8E962" w14:textId="77777777" w:rsidR="00747CF0" w:rsidRDefault="00747CF0" w:rsidP="00371188">
            <w:r>
              <w:t xml:space="preserve">Year 9 or below </w:t>
            </w:r>
          </w:p>
        </w:tc>
        <w:tc>
          <w:tcPr>
            <w:tcW w:w="2127" w:type="dxa"/>
          </w:tcPr>
          <w:p w14:paraId="270E4871" w14:textId="308DA1F9" w:rsidR="00747CF0" w:rsidRDefault="00282523" w:rsidP="00371188">
            <w:pPr>
              <w:jc w:val="center"/>
            </w:pPr>
            <w:r>
              <w:t>23</w:t>
            </w:r>
          </w:p>
        </w:tc>
        <w:tc>
          <w:tcPr>
            <w:tcW w:w="1944" w:type="dxa"/>
          </w:tcPr>
          <w:p w14:paraId="69FDE9FF" w14:textId="3A5F7BE6" w:rsidR="00747CF0" w:rsidRDefault="00413471" w:rsidP="00371188">
            <w:pPr>
              <w:jc w:val="center"/>
            </w:pPr>
            <w:r>
              <w:t>23.4</w:t>
            </w:r>
            <w:r w:rsidR="00747CF0">
              <w:t>%</w:t>
            </w:r>
          </w:p>
        </w:tc>
      </w:tr>
    </w:tbl>
    <w:p w14:paraId="15DCF5F4" w14:textId="77777777" w:rsidR="00266FEC" w:rsidRDefault="00266FEC"/>
    <w:sectPr w:rsidR="00266FEC" w:rsidSect="00A3312C">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CBF1" w14:textId="77777777" w:rsidR="00F477CC" w:rsidRDefault="00F477CC" w:rsidP="005F356E">
      <w:pPr>
        <w:spacing w:before="0" w:after="0" w:line="240" w:lineRule="auto"/>
      </w:pPr>
      <w:r>
        <w:separator/>
      </w:r>
    </w:p>
  </w:endnote>
  <w:endnote w:type="continuationSeparator" w:id="0">
    <w:p w14:paraId="169F998E" w14:textId="77777777" w:rsidR="00F477CC" w:rsidRDefault="00F477CC" w:rsidP="005F35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7F44" w14:textId="77777777" w:rsidR="00F477CC" w:rsidRDefault="00F477CC" w:rsidP="0013276E">
    <w:pPr>
      <w:pStyle w:val="Footer"/>
      <w:pBdr>
        <w:top w:val="single" w:sz="18" w:space="1" w:color="538135" w:themeColor="accent6" w:themeShade="BF"/>
      </w:pBdr>
    </w:pPr>
    <w:r>
      <w:t>CYDA submission to the Review of Senior Secondary Pathways</w:t>
    </w:r>
    <w:r>
      <w:tab/>
    </w:r>
    <w:r>
      <w:tab/>
    </w:r>
    <w:r>
      <w:fldChar w:fldCharType="begin"/>
    </w:r>
    <w:r>
      <w:instrText xml:space="preserve"> PAGE   \* MERGEFORMAT </w:instrText>
    </w:r>
    <w:r>
      <w:fldChar w:fldCharType="separate"/>
    </w:r>
    <w:r w:rsidR="00793F59">
      <w:rPr>
        <w:noProof/>
      </w:rPr>
      <w:t>19</w:t>
    </w:r>
    <w:r>
      <w:rPr>
        <w:noProof/>
      </w:rPr>
      <w:fldChar w:fldCharType="end"/>
    </w:r>
  </w:p>
  <w:p w14:paraId="0DFE1D70" w14:textId="77777777" w:rsidR="00F477CC" w:rsidRDefault="00F477CC" w:rsidP="0013276E">
    <w:pPr>
      <w:pStyle w:val="Footer"/>
      <w:pBdr>
        <w:top w:val="single" w:sz="18" w:space="1" w:color="538135" w:themeColor="accent6" w:themeShade="BF"/>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26729" w14:textId="4536B4D4" w:rsidR="00F477CC" w:rsidRDefault="00F477CC">
    <w:pPr>
      <w:pStyle w:val="Footer"/>
    </w:pPr>
    <w:r w:rsidRPr="006D5539">
      <w:rPr>
        <w:noProof/>
        <w:lang w:eastAsia="en-AU"/>
      </w:rPr>
      <w:drawing>
        <wp:anchor distT="0" distB="0" distL="114300" distR="114300" simplePos="0" relativeHeight="251661312" behindDoc="1" locked="0" layoutInCell="1" allowOverlap="1" wp14:anchorId="5F369C3E" wp14:editId="1169ADA1">
          <wp:simplePos x="0" y="0"/>
          <wp:positionH relativeFrom="margin">
            <wp:posOffset>4137660</wp:posOffset>
          </wp:positionH>
          <wp:positionV relativeFrom="paragraph">
            <wp:posOffset>-579120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D2BD" w14:textId="01AB1AEA" w:rsidR="00F477CC" w:rsidRDefault="00F477CC">
    <w:pPr>
      <w:pStyle w:val="Footer"/>
      <w:jc w:val="right"/>
    </w:pPr>
    <w:r w:rsidRPr="006D5539">
      <w:rPr>
        <w:noProof/>
        <w:lang w:eastAsia="en-AU"/>
      </w:rPr>
      <w:drawing>
        <wp:anchor distT="0" distB="0" distL="114300" distR="114300" simplePos="0" relativeHeight="251663360" behindDoc="1" locked="0" layoutInCell="1" allowOverlap="1" wp14:anchorId="481E8B39" wp14:editId="56798B64">
          <wp:simplePos x="0" y="0"/>
          <wp:positionH relativeFrom="margin">
            <wp:posOffset>4023360</wp:posOffset>
          </wp:positionH>
          <wp:positionV relativeFrom="paragraph">
            <wp:posOffset>-624840</wp:posOffset>
          </wp:positionV>
          <wp:extent cx="2186940" cy="689610"/>
          <wp:effectExtent l="0" t="0" r="3810" b="0"/>
          <wp:wrapTight wrapText="bothSides">
            <wp:wrapPolygon edited="0">
              <wp:start x="0" y="0"/>
              <wp:lineTo x="0" y="20884"/>
              <wp:lineTo x="21449" y="20884"/>
              <wp:lineTo x="21449" y="0"/>
              <wp:lineTo x="0" y="0"/>
            </wp:wrapPolygon>
          </wp:wrapTight>
          <wp:docPr id="8" name="Picture 8"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36931570"/>
        <w:docPartObj>
          <w:docPartGallery w:val="Page Numbers (Bottom of Page)"/>
          <w:docPartUnique/>
        </w:docPartObj>
      </w:sdtPr>
      <w:sdtEndPr>
        <w:rPr>
          <w:noProof/>
        </w:rPr>
      </w:sdtEnd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26375"/>
      <w:docPartObj>
        <w:docPartGallery w:val="Page Numbers (Bottom of Page)"/>
        <w:docPartUnique/>
      </w:docPartObj>
    </w:sdtPr>
    <w:sdtEndPr>
      <w:rPr>
        <w:noProof/>
      </w:rPr>
    </w:sdtEndPr>
    <w:sdtContent>
      <w:p w14:paraId="0A8620D4" w14:textId="77777777" w:rsidR="00F477CC" w:rsidRDefault="00F477CC" w:rsidP="0038714B">
        <w:pPr>
          <w:pStyle w:val="Footer"/>
          <w:pBdr>
            <w:top w:val="single" w:sz="18" w:space="1" w:color="538135" w:themeColor="accent6" w:themeShade="BF"/>
          </w:pBdr>
          <w:spacing w:before="240"/>
          <w:jc w:val="right"/>
        </w:pPr>
        <w:r>
          <w:fldChar w:fldCharType="begin"/>
        </w:r>
        <w:r>
          <w:instrText xml:space="preserve"> PAGE   \* MERGEFORMAT </w:instrText>
        </w:r>
        <w:r>
          <w:fldChar w:fldCharType="separate"/>
        </w:r>
        <w:r w:rsidR="00793F59">
          <w:rPr>
            <w:noProof/>
          </w:rPr>
          <w:t>20</w:t>
        </w:r>
        <w:r>
          <w:rPr>
            <w:noProof/>
          </w:rPr>
          <w:fldChar w:fldCharType="end"/>
        </w:r>
      </w:p>
    </w:sdtContent>
  </w:sdt>
  <w:p w14:paraId="38AE2A5A" w14:textId="0C9B86B4" w:rsidR="00F477CC" w:rsidRDefault="00F477CC" w:rsidP="0013276E">
    <w:pPr>
      <w:pStyle w:val="Footer"/>
    </w:pPr>
    <w:r>
      <w:t>CYDA submission to the Review of Senior Secondary Pathways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ED6DB" w14:textId="77777777" w:rsidR="00F477CC" w:rsidRDefault="00F477CC" w:rsidP="005F356E">
      <w:pPr>
        <w:spacing w:before="0" w:after="0" w:line="240" w:lineRule="auto"/>
      </w:pPr>
      <w:r>
        <w:separator/>
      </w:r>
    </w:p>
  </w:footnote>
  <w:footnote w:type="continuationSeparator" w:id="0">
    <w:p w14:paraId="060EEEEB" w14:textId="77777777" w:rsidR="00F477CC" w:rsidRDefault="00F477CC" w:rsidP="005F356E">
      <w:pPr>
        <w:spacing w:before="0" w:after="0" w:line="240" w:lineRule="auto"/>
      </w:pPr>
      <w:r>
        <w:continuationSeparator/>
      </w:r>
    </w:p>
  </w:footnote>
  <w:footnote w:id="1">
    <w:p w14:paraId="1D70099D" w14:textId="30E52427" w:rsidR="00F477CC" w:rsidRDefault="00F477CC">
      <w:pPr>
        <w:pStyle w:val="FootnoteText"/>
      </w:pPr>
      <w:r>
        <w:rPr>
          <w:rStyle w:val="FootnoteReference"/>
        </w:rPr>
        <w:footnoteRef/>
      </w:r>
      <w:r>
        <w:t xml:space="preserve"> </w:t>
      </w:r>
      <w:r w:rsidRPr="00750440">
        <w:rPr>
          <w:sz w:val="16"/>
          <w:szCs w:val="16"/>
        </w:rPr>
        <w:t>See Cologon, K. (2019). Towards inclusive education: A necessary process of transformation, for CYDA</w:t>
      </w:r>
      <w:r>
        <w:rPr>
          <w:sz w:val="16"/>
          <w:szCs w:val="16"/>
        </w:rPr>
        <w:t xml:space="preserve"> </w:t>
      </w:r>
      <w:proofErr w:type="gramStart"/>
      <w:r>
        <w:rPr>
          <w:sz w:val="16"/>
          <w:szCs w:val="16"/>
        </w:rPr>
        <w:t xml:space="preserve">and </w:t>
      </w:r>
      <w:r w:rsidRPr="00750440">
        <w:rPr>
          <w:sz w:val="16"/>
          <w:szCs w:val="16"/>
        </w:rPr>
        <w:t xml:space="preserve"> Alana</w:t>
      </w:r>
      <w:proofErr w:type="gramEnd"/>
      <w:r w:rsidRPr="00750440">
        <w:rPr>
          <w:sz w:val="16"/>
          <w:szCs w:val="16"/>
        </w:rPr>
        <w:t xml:space="preserve"> Institute. (2017). A Summary of the Evidence on Inclusive Education. </w:t>
      </w:r>
      <w:hyperlink r:id="rId1" w:history="1">
        <w:r w:rsidRPr="00750440">
          <w:rPr>
            <w:color w:val="0000FF"/>
            <w:sz w:val="16"/>
            <w:szCs w:val="16"/>
            <w:u w:val="single"/>
          </w:rPr>
          <w:t>https://alana.org.br/wp-content/uploads/2016/12/A_Summary_of_the_evidence_on_inclusive_education.pdf</w:t>
        </w:r>
      </w:hyperlink>
    </w:p>
  </w:footnote>
  <w:footnote w:id="2">
    <w:p w14:paraId="6E2D947D" w14:textId="77777777" w:rsidR="00F477CC" w:rsidRPr="001E136E" w:rsidRDefault="00F477CC" w:rsidP="001A5C74">
      <w:pPr>
        <w:pStyle w:val="FootnoteText"/>
        <w:rPr>
          <w:sz w:val="16"/>
          <w:szCs w:val="16"/>
        </w:rPr>
      </w:pPr>
      <w:r w:rsidRPr="001E136E">
        <w:rPr>
          <w:rStyle w:val="FootnoteReference"/>
          <w:sz w:val="16"/>
          <w:szCs w:val="16"/>
        </w:rPr>
        <w:footnoteRef/>
      </w:r>
      <w:r w:rsidRPr="001E136E">
        <w:rPr>
          <w:sz w:val="16"/>
          <w:szCs w:val="16"/>
        </w:rPr>
        <w:t xml:space="preserve"> Australia Institute of Health and Welfare (2019). </w:t>
      </w:r>
      <w:hyperlink r:id="rId2" w:history="1">
        <w:r w:rsidRPr="001E136E">
          <w:rPr>
            <w:rStyle w:val="Hyperlink"/>
            <w:sz w:val="16"/>
            <w:szCs w:val="16"/>
          </w:rPr>
          <w:t>https://www.aihw.gov.au/reports/disability/people-with-disability-in-australia/education-and-skills</w:t>
        </w:r>
      </w:hyperlink>
    </w:p>
  </w:footnote>
  <w:footnote w:id="3">
    <w:p w14:paraId="65A6720C" w14:textId="77777777" w:rsidR="00F477CC" w:rsidRPr="001E136E" w:rsidRDefault="00F477CC" w:rsidP="001A5C74">
      <w:pPr>
        <w:pStyle w:val="FootnoteText"/>
        <w:rPr>
          <w:sz w:val="16"/>
          <w:szCs w:val="16"/>
        </w:rPr>
      </w:pPr>
      <w:r w:rsidRPr="001E136E">
        <w:rPr>
          <w:rStyle w:val="FootnoteReference"/>
          <w:sz w:val="16"/>
          <w:szCs w:val="16"/>
        </w:rPr>
        <w:footnoteRef/>
      </w:r>
      <w:r w:rsidRPr="001E136E">
        <w:rPr>
          <w:sz w:val="16"/>
          <w:szCs w:val="16"/>
        </w:rPr>
        <w:t xml:space="preserve"> Cologon, K. (2019). </w:t>
      </w:r>
      <w:r w:rsidRPr="001E136E">
        <w:rPr>
          <w:i/>
          <w:sz w:val="16"/>
          <w:szCs w:val="16"/>
        </w:rPr>
        <w:t>Towards inclusive education: A necessary process of transformation</w:t>
      </w:r>
      <w:r w:rsidRPr="001E136E">
        <w:rPr>
          <w:sz w:val="16"/>
          <w:szCs w:val="16"/>
        </w:rPr>
        <w:t>, for CYDA, p.5.</w:t>
      </w:r>
    </w:p>
  </w:footnote>
  <w:footnote w:id="4">
    <w:p w14:paraId="3D723344" w14:textId="77777777" w:rsidR="00F477CC" w:rsidRPr="001E136E" w:rsidRDefault="00F477CC" w:rsidP="001A5C74">
      <w:pPr>
        <w:pStyle w:val="FootnoteText"/>
        <w:rPr>
          <w:sz w:val="16"/>
          <w:szCs w:val="16"/>
        </w:rPr>
      </w:pPr>
      <w:r w:rsidRPr="001E136E">
        <w:rPr>
          <w:rStyle w:val="FootnoteReference"/>
          <w:sz w:val="16"/>
          <w:szCs w:val="16"/>
        </w:rPr>
        <w:footnoteRef/>
      </w:r>
      <w:r w:rsidRPr="001E136E">
        <w:rPr>
          <w:sz w:val="16"/>
          <w:szCs w:val="16"/>
        </w:rPr>
        <w:t xml:space="preserve"> Cologon (2019); Shaw, A. (2017). Inclusion: the role of special and mainstream schools. </w:t>
      </w:r>
      <w:r w:rsidRPr="001E136E">
        <w:rPr>
          <w:i/>
          <w:sz w:val="16"/>
          <w:szCs w:val="16"/>
        </w:rPr>
        <w:t>British Journal of Special Education</w:t>
      </w:r>
      <w:r w:rsidRPr="001E136E">
        <w:rPr>
          <w:sz w:val="16"/>
          <w:szCs w:val="16"/>
        </w:rPr>
        <w:t>, 44(3), 292-312.</w:t>
      </w:r>
    </w:p>
  </w:footnote>
  <w:footnote w:id="5">
    <w:p w14:paraId="612589AC" w14:textId="77777777" w:rsidR="00F477CC" w:rsidRPr="001E136E" w:rsidRDefault="00F477CC" w:rsidP="001A5C74">
      <w:pPr>
        <w:pStyle w:val="FootnoteText"/>
        <w:rPr>
          <w:sz w:val="16"/>
          <w:szCs w:val="16"/>
        </w:rPr>
      </w:pPr>
      <w:r w:rsidRPr="001E136E">
        <w:rPr>
          <w:rStyle w:val="FootnoteReference"/>
          <w:sz w:val="16"/>
          <w:szCs w:val="16"/>
        </w:rPr>
        <w:footnoteRef/>
      </w:r>
      <w:r w:rsidRPr="001E136E">
        <w:rPr>
          <w:sz w:val="16"/>
          <w:szCs w:val="16"/>
        </w:rPr>
        <w:t xml:space="preserve"> United Nations Convention on the Rights of Persons with Disabilities, General comment No. 4 (2016) Article</w:t>
      </w:r>
    </w:p>
    <w:p w14:paraId="781F80BE" w14:textId="77777777" w:rsidR="00F477CC" w:rsidRPr="001E136E" w:rsidRDefault="00F477CC" w:rsidP="001A5C74">
      <w:pPr>
        <w:pStyle w:val="FootnoteText"/>
        <w:rPr>
          <w:sz w:val="16"/>
          <w:szCs w:val="16"/>
        </w:rPr>
      </w:pPr>
      <w:r w:rsidRPr="001E136E">
        <w:rPr>
          <w:sz w:val="16"/>
          <w:szCs w:val="16"/>
        </w:rPr>
        <w:t>24: Right to inclusive education</w:t>
      </w:r>
    </w:p>
  </w:footnote>
  <w:footnote w:id="6">
    <w:p w14:paraId="6B9B037D" w14:textId="77777777" w:rsidR="00F477CC" w:rsidRPr="001E136E" w:rsidRDefault="00F477CC" w:rsidP="00017775">
      <w:pPr>
        <w:pStyle w:val="FootnoteText"/>
        <w:rPr>
          <w:sz w:val="16"/>
          <w:szCs w:val="16"/>
        </w:rPr>
      </w:pPr>
      <w:r w:rsidRPr="001E136E">
        <w:rPr>
          <w:rStyle w:val="FootnoteReference"/>
          <w:sz w:val="16"/>
          <w:szCs w:val="16"/>
        </w:rPr>
        <w:footnoteRef/>
      </w:r>
      <w:r w:rsidRPr="001E136E">
        <w:rPr>
          <w:sz w:val="16"/>
          <w:szCs w:val="16"/>
        </w:rPr>
        <w:t xml:space="preserve"> Australia Institute of Health and Welfare (2019). </w:t>
      </w:r>
      <w:hyperlink r:id="rId3" w:history="1">
        <w:r w:rsidRPr="001E136E">
          <w:rPr>
            <w:rStyle w:val="Hyperlink"/>
            <w:sz w:val="16"/>
            <w:szCs w:val="16"/>
          </w:rPr>
          <w:t>https://www.aihw.gov.au/reports/disability/people-with-disability-in-australia/education-and-skills</w:t>
        </w:r>
      </w:hyperlink>
    </w:p>
  </w:footnote>
  <w:footnote w:id="7">
    <w:p w14:paraId="34E1C607" w14:textId="77777777" w:rsidR="00F477CC" w:rsidRPr="001D349F" w:rsidRDefault="00F477CC" w:rsidP="00112909">
      <w:pPr>
        <w:pStyle w:val="FootnoteText"/>
        <w:rPr>
          <w:sz w:val="16"/>
          <w:szCs w:val="16"/>
        </w:rPr>
      </w:pPr>
      <w:r w:rsidRPr="001E136E">
        <w:rPr>
          <w:rStyle w:val="FootnoteReference"/>
          <w:sz w:val="16"/>
          <w:szCs w:val="16"/>
        </w:rPr>
        <w:footnoteRef/>
      </w:r>
      <w:r w:rsidRPr="001E136E">
        <w:rPr>
          <w:sz w:val="16"/>
          <w:szCs w:val="16"/>
        </w:rPr>
        <w:t xml:space="preserve"> Victoria Department of Education. (2019). Summary Statistics Victorian Schools July 2019. </w:t>
      </w:r>
      <w:hyperlink r:id="rId4" w:history="1">
        <w:r w:rsidRPr="001E136E">
          <w:rPr>
            <w:rStyle w:val="Hyperlink"/>
            <w:sz w:val="16"/>
            <w:szCs w:val="16"/>
          </w:rPr>
          <w:t>https://www.education.vic.gov.au/about/department/Pages/factsandfigures.aspx</w:t>
        </w:r>
      </w:hyperlink>
      <w:r w:rsidRPr="001D349F">
        <w:rPr>
          <w:sz w:val="16"/>
          <w:szCs w:val="16"/>
        </w:rPr>
        <w:t xml:space="preserve"> </w:t>
      </w:r>
    </w:p>
  </w:footnote>
  <w:footnote w:id="8">
    <w:p w14:paraId="5476B882" w14:textId="77777777" w:rsidR="00F477CC" w:rsidRPr="001E136E" w:rsidRDefault="00F477CC" w:rsidP="001A5C74">
      <w:pPr>
        <w:pStyle w:val="FootnoteText"/>
        <w:rPr>
          <w:sz w:val="16"/>
          <w:szCs w:val="16"/>
        </w:rPr>
      </w:pPr>
      <w:r w:rsidRPr="001E136E">
        <w:rPr>
          <w:rStyle w:val="FootnoteReference"/>
          <w:sz w:val="16"/>
          <w:szCs w:val="16"/>
        </w:rPr>
        <w:footnoteRef/>
      </w:r>
      <w:r w:rsidRPr="001E136E">
        <w:rPr>
          <w:sz w:val="16"/>
          <w:szCs w:val="16"/>
        </w:rPr>
        <w:t xml:space="preserve"> CYDA. Time </w:t>
      </w:r>
      <w:r w:rsidRPr="001E136E">
        <w:rPr>
          <w:i/>
          <w:sz w:val="16"/>
          <w:szCs w:val="16"/>
        </w:rPr>
        <w:t>for change: The state of play for inclusion of students with disability</w:t>
      </w:r>
      <w:r w:rsidRPr="001E136E">
        <w:rPr>
          <w:sz w:val="16"/>
          <w:szCs w:val="16"/>
        </w:rPr>
        <w:t xml:space="preserve">. Results from the 2019 CYDA National Education Survey. </w:t>
      </w:r>
      <w:hyperlink r:id="rId5" w:history="1">
        <w:r w:rsidRPr="001E136E">
          <w:rPr>
            <w:rStyle w:val="Hyperlink"/>
            <w:sz w:val="16"/>
            <w:szCs w:val="16"/>
          </w:rPr>
          <w:t>https://www.cyda.org.au/education_issues</w:t>
        </w:r>
      </w:hyperlink>
      <w:r w:rsidRPr="001E136E">
        <w:rPr>
          <w:sz w:val="16"/>
          <w:szCs w:val="16"/>
        </w:rPr>
        <w:t xml:space="preserve">  </w:t>
      </w:r>
    </w:p>
  </w:footnote>
  <w:footnote w:id="9">
    <w:p w14:paraId="69913561" w14:textId="77777777" w:rsidR="00F477CC" w:rsidRDefault="00F477CC" w:rsidP="00A91667">
      <w:pPr>
        <w:pStyle w:val="FootnoteText"/>
      </w:pPr>
      <w:r w:rsidRPr="001E136E">
        <w:rPr>
          <w:rStyle w:val="FootnoteReference"/>
          <w:sz w:val="16"/>
          <w:szCs w:val="16"/>
        </w:rPr>
        <w:footnoteRef/>
      </w:r>
      <w:r w:rsidRPr="001E136E">
        <w:rPr>
          <w:sz w:val="16"/>
          <w:szCs w:val="16"/>
        </w:rPr>
        <w:t xml:space="preserve"> The University of Melbourne. (2019). Those who disappear: The Australian education problem nobody wants to talk about </w:t>
      </w:r>
      <w:hyperlink r:id="rId6" w:history="1">
        <w:r w:rsidRPr="001E136E">
          <w:rPr>
            <w:rStyle w:val="Hyperlink"/>
            <w:sz w:val="16"/>
            <w:szCs w:val="16"/>
          </w:rPr>
          <w:t>https://education.unimelb.edu.au/mgse-industry-reports/report-1-those-who-disappear</w:t>
        </w:r>
      </w:hyperlink>
      <w:r>
        <w:t xml:space="preserve"> </w:t>
      </w:r>
    </w:p>
  </w:footnote>
  <w:footnote w:id="10">
    <w:p w14:paraId="57CD4CBF" w14:textId="3A3C1430" w:rsidR="00F477CC" w:rsidRPr="00146EF6" w:rsidRDefault="00F477CC" w:rsidP="00146EF6">
      <w:pPr>
        <w:pStyle w:val="FootnoteText"/>
        <w:rPr>
          <w:lang w:val="en-US"/>
        </w:rPr>
      </w:pPr>
      <w:r>
        <w:rPr>
          <w:rStyle w:val="FootnoteReference"/>
        </w:rPr>
        <w:footnoteRef/>
      </w:r>
      <w:r>
        <w:t xml:space="preserve"> </w:t>
      </w:r>
      <w:r w:rsidRPr="00146EF6">
        <w:rPr>
          <w:sz w:val="16"/>
          <w:szCs w:val="16"/>
          <w:lang w:val="en-US"/>
        </w:rPr>
        <w:t xml:space="preserve">CYDA (2019) Education of children and young people with disability Submission No 1., Submission to the Royal Commission into Violence, Abuse, Neglect and Exploitation of People with Disability </w:t>
      </w:r>
      <w:hyperlink r:id="rId7" w:history="1">
        <w:r w:rsidRPr="00474802">
          <w:rPr>
            <w:rStyle w:val="Hyperlink"/>
            <w:sz w:val="16"/>
            <w:szCs w:val="16"/>
            <w:lang w:val="en-US"/>
          </w:rPr>
          <w:t>https://www.cyda.org.au/cdasubmissions</w:t>
        </w:r>
      </w:hyperlink>
      <w:r>
        <w:rPr>
          <w:sz w:val="16"/>
          <w:szCs w:val="16"/>
          <w:lang w:val="en-US"/>
        </w:rPr>
        <w:t xml:space="preserve"> </w:t>
      </w:r>
    </w:p>
  </w:footnote>
  <w:footnote w:id="11">
    <w:p w14:paraId="02B9C87F" w14:textId="77777777" w:rsidR="00F477CC" w:rsidRPr="001E136E" w:rsidRDefault="00F477CC" w:rsidP="00017775">
      <w:pPr>
        <w:pStyle w:val="FootnoteText"/>
        <w:rPr>
          <w:sz w:val="16"/>
          <w:szCs w:val="16"/>
        </w:rPr>
      </w:pPr>
      <w:r w:rsidRPr="001E136E">
        <w:rPr>
          <w:rStyle w:val="FootnoteReference"/>
          <w:sz w:val="16"/>
          <w:szCs w:val="16"/>
        </w:rPr>
        <w:footnoteRef/>
      </w:r>
      <w:r w:rsidRPr="001E136E">
        <w:rPr>
          <w:sz w:val="16"/>
          <w:szCs w:val="16"/>
        </w:rPr>
        <w:t xml:space="preserve"> Australian Government Department of Education. (2019). Alice Springs (</w:t>
      </w:r>
      <w:proofErr w:type="spellStart"/>
      <w:r w:rsidRPr="001E136E">
        <w:rPr>
          <w:sz w:val="16"/>
          <w:szCs w:val="16"/>
        </w:rPr>
        <w:t>Mparntwe</w:t>
      </w:r>
      <w:proofErr w:type="spellEnd"/>
      <w:r w:rsidRPr="001E136E">
        <w:rPr>
          <w:sz w:val="16"/>
          <w:szCs w:val="16"/>
        </w:rPr>
        <w:t xml:space="preserve">) Education Declaration December 2019. </w:t>
      </w:r>
      <w:hyperlink r:id="rId8" w:history="1">
        <w:r w:rsidRPr="001E136E">
          <w:rPr>
            <w:color w:val="0000FF"/>
            <w:sz w:val="16"/>
            <w:szCs w:val="16"/>
            <w:u w:val="single"/>
          </w:rPr>
          <w:t>https://docs-edu.govcms.gov.au/documents/alice-springs-mparntwe-education-declaration</w:t>
        </w:r>
      </w:hyperlink>
    </w:p>
  </w:footnote>
  <w:footnote w:id="12">
    <w:p w14:paraId="2C4D6616" w14:textId="77777777" w:rsidR="00F477CC" w:rsidRPr="001E136E" w:rsidRDefault="00F477CC" w:rsidP="00017775">
      <w:pPr>
        <w:pStyle w:val="FootnoteText"/>
        <w:rPr>
          <w:sz w:val="16"/>
          <w:szCs w:val="16"/>
        </w:rPr>
      </w:pPr>
      <w:r w:rsidRPr="001E136E">
        <w:rPr>
          <w:rStyle w:val="FootnoteReference"/>
          <w:sz w:val="16"/>
          <w:szCs w:val="16"/>
        </w:rPr>
        <w:footnoteRef/>
      </w:r>
      <w:r w:rsidRPr="001E136E">
        <w:rPr>
          <w:sz w:val="16"/>
          <w:szCs w:val="16"/>
        </w:rPr>
        <w:t xml:space="preserve"> Australia Coalition for Inclusive Education ACIE. (2019). Media Release: New national education policy ignores students with disability – again. </w:t>
      </w:r>
      <w:hyperlink r:id="rId9" w:history="1">
        <w:r w:rsidRPr="001E136E">
          <w:rPr>
            <w:color w:val="0000FF"/>
            <w:sz w:val="16"/>
            <w:szCs w:val="16"/>
            <w:u w:val="single"/>
          </w:rPr>
          <w:t>https://acie.org.au/2019/12/12/new-national-education-policy-ignores-students-with-disability-again/</w:t>
        </w:r>
      </w:hyperlink>
    </w:p>
  </w:footnote>
  <w:footnote w:id="13">
    <w:p w14:paraId="30522B71" w14:textId="77777777" w:rsidR="00F477CC" w:rsidRPr="0001430A" w:rsidRDefault="00F477CC">
      <w:pPr>
        <w:pStyle w:val="FootnoteText"/>
      </w:pPr>
      <w:r w:rsidRPr="001E136E">
        <w:rPr>
          <w:rStyle w:val="FootnoteReference"/>
          <w:sz w:val="16"/>
          <w:szCs w:val="16"/>
        </w:rPr>
        <w:footnoteRef/>
      </w:r>
      <w:r w:rsidRPr="001E136E">
        <w:rPr>
          <w:sz w:val="16"/>
          <w:szCs w:val="16"/>
        </w:rPr>
        <w:t xml:space="preserve"> National School Resourcing Board. (2019). </w:t>
      </w:r>
      <w:r w:rsidRPr="001E136E">
        <w:rPr>
          <w:i/>
          <w:sz w:val="16"/>
          <w:szCs w:val="16"/>
        </w:rPr>
        <w:t>Terms of reference: Review of the loading for students with disability</w:t>
      </w:r>
      <w:r w:rsidRPr="001E136E">
        <w:rPr>
          <w:sz w:val="16"/>
          <w:szCs w:val="16"/>
        </w:rPr>
        <w:t xml:space="preserve">. </w:t>
      </w:r>
      <w:hyperlink r:id="rId10" w:history="1">
        <w:r w:rsidRPr="001E136E">
          <w:rPr>
            <w:rStyle w:val="Hyperlink"/>
            <w:sz w:val="16"/>
            <w:szCs w:val="16"/>
          </w:rPr>
          <w:t>https://docs.education.gov.au/system/files/doc/other/swd-terms_of_reference-final-web.pdf</w:t>
        </w:r>
      </w:hyperlink>
      <w:r>
        <w:t xml:space="preserve"> </w:t>
      </w:r>
    </w:p>
  </w:footnote>
  <w:footnote w:id="14">
    <w:p w14:paraId="5B596989" w14:textId="77777777" w:rsidR="00F477CC" w:rsidRPr="001E136E" w:rsidRDefault="00F477CC">
      <w:pPr>
        <w:pStyle w:val="FootnoteText"/>
        <w:rPr>
          <w:sz w:val="16"/>
          <w:szCs w:val="16"/>
        </w:rPr>
      </w:pPr>
      <w:r w:rsidRPr="001E136E">
        <w:rPr>
          <w:rStyle w:val="FootnoteReference"/>
          <w:sz w:val="16"/>
          <w:szCs w:val="16"/>
        </w:rPr>
        <w:footnoteRef/>
      </w:r>
      <w:r w:rsidRPr="001E136E">
        <w:rPr>
          <w:sz w:val="16"/>
          <w:szCs w:val="16"/>
        </w:rPr>
        <w:t xml:space="preserve"> CYDA. (2015). </w:t>
      </w:r>
      <w:r w:rsidRPr="001E136E">
        <w:rPr>
          <w:i/>
          <w:sz w:val="16"/>
          <w:szCs w:val="16"/>
        </w:rPr>
        <w:t>Post School Transition: The Experiences of Students with Disability</w:t>
      </w:r>
      <w:r w:rsidRPr="001E136E">
        <w:rPr>
          <w:sz w:val="16"/>
          <w:szCs w:val="16"/>
        </w:rPr>
        <w:t>, p.6.</w:t>
      </w:r>
    </w:p>
  </w:footnote>
  <w:footnote w:id="15">
    <w:p w14:paraId="1032A4A8" w14:textId="77777777" w:rsidR="00F477CC" w:rsidRPr="001E136E" w:rsidRDefault="00F477CC" w:rsidP="00F511C3">
      <w:pPr>
        <w:pStyle w:val="FootnoteText"/>
        <w:rPr>
          <w:sz w:val="16"/>
          <w:szCs w:val="16"/>
        </w:rPr>
      </w:pPr>
      <w:r w:rsidRPr="001E136E">
        <w:rPr>
          <w:rStyle w:val="FootnoteReference"/>
          <w:sz w:val="16"/>
          <w:szCs w:val="16"/>
        </w:rPr>
        <w:footnoteRef/>
      </w:r>
      <w:r w:rsidRPr="001E136E">
        <w:rPr>
          <w:sz w:val="16"/>
          <w:szCs w:val="16"/>
        </w:rPr>
        <w:t xml:space="preserve"> CYDA. (2015). Post School Transition. The experiences of students with disability. </w:t>
      </w:r>
      <w:hyperlink r:id="rId11" w:history="1">
        <w:r w:rsidRPr="001E136E">
          <w:rPr>
            <w:rStyle w:val="Hyperlink"/>
            <w:sz w:val="16"/>
            <w:szCs w:val="16"/>
          </w:rPr>
          <w:t>https://www.cyda.org.au/cda-issue-papers</w:t>
        </w:r>
      </w:hyperlink>
      <w:r w:rsidRPr="001E136E">
        <w:rPr>
          <w:sz w:val="16"/>
          <w:szCs w:val="16"/>
        </w:rPr>
        <w:t xml:space="preserve"> </w:t>
      </w:r>
    </w:p>
  </w:footnote>
  <w:footnote w:id="16">
    <w:p w14:paraId="01E38C7D" w14:textId="77777777" w:rsidR="00F477CC" w:rsidRPr="001E136E" w:rsidRDefault="00F477CC" w:rsidP="000D768C">
      <w:pPr>
        <w:pStyle w:val="FootnoteText"/>
        <w:rPr>
          <w:sz w:val="16"/>
          <w:szCs w:val="16"/>
        </w:rPr>
      </w:pPr>
      <w:r w:rsidRPr="001E136E">
        <w:rPr>
          <w:rStyle w:val="FootnoteReference"/>
          <w:sz w:val="16"/>
          <w:szCs w:val="16"/>
        </w:rPr>
        <w:footnoteRef/>
      </w:r>
      <w:r w:rsidRPr="001E136E">
        <w:rPr>
          <w:sz w:val="16"/>
          <w:szCs w:val="16"/>
        </w:rPr>
        <w:t xml:space="preserve"> Young and Well Cooperative Research Centre. (2012). </w:t>
      </w:r>
      <w:r w:rsidRPr="001E136E">
        <w:rPr>
          <w:i/>
          <w:sz w:val="16"/>
          <w:szCs w:val="16"/>
        </w:rPr>
        <w:t xml:space="preserve">Participatory Design of evidence-based online youth mental health promotion, intervention and treatment. </w:t>
      </w:r>
      <w:r w:rsidRPr="001E136E">
        <w:rPr>
          <w:sz w:val="16"/>
          <w:szCs w:val="16"/>
        </w:rPr>
        <w:t>A Young and Well Cooperative Research Centre</w:t>
      </w:r>
    </w:p>
    <w:p w14:paraId="11914784" w14:textId="77777777" w:rsidR="00F477CC" w:rsidRPr="000D768C" w:rsidRDefault="00F477CC" w:rsidP="000D768C">
      <w:pPr>
        <w:pStyle w:val="FootnoteText"/>
      </w:pPr>
      <w:proofErr w:type="gramStart"/>
      <w:r w:rsidRPr="001E136E">
        <w:rPr>
          <w:sz w:val="16"/>
          <w:szCs w:val="16"/>
        </w:rPr>
        <w:t>innovative</w:t>
      </w:r>
      <w:proofErr w:type="gramEnd"/>
      <w:r w:rsidRPr="001E136E">
        <w:rPr>
          <w:sz w:val="16"/>
          <w:szCs w:val="16"/>
        </w:rPr>
        <w:t xml:space="preserve"> methodologies guide. </w:t>
      </w:r>
      <w:hyperlink r:id="rId12" w:history="1">
        <w:r w:rsidRPr="001E136E">
          <w:rPr>
            <w:rStyle w:val="Hyperlink"/>
            <w:sz w:val="16"/>
            <w:szCs w:val="16"/>
          </w:rPr>
          <w:t>https://www.westernsydney.edu.au/__data/assets/pdf_file/0005/476330/Young_and_Well_CRC_IM_PD_Guide.pdf</w:t>
        </w:r>
      </w:hyperlink>
      <w:r>
        <w:t xml:space="preserve"> </w:t>
      </w:r>
    </w:p>
  </w:footnote>
  <w:footnote w:id="17">
    <w:p w14:paraId="0D715DF6" w14:textId="77777777" w:rsidR="00F477CC" w:rsidRPr="001E136E" w:rsidRDefault="00F477CC">
      <w:pPr>
        <w:pStyle w:val="FootnoteText"/>
        <w:rPr>
          <w:sz w:val="16"/>
          <w:szCs w:val="16"/>
        </w:rPr>
      </w:pPr>
      <w:r w:rsidRPr="001E136E">
        <w:rPr>
          <w:rStyle w:val="FootnoteReference"/>
          <w:sz w:val="16"/>
          <w:szCs w:val="16"/>
        </w:rPr>
        <w:footnoteRef/>
      </w:r>
      <w:r w:rsidRPr="001E136E">
        <w:rPr>
          <w:sz w:val="16"/>
          <w:szCs w:val="16"/>
        </w:rPr>
        <w:t xml:space="preserve"> CYDA. (2015). </w:t>
      </w:r>
      <w:r w:rsidRPr="001E136E">
        <w:rPr>
          <w:i/>
          <w:sz w:val="16"/>
          <w:szCs w:val="16"/>
        </w:rPr>
        <w:t>Post School Transition. The experiences of students with disability</w:t>
      </w:r>
      <w:r w:rsidRPr="001E136E">
        <w:rPr>
          <w:sz w:val="16"/>
          <w:szCs w:val="16"/>
        </w:rPr>
        <w:t>, p.38.</w:t>
      </w:r>
    </w:p>
  </w:footnote>
  <w:footnote w:id="18">
    <w:p w14:paraId="512E6A07" w14:textId="77777777" w:rsidR="00F477CC" w:rsidRPr="001E136E" w:rsidRDefault="00F477CC" w:rsidP="00646A4D">
      <w:pPr>
        <w:pStyle w:val="FootnoteText"/>
        <w:rPr>
          <w:sz w:val="16"/>
          <w:szCs w:val="16"/>
        </w:rPr>
      </w:pPr>
      <w:r w:rsidRPr="001E136E">
        <w:rPr>
          <w:rStyle w:val="FootnoteReference"/>
          <w:sz w:val="16"/>
          <w:szCs w:val="16"/>
        </w:rPr>
        <w:footnoteRef/>
      </w:r>
      <w:r w:rsidRPr="001E136E">
        <w:rPr>
          <w:sz w:val="16"/>
          <w:szCs w:val="16"/>
        </w:rPr>
        <w:t xml:space="preserve"> CYDA. (2015). </w:t>
      </w:r>
      <w:r w:rsidRPr="001E136E">
        <w:rPr>
          <w:i/>
          <w:sz w:val="16"/>
          <w:szCs w:val="16"/>
        </w:rPr>
        <w:t>Post School Transition. The experiences of students with disability</w:t>
      </w:r>
      <w:r w:rsidRPr="001E136E">
        <w:rPr>
          <w:sz w:val="16"/>
          <w:szCs w:val="16"/>
        </w:rPr>
        <w:t xml:space="preserve">. </w:t>
      </w:r>
    </w:p>
  </w:footnote>
  <w:footnote w:id="19">
    <w:p w14:paraId="7CA66934" w14:textId="77777777" w:rsidR="00F477CC" w:rsidRPr="001E136E" w:rsidRDefault="00F477CC" w:rsidP="00E704C5">
      <w:pPr>
        <w:pStyle w:val="FootnoteText"/>
        <w:rPr>
          <w:sz w:val="16"/>
          <w:szCs w:val="16"/>
        </w:rPr>
      </w:pPr>
      <w:r w:rsidRPr="001E136E">
        <w:rPr>
          <w:rStyle w:val="FootnoteReference"/>
          <w:sz w:val="16"/>
          <w:szCs w:val="16"/>
        </w:rPr>
        <w:footnoteRef/>
      </w:r>
      <w:r w:rsidRPr="001E136E">
        <w:rPr>
          <w:sz w:val="16"/>
          <w:szCs w:val="16"/>
        </w:rPr>
        <w:t xml:space="preserve"> Lamb, S. and </w:t>
      </w:r>
      <w:proofErr w:type="spellStart"/>
      <w:r w:rsidRPr="001E136E">
        <w:rPr>
          <w:sz w:val="16"/>
          <w:szCs w:val="16"/>
        </w:rPr>
        <w:t>Huo</w:t>
      </w:r>
      <w:proofErr w:type="spellEnd"/>
      <w:r w:rsidRPr="001E136E">
        <w:rPr>
          <w:sz w:val="16"/>
          <w:szCs w:val="16"/>
        </w:rPr>
        <w:t xml:space="preserve">, S. Counting the costs of lost opportunity in Australian education. Mitchell Institute report No. 02/2017. Mitchell Institute, Melbourne. Available from: </w:t>
      </w:r>
      <w:hyperlink r:id="rId13" w:history="1">
        <w:r w:rsidRPr="001E136E">
          <w:rPr>
            <w:rStyle w:val="Hyperlink"/>
            <w:sz w:val="16"/>
            <w:szCs w:val="16"/>
          </w:rPr>
          <w:t>www.mitchellinstitute.org.au</w:t>
        </w:r>
      </w:hyperlink>
      <w:r w:rsidRPr="001E136E">
        <w:rPr>
          <w:sz w:val="16"/>
          <w:szCs w:val="16"/>
        </w:rPr>
        <w:t xml:space="preserve"> </w:t>
      </w:r>
    </w:p>
  </w:footnote>
  <w:footnote w:id="20">
    <w:p w14:paraId="171EE7DB" w14:textId="77777777" w:rsidR="00F477CC" w:rsidRPr="001E136E" w:rsidRDefault="00F477CC" w:rsidP="00A905C4">
      <w:pPr>
        <w:pStyle w:val="FootnoteText"/>
        <w:rPr>
          <w:rFonts w:cs="Arial"/>
          <w:color w:val="000000" w:themeColor="text1"/>
          <w:sz w:val="16"/>
          <w:szCs w:val="16"/>
        </w:rPr>
      </w:pPr>
      <w:r w:rsidRPr="001E136E">
        <w:rPr>
          <w:rStyle w:val="FootnoteReference"/>
          <w:rFonts w:cs="Arial"/>
          <w:color w:val="000000" w:themeColor="text1"/>
          <w:sz w:val="16"/>
          <w:szCs w:val="16"/>
        </w:rPr>
        <w:footnoteRef/>
      </w:r>
      <w:r w:rsidRPr="001E136E">
        <w:rPr>
          <w:rFonts w:cs="Arial"/>
          <w:color w:val="000000" w:themeColor="text1"/>
          <w:sz w:val="16"/>
          <w:szCs w:val="16"/>
        </w:rPr>
        <w:t xml:space="preserve"> The Organisation for Economic Co-operation and Development (OECD), </w:t>
      </w:r>
      <w:hyperlink r:id="rId14" w:history="1">
        <w:r w:rsidRPr="001E136E">
          <w:rPr>
            <w:rStyle w:val="Hyperlink"/>
            <w:rFonts w:cs="Arial"/>
            <w:color w:val="000000" w:themeColor="text1"/>
            <w:sz w:val="16"/>
            <w:szCs w:val="16"/>
          </w:rPr>
          <w:t>http://www.oecd.org/</w:t>
        </w:r>
      </w:hyperlink>
      <w:r w:rsidRPr="001E136E">
        <w:rPr>
          <w:rFonts w:cs="Arial"/>
          <w:color w:val="000000" w:themeColor="text1"/>
          <w:sz w:val="16"/>
          <w:szCs w:val="16"/>
        </w:rPr>
        <w:t xml:space="preserve"> </w:t>
      </w:r>
    </w:p>
  </w:footnote>
  <w:footnote w:id="21">
    <w:p w14:paraId="17B168B2" w14:textId="77777777" w:rsidR="00F477CC" w:rsidRPr="00AD2C7B" w:rsidRDefault="00F477CC" w:rsidP="00A905C4">
      <w:pPr>
        <w:pStyle w:val="FootnoteText"/>
        <w:rPr>
          <w:rFonts w:cs="Arial"/>
          <w:sz w:val="16"/>
          <w:szCs w:val="16"/>
        </w:rPr>
      </w:pPr>
      <w:r w:rsidRPr="001E136E">
        <w:rPr>
          <w:rStyle w:val="FootnoteReference"/>
          <w:rFonts w:cs="Arial"/>
          <w:sz w:val="16"/>
          <w:szCs w:val="16"/>
        </w:rPr>
        <w:footnoteRef/>
      </w:r>
      <w:r w:rsidRPr="001E136E">
        <w:rPr>
          <w:rFonts w:cs="Arial"/>
          <w:sz w:val="16"/>
          <w:szCs w:val="16"/>
        </w:rPr>
        <w:t xml:space="preserve"> </w:t>
      </w:r>
      <w:r w:rsidRPr="001E136E">
        <w:rPr>
          <w:rFonts w:cs="Arial"/>
          <w:color w:val="000000" w:themeColor="text1"/>
          <w:sz w:val="16"/>
          <w:szCs w:val="16"/>
        </w:rPr>
        <w:t xml:space="preserve">See </w:t>
      </w:r>
      <w:r w:rsidRPr="001E136E">
        <w:rPr>
          <w:rFonts w:cs="Arial"/>
          <w:sz w:val="16"/>
          <w:szCs w:val="16"/>
        </w:rPr>
        <w:t xml:space="preserve">Price Waterhouse Coopers (2011) </w:t>
      </w:r>
      <w:hyperlink r:id="rId15" w:history="1">
        <w:r w:rsidRPr="001E136E">
          <w:rPr>
            <w:rStyle w:val="Hyperlink"/>
            <w:rFonts w:cs="Arial"/>
            <w:sz w:val="16"/>
            <w:szCs w:val="16"/>
          </w:rPr>
          <w:t>Disability Expectations: Investing in a better life, a stronger Australia</w:t>
        </w:r>
      </w:hyperlink>
      <w:r w:rsidRPr="001E136E">
        <w:rPr>
          <w:rFonts w:cs="Arial"/>
          <w:sz w:val="16"/>
          <w:szCs w:val="16"/>
        </w:rPr>
        <w:t>.</w:t>
      </w:r>
    </w:p>
  </w:footnote>
  <w:footnote w:id="22">
    <w:p w14:paraId="0C0A279E" w14:textId="77777777" w:rsidR="00F477CC" w:rsidRPr="001E136E" w:rsidRDefault="00F477CC" w:rsidP="00A905C4">
      <w:pPr>
        <w:pStyle w:val="FootnoteText"/>
        <w:rPr>
          <w:rFonts w:cs="Arial"/>
          <w:sz w:val="16"/>
          <w:szCs w:val="16"/>
        </w:rPr>
      </w:pPr>
      <w:r w:rsidRPr="001E136E">
        <w:rPr>
          <w:rStyle w:val="FootnoteReference"/>
          <w:rFonts w:cs="Arial"/>
          <w:sz w:val="16"/>
          <w:szCs w:val="16"/>
        </w:rPr>
        <w:footnoteRef/>
      </w:r>
      <w:r w:rsidRPr="001E136E">
        <w:rPr>
          <w:rFonts w:cs="Arial"/>
          <w:sz w:val="16"/>
          <w:szCs w:val="16"/>
        </w:rPr>
        <w:t xml:space="preserve"> National CRPD Survey (2019) Findings. </w:t>
      </w:r>
      <w:hyperlink r:id="rId16" w:history="1">
        <w:r w:rsidRPr="001E136E">
          <w:rPr>
            <w:rStyle w:val="Hyperlink"/>
            <w:rFonts w:cs="Arial"/>
            <w:sz w:val="16"/>
            <w:szCs w:val="16"/>
          </w:rPr>
          <w:t>https://dpoa.org.au/crpd-shadow-report-consultation-survey-results/</w:t>
        </w:r>
      </w:hyperlink>
      <w:r w:rsidRPr="001E136E">
        <w:rPr>
          <w:rFonts w:cs="Arial"/>
          <w:sz w:val="16"/>
          <w:szCs w:val="16"/>
        </w:rPr>
        <w:t xml:space="preserve"> </w:t>
      </w:r>
    </w:p>
  </w:footnote>
  <w:footnote w:id="23">
    <w:p w14:paraId="7C9E9FA7" w14:textId="77777777" w:rsidR="00F477CC" w:rsidRPr="001E136E" w:rsidRDefault="00F477CC" w:rsidP="00A905C4">
      <w:pPr>
        <w:pStyle w:val="FootnoteText"/>
        <w:rPr>
          <w:rFonts w:cs="Arial"/>
          <w:sz w:val="16"/>
          <w:szCs w:val="16"/>
        </w:rPr>
      </w:pPr>
      <w:r w:rsidRPr="001E136E">
        <w:rPr>
          <w:rStyle w:val="FootnoteReference"/>
          <w:rFonts w:cs="Arial"/>
          <w:sz w:val="16"/>
          <w:szCs w:val="16"/>
        </w:rPr>
        <w:footnoteRef/>
      </w:r>
      <w:r w:rsidRPr="001E136E">
        <w:rPr>
          <w:rFonts w:cs="Arial"/>
          <w:sz w:val="16"/>
          <w:szCs w:val="16"/>
        </w:rPr>
        <w:t xml:space="preserve"> Australian Human Rights Commission (2016) </w:t>
      </w:r>
      <w:hyperlink r:id="rId17" w:history="1">
        <w:r w:rsidRPr="001E136E">
          <w:rPr>
            <w:rStyle w:val="Hyperlink"/>
            <w:rFonts w:cs="Arial"/>
            <w:sz w:val="16"/>
            <w:szCs w:val="16"/>
          </w:rPr>
          <w:t>Willing to Work: National Inquiry into Employment Discrimination Against Older Australians and Australians with Disability</w:t>
        </w:r>
      </w:hyperlink>
      <w:r w:rsidRPr="001E136E">
        <w:rPr>
          <w:rFonts w:cs="Arial"/>
          <w:sz w:val="16"/>
          <w:szCs w:val="16"/>
        </w:rPr>
        <w:t xml:space="preserve">, AHRC, </w:t>
      </w:r>
      <w:proofErr w:type="gramStart"/>
      <w:r w:rsidRPr="001E136E">
        <w:rPr>
          <w:rFonts w:cs="Arial"/>
          <w:sz w:val="16"/>
          <w:szCs w:val="16"/>
        </w:rPr>
        <w:t>Sydney</w:t>
      </w:r>
      <w:proofErr w:type="gramEnd"/>
      <w:r w:rsidRPr="001E136E">
        <w:rPr>
          <w:rFonts w:cs="Arial"/>
          <w:sz w:val="16"/>
          <w:szCs w:val="16"/>
        </w:rPr>
        <w:t>. (2015)</w:t>
      </w:r>
    </w:p>
  </w:footnote>
  <w:footnote w:id="24">
    <w:p w14:paraId="6C5FBFE7" w14:textId="77777777" w:rsidR="00F477CC" w:rsidRPr="001E136E" w:rsidRDefault="00F477CC" w:rsidP="00A905C4">
      <w:pPr>
        <w:pStyle w:val="FootnoteText"/>
        <w:rPr>
          <w:sz w:val="16"/>
          <w:szCs w:val="16"/>
        </w:rPr>
      </w:pPr>
      <w:r w:rsidRPr="001E136E">
        <w:rPr>
          <w:rStyle w:val="FootnoteReference"/>
          <w:sz w:val="16"/>
          <w:szCs w:val="16"/>
        </w:rPr>
        <w:footnoteRef/>
      </w:r>
      <w:r w:rsidRPr="001E136E">
        <w:rPr>
          <w:sz w:val="16"/>
          <w:szCs w:val="16"/>
        </w:rPr>
        <w:t xml:space="preserve"> Brotherhood of St Laurence, Youth Unemployment Monitor, March 2019 </w:t>
      </w:r>
      <w:hyperlink r:id="rId18" w:history="1">
        <w:r w:rsidRPr="001E136E">
          <w:rPr>
            <w:rStyle w:val="Hyperlink"/>
            <w:sz w:val="16"/>
            <w:szCs w:val="16"/>
          </w:rPr>
          <w:t>http://library.bsl.org.au/jspui/bitstream/1/11134/2/BSL_Smashing_the_avocado_debate_youth_unemployment_hotspots_Mar2019.pdf</w:t>
        </w:r>
      </w:hyperlink>
    </w:p>
  </w:footnote>
  <w:footnote w:id="25">
    <w:p w14:paraId="3051F309" w14:textId="77777777" w:rsidR="00F477CC" w:rsidRPr="001E136E" w:rsidRDefault="00F477CC" w:rsidP="00A905C4">
      <w:pPr>
        <w:pStyle w:val="FootnoteText"/>
        <w:rPr>
          <w:rFonts w:cs="Arial"/>
          <w:sz w:val="16"/>
          <w:szCs w:val="16"/>
        </w:rPr>
      </w:pPr>
      <w:r w:rsidRPr="001E136E">
        <w:rPr>
          <w:rStyle w:val="FootnoteReference"/>
          <w:rFonts w:cs="Arial"/>
          <w:sz w:val="16"/>
          <w:szCs w:val="16"/>
        </w:rPr>
        <w:footnoteRef/>
      </w:r>
      <w:r w:rsidRPr="001E136E">
        <w:rPr>
          <w:rFonts w:cs="Arial"/>
          <w:sz w:val="16"/>
          <w:szCs w:val="16"/>
        </w:rPr>
        <w:t xml:space="preserve"> </w:t>
      </w:r>
      <w:r w:rsidRPr="001E136E">
        <w:rPr>
          <w:rFonts w:cs="Arial"/>
          <w:color w:val="000000" w:themeColor="text1"/>
          <w:sz w:val="16"/>
          <w:szCs w:val="16"/>
        </w:rPr>
        <w:t xml:space="preserve">See: </w:t>
      </w:r>
      <w:r w:rsidRPr="001E136E">
        <w:rPr>
          <w:rFonts w:cs="Arial"/>
          <w:sz w:val="16"/>
          <w:szCs w:val="16"/>
        </w:rPr>
        <w:t xml:space="preserve">Price Waterhouse Coopers (2011) </w:t>
      </w:r>
      <w:hyperlink r:id="rId19" w:history="1">
        <w:r w:rsidRPr="001E136E">
          <w:rPr>
            <w:rStyle w:val="Hyperlink"/>
            <w:rFonts w:cs="Arial"/>
            <w:sz w:val="16"/>
            <w:szCs w:val="16"/>
          </w:rPr>
          <w:t>Disability Expectations: Investing in a better life, a stronger Australia</w:t>
        </w:r>
      </w:hyperlink>
      <w:r w:rsidRPr="001E136E">
        <w:rPr>
          <w:rFonts w:cs="Arial"/>
          <w:sz w:val="16"/>
          <w:szCs w:val="16"/>
        </w:rPr>
        <w:t>.</w:t>
      </w:r>
    </w:p>
  </w:footnote>
  <w:footnote w:id="26">
    <w:p w14:paraId="52E56C52" w14:textId="77777777" w:rsidR="00F477CC" w:rsidRPr="001E136E" w:rsidRDefault="00F477CC" w:rsidP="00A601A8">
      <w:pPr>
        <w:pStyle w:val="FootnoteText"/>
        <w:rPr>
          <w:sz w:val="16"/>
          <w:szCs w:val="16"/>
        </w:rPr>
      </w:pPr>
      <w:r w:rsidRPr="001E136E">
        <w:rPr>
          <w:rStyle w:val="FootnoteReference"/>
          <w:sz w:val="16"/>
          <w:szCs w:val="16"/>
        </w:rPr>
        <w:footnoteRef/>
      </w:r>
      <w:r w:rsidRPr="001E136E">
        <w:rPr>
          <w:sz w:val="16"/>
          <w:szCs w:val="16"/>
        </w:rPr>
        <w:t xml:space="preserve"> NDIA. (2018). NDIS Employment Outcomes 30 June 2018. </w:t>
      </w:r>
      <w:hyperlink r:id="rId20" w:history="1">
        <w:r w:rsidRPr="001E136E">
          <w:rPr>
            <w:color w:val="0000FF"/>
            <w:sz w:val="16"/>
            <w:szCs w:val="16"/>
            <w:u w:val="single"/>
          </w:rPr>
          <w:t>https://www.ndis.gov.au/about-us/data-and-insights/reports-and-analyses/employment-outcomes-participants-their-families-and-carers</w:t>
        </w:r>
      </w:hyperlink>
    </w:p>
  </w:footnote>
  <w:footnote w:id="27">
    <w:p w14:paraId="46796DA4" w14:textId="77777777" w:rsidR="00F477CC" w:rsidRPr="001E136E" w:rsidRDefault="00F477CC">
      <w:pPr>
        <w:pStyle w:val="FootnoteText"/>
        <w:rPr>
          <w:sz w:val="16"/>
          <w:szCs w:val="16"/>
        </w:rPr>
      </w:pPr>
      <w:r w:rsidRPr="001E136E">
        <w:rPr>
          <w:rStyle w:val="FootnoteReference"/>
          <w:sz w:val="16"/>
          <w:szCs w:val="16"/>
        </w:rPr>
        <w:footnoteRef/>
      </w:r>
      <w:r w:rsidRPr="001E136E">
        <w:rPr>
          <w:sz w:val="16"/>
          <w:szCs w:val="16"/>
        </w:rPr>
        <w:t xml:space="preserve"> Federal Department of Social Services. (2019). NDIS Participant Employment Terms of Reference. </w:t>
      </w:r>
      <w:hyperlink r:id="rId21" w:history="1">
        <w:r w:rsidRPr="001E136E">
          <w:rPr>
            <w:rStyle w:val="Hyperlink"/>
            <w:sz w:val="16"/>
            <w:szCs w:val="16"/>
          </w:rPr>
          <w:t>https://www.dss.gov.au/disability-and-carers-programs-services-for-people-with-disability-employment-for-people-with-disability/ndis-participant-employment-taskforce-terms-of-reference</w:t>
        </w:r>
      </w:hyperlink>
      <w:r w:rsidRPr="001E136E">
        <w:rPr>
          <w:sz w:val="16"/>
          <w:szCs w:val="16"/>
        </w:rPr>
        <w:t xml:space="preserve"> </w:t>
      </w:r>
    </w:p>
  </w:footnote>
  <w:footnote w:id="28">
    <w:p w14:paraId="3B6FFCFA" w14:textId="77777777" w:rsidR="00F477CC" w:rsidRDefault="00F477CC" w:rsidP="009C18B0">
      <w:pPr>
        <w:pStyle w:val="FootnoteText"/>
        <w:rPr>
          <w:rFonts w:cs="Arial"/>
          <w:sz w:val="16"/>
          <w:szCs w:val="16"/>
        </w:rPr>
      </w:pPr>
      <w:r w:rsidRPr="001E136E">
        <w:rPr>
          <w:rStyle w:val="FootnoteReference"/>
          <w:rFonts w:cs="Arial"/>
          <w:sz w:val="16"/>
          <w:szCs w:val="16"/>
        </w:rPr>
        <w:footnoteRef/>
      </w:r>
      <w:r w:rsidRPr="001E136E">
        <w:rPr>
          <w:rFonts w:cs="Arial"/>
          <w:sz w:val="16"/>
          <w:szCs w:val="16"/>
        </w:rPr>
        <w:t xml:space="preserve"> Brotherhood of St Laurence, Youth Unemployment Monitor, March 2019 </w:t>
      </w:r>
      <w:hyperlink r:id="rId22" w:history="1">
        <w:r w:rsidRPr="001E136E">
          <w:rPr>
            <w:rStyle w:val="Hyperlink"/>
            <w:rFonts w:cs="Arial"/>
            <w:sz w:val="16"/>
            <w:szCs w:val="16"/>
          </w:rPr>
          <w:t>http://library.bsl.org.au/jspui/bitstream/1/11134/2/BSL_Smashing_the_avocado_debate_youth_unemployment_hotspots_Mar2019.pdf</w:t>
        </w:r>
      </w:hyperlink>
    </w:p>
  </w:footnote>
  <w:footnote w:id="29">
    <w:p w14:paraId="5248D8D6" w14:textId="77777777" w:rsidR="00F477CC" w:rsidRDefault="00F477CC" w:rsidP="009C18B0">
      <w:pPr>
        <w:pStyle w:val="FootnoteText"/>
      </w:pPr>
      <w:r>
        <w:rPr>
          <w:rStyle w:val="FootnoteReference"/>
        </w:rPr>
        <w:footnoteRef/>
      </w:r>
      <w:r>
        <w:t xml:space="preserve"> </w:t>
      </w:r>
      <w:r w:rsidRPr="000940E3">
        <w:rPr>
          <w:sz w:val="16"/>
          <w:szCs w:val="16"/>
        </w:rPr>
        <w:t xml:space="preserve">Department of Human Services. (2019). Newstart Allowance Payments. </w:t>
      </w:r>
      <w:hyperlink r:id="rId23" w:history="1">
        <w:r w:rsidRPr="000940E3">
          <w:rPr>
            <w:rStyle w:val="Hyperlink"/>
            <w:sz w:val="16"/>
            <w:szCs w:val="16"/>
          </w:rPr>
          <w:t>https://www.humanservices.gov.au/individuals/services/centrelink/newstart-allowance/how-much-you-can-get</w:t>
        </w:r>
      </w:hyperlink>
      <w:r>
        <w:t xml:space="preserve"> </w:t>
      </w:r>
    </w:p>
  </w:footnote>
  <w:footnote w:id="30">
    <w:p w14:paraId="4FB377A9" w14:textId="77777777" w:rsidR="00F477CC" w:rsidRDefault="00F477CC" w:rsidP="009C18B0">
      <w:pPr>
        <w:pStyle w:val="FootnoteText"/>
      </w:pPr>
      <w:r>
        <w:rPr>
          <w:rStyle w:val="FootnoteReference"/>
        </w:rPr>
        <w:footnoteRef/>
      </w:r>
      <w:r>
        <w:t xml:space="preserve"> </w:t>
      </w:r>
      <w:r w:rsidRPr="000940E3">
        <w:rPr>
          <w:sz w:val="16"/>
          <w:szCs w:val="16"/>
        </w:rPr>
        <w:t xml:space="preserve">Department of Human Services. (2019). Youth Allowance Payments. </w:t>
      </w:r>
      <w:hyperlink r:id="rId24" w:history="1">
        <w:r w:rsidRPr="000940E3">
          <w:rPr>
            <w:rStyle w:val="Hyperlink"/>
            <w:sz w:val="16"/>
            <w:szCs w:val="16"/>
          </w:rPr>
          <w:t>https://www.humanservices.gov.au/individuals/services/centrelink/youth-allowance-students-and-australian-apprentices/how-much-you-can-get</w:t>
        </w:r>
      </w:hyperlink>
      <w:r>
        <w:t xml:space="preserve"> </w:t>
      </w:r>
    </w:p>
  </w:footnote>
  <w:footnote w:id="31">
    <w:p w14:paraId="33027A24" w14:textId="77777777" w:rsidR="00F477CC" w:rsidRPr="000940E3" w:rsidRDefault="00F477CC" w:rsidP="009C18B0">
      <w:pPr>
        <w:pStyle w:val="FootnoteText"/>
        <w:rPr>
          <w:sz w:val="16"/>
          <w:szCs w:val="16"/>
        </w:rPr>
      </w:pPr>
      <w:r>
        <w:rPr>
          <w:rStyle w:val="FootnoteReference"/>
        </w:rPr>
        <w:footnoteRef/>
      </w:r>
      <w:r>
        <w:t xml:space="preserve"> </w:t>
      </w:r>
      <w:r w:rsidRPr="000940E3">
        <w:rPr>
          <w:sz w:val="16"/>
          <w:szCs w:val="16"/>
        </w:rPr>
        <w:t xml:space="preserve">Department of Human Services. (2019). Disability Support Pension Payments. </w:t>
      </w:r>
      <w:hyperlink r:id="rId25" w:history="1">
        <w:r w:rsidRPr="000940E3">
          <w:rPr>
            <w:rStyle w:val="Hyperlink"/>
            <w:sz w:val="16"/>
            <w:szCs w:val="16"/>
          </w:rPr>
          <w:t>https://www.humanservices.gov.au/individuals/services/centrelink/disability-support-pension/how-much-you-can-get/payment-rates</w:t>
        </w:r>
      </w:hyperlink>
      <w:r w:rsidRPr="000940E3">
        <w:rPr>
          <w:sz w:val="16"/>
          <w:szCs w:val="16"/>
        </w:rPr>
        <w:t xml:space="preserve"> </w:t>
      </w:r>
    </w:p>
  </w:footnote>
  <w:footnote w:id="32">
    <w:p w14:paraId="01149890" w14:textId="77777777" w:rsidR="00F477CC" w:rsidRDefault="00F477CC" w:rsidP="00E704C5">
      <w:pPr>
        <w:pStyle w:val="FootnoteText"/>
      </w:pPr>
      <w:r>
        <w:rPr>
          <w:rStyle w:val="FootnoteReference"/>
        </w:rPr>
        <w:footnoteRef/>
      </w:r>
      <w:r>
        <w:t xml:space="preserve"> </w:t>
      </w:r>
      <w:r w:rsidRPr="00162C7D">
        <w:rPr>
          <w:sz w:val="16"/>
          <w:szCs w:val="16"/>
        </w:rPr>
        <w:t xml:space="preserve">Australia Disability Clearinghouse on Education and Training. (2019). Higher Education Statistics  </w:t>
      </w:r>
      <w:hyperlink r:id="rId26" w:history="1">
        <w:r w:rsidRPr="00162C7D">
          <w:rPr>
            <w:rStyle w:val="Hyperlink"/>
            <w:sz w:val="16"/>
            <w:szCs w:val="16"/>
          </w:rPr>
          <w:t>https://www.adcet.edu.au/inclusive-teaching/understanding-disability/Higher-Education-Statistics/</w:t>
        </w:r>
      </w:hyperlink>
      <w:r>
        <w:t xml:space="preserve"> </w:t>
      </w:r>
    </w:p>
  </w:footnote>
  <w:footnote w:id="33">
    <w:p w14:paraId="0E2D8BDB" w14:textId="77777777" w:rsidR="00F477CC" w:rsidRDefault="00F477CC" w:rsidP="00BB49FD">
      <w:pPr>
        <w:pStyle w:val="FootnoteText"/>
      </w:pPr>
      <w:r>
        <w:rPr>
          <w:rStyle w:val="FootnoteReference"/>
        </w:rPr>
        <w:footnoteRef/>
      </w:r>
      <w:r>
        <w:t xml:space="preserve"> </w:t>
      </w:r>
      <w:r w:rsidRPr="00115151">
        <w:rPr>
          <w:sz w:val="16"/>
          <w:szCs w:val="16"/>
        </w:rPr>
        <w:t xml:space="preserve">Dawkins, P., Hurley, P., &amp; Noonan, P. (2019). Rethinking and revitalising tertiary education in Australia. Mitchell Institute, Melbourne. </w:t>
      </w:r>
      <w:hyperlink r:id="rId27" w:history="1">
        <w:r w:rsidRPr="00115151">
          <w:rPr>
            <w:color w:val="0000FF"/>
            <w:sz w:val="16"/>
            <w:szCs w:val="16"/>
            <w:u w:val="single"/>
          </w:rPr>
          <w:t>http://www.mitchellinstitute.org.au/papers/rethinking-and-revitalising-tertiary-education/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E2D2" w14:textId="175EA4C2" w:rsidR="00F477CC" w:rsidRDefault="00F477CC">
    <w:pPr>
      <w:pStyle w:val="Header"/>
    </w:pPr>
    <w:r w:rsidRPr="00DC7281">
      <w:rPr>
        <w:rFonts w:eastAsia="Times New Roman"/>
        <w:noProof/>
        <w:sz w:val="2"/>
        <w:szCs w:val="2"/>
        <w:lang w:eastAsia="en-AU"/>
      </w:rPr>
      <w:drawing>
        <wp:anchor distT="0" distB="0" distL="114300" distR="114300" simplePos="0" relativeHeight="251659264" behindDoc="1" locked="0" layoutInCell="1" allowOverlap="1" wp14:anchorId="24E37753" wp14:editId="039C02EE">
          <wp:simplePos x="0" y="0"/>
          <wp:positionH relativeFrom="page">
            <wp:align>left</wp:align>
          </wp:positionH>
          <wp:positionV relativeFrom="paragraph">
            <wp:posOffset>-362585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1CF6C" w14:textId="4DECCB82" w:rsidR="00F477CC" w:rsidRDefault="00F47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228C" w14:textId="5B2C7CBF" w:rsidR="00F477CC" w:rsidRDefault="00F47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EF9"/>
    <w:multiLevelType w:val="hybridMultilevel"/>
    <w:tmpl w:val="EDE27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D59B5"/>
    <w:multiLevelType w:val="hybridMultilevel"/>
    <w:tmpl w:val="B15C88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22CFF"/>
    <w:multiLevelType w:val="hybridMultilevel"/>
    <w:tmpl w:val="FB56B8F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A283D"/>
    <w:multiLevelType w:val="hybridMultilevel"/>
    <w:tmpl w:val="0A560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30D1E"/>
    <w:multiLevelType w:val="hybridMultilevel"/>
    <w:tmpl w:val="AFC0E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963FB"/>
    <w:multiLevelType w:val="hybridMultilevel"/>
    <w:tmpl w:val="FDA2E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246F14"/>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A90071"/>
    <w:multiLevelType w:val="hybridMultilevel"/>
    <w:tmpl w:val="D9B2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E26DC"/>
    <w:multiLevelType w:val="hybridMultilevel"/>
    <w:tmpl w:val="212CF2B8"/>
    <w:lvl w:ilvl="0" w:tplc="4280B02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77E31"/>
    <w:multiLevelType w:val="hybridMultilevel"/>
    <w:tmpl w:val="FA18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F62E0A"/>
    <w:multiLevelType w:val="hybridMultilevel"/>
    <w:tmpl w:val="ADD0AB1E"/>
    <w:lvl w:ilvl="0" w:tplc="6734BAE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F21A0"/>
    <w:multiLevelType w:val="hybridMultilevel"/>
    <w:tmpl w:val="63E8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9152A8"/>
    <w:multiLevelType w:val="multilevel"/>
    <w:tmpl w:val="50A66E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Theme="minorHAnsi" w:hAnsi="Arial" w:cs="Arial"/>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C0C3E95"/>
    <w:multiLevelType w:val="hybridMultilevel"/>
    <w:tmpl w:val="2CC61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F0918"/>
    <w:multiLevelType w:val="hybridMultilevel"/>
    <w:tmpl w:val="FAF6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FF6ACD"/>
    <w:multiLevelType w:val="hybridMultilevel"/>
    <w:tmpl w:val="1C12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C57F8"/>
    <w:multiLevelType w:val="hybridMultilevel"/>
    <w:tmpl w:val="25B4E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71401"/>
    <w:multiLevelType w:val="hybridMultilevel"/>
    <w:tmpl w:val="5ED20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5D22BE"/>
    <w:multiLevelType w:val="hybridMultilevel"/>
    <w:tmpl w:val="698E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885F39"/>
    <w:multiLevelType w:val="hybridMultilevel"/>
    <w:tmpl w:val="9448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C674CD"/>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9B7C63"/>
    <w:multiLevelType w:val="hybridMultilevel"/>
    <w:tmpl w:val="ACD8617C"/>
    <w:lvl w:ilvl="0" w:tplc="74DA5600">
      <w:start w:val="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43747"/>
    <w:multiLevelType w:val="hybridMultilevel"/>
    <w:tmpl w:val="AEE4D0F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B908EE"/>
    <w:multiLevelType w:val="hybridMultilevel"/>
    <w:tmpl w:val="9F2A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E9748C"/>
    <w:multiLevelType w:val="hybridMultilevel"/>
    <w:tmpl w:val="FDAC4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2F5A22"/>
    <w:multiLevelType w:val="multilevel"/>
    <w:tmpl w:val="50A6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6526848"/>
    <w:multiLevelType w:val="hybridMultilevel"/>
    <w:tmpl w:val="E0082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7221E8"/>
    <w:multiLevelType w:val="hybridMultilevel"/>
    <w:tmpl w:val="D0283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EF021B"/>
    <w:multiLevelType w:val="hybridMultilevel"/>
    <w:tmpl w:val="CD70D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555EE4"/>
    <w:multiLevelType w:val="hybridMultilevel"/>
    <w:tmpl w:val="200CDDB8"/>
    <w:lvl w:ilvl="0" w:tplc="6D364A2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3F3F62"/>
    <w:multiLevelType w:val="hybridMultilevel"/>
    <w:tmpl w:val="4BD0DC1A"/>
    <w:lvl w:ilvl="0" w:tplc="A444453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D36C64"/>
    <w:multiLevelType w:val="hybridMultilevel"/>
    <w:tmpl w:val="EC9C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195BA6"/>
    <w:multiLevelType w:val="hybridMultilevel"/>
    <w:tmpl w:val="5B147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1B3141"/>
    <w:multiLevelType w:val="hybridMultilevel"/>
    <w:tmpl w:val="82E02AD2"/>
    <w:lvl w:ilvl="0" w:tplc="7FC04AB4">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4050A7"/>
    <w:multiLevelType w:val="hybridMultilevel"/>
    <w:tmpl w:val="A54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E37724"/>
    <w:multiLevelType w:val="hybridMultilevel"/>
    <w:tmpl w:val="EA80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A20DF1"/>
    <w:multiLevelType w:val="hybridMultilevel"/>
    <w:tmpl w:val="22A47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387C26"/>
    <w:multiLevelType w:val="hybridMultilevel"/>
    <w:tmpl w:val="35E4B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F54B48"/>
    <w:multiLevelType w:val="hybridMultilevel"/>
    <w:tmpl w:val="613A754A"/>
    <w:lvl w:ilvl="0" w:tplc="7FC04AB4">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5A11AB"/>
    <w:multiLevelType w:val="hybridMultilevel"/>
    <w:tmpl w:val="ED6A8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AC529A"/>
    <w:multiLevelType w:val="hybridMultilevel"/>
    <w:tmpl w:val="2B2E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2"/>
  </w:num>
  <w:num w:numId="3">
    <w:abstractNumId w:val="29"/>
  </w:num>
  <w:num w:numId="4">
    <w:abstractNumId w:val="41"/>
  </w:num>
  <w:num w:numId="5">
    <w:abstractNumId w:val="37"/>
  </w:num>
  <w:num w:numId="6">
    <w:abstractNumId w:val="24"/>
  </w:num>
  <w:num w:numId="7">
    <w:abstractNumId w:val="39"/>
  </w:num>
  <w:num w:numId="8">
    <w:abstractNumId w:val="8"/>
  </w:num>
  <w:num w:numId="9">
    <w:abstractNumId w:val="23"/>
  </w:num>
  <w:num w:numId="10">
    <w:abstractNumId w:val="36"/>
  </w:num>
  <w:num w:numId="11">
    <w:abstractNumId w:val="1"/>
  </w:num>
  <w:num w:numId="12">
    <w:abstractNumId w:val="13"/>
  </w:num>
  <w:num w:numId="13">
    <w:abstractNumId w:val="25"/>
  </w:num>
  <w:num w:numId="14">
    <w:abstractNumId w:val="10"/>
  </w:num>
  <w:num w:numId="15">
    <w:abstractNumId w:val="2"/>
  </w:num>
  <w:num w:numId="16">
    <w:abstractNumId w:val="9"/>
  </w:num>
  <w:num w:numId="17">
    <w:abstractNumId w:val="18"/>
  </w:num>
  <w:num w:numId="18">
    <w:abstractNumId w:val="16"/>
  </w:num>
  <w:num w:numId="19">
    <w:abstractNumId w:val="6"/>
  </w:num>
  <w:num w:numId="20">
    <w:abstractNumId w:val="31"/>
  </w:num>
  <w:num w:numId="21">
    <w:abstractNumId w:val="30"/>
  </w:num>
  <w:num w:numId="22">
    <w:abstractNumId w:val="22"/>
  </w:num>
  <w:num w:numId="23">
    <w:abstractNumId w:val="40"/>
  </w:num>
  <w:num w:numId="24">
    <w:abstractNumId w:val="19"/>
  </w:num>
  <w:num w:numId="25">
    <w:abstractNumId w:val="11"/>
  </w:num>
  <w:num w:numId="26">
    <w:abstractNumId w:val="12"/>
  </w:num>
  <w:num w:numId="27">
    <w:abstractNumId w:val="21"/>
  </w:num>
  <w:num w:numId="28">
    <w:abstractNumId w:val="34"/>
  </w:num>
  <w:num w:numId="29">
    <w:abstractNumId w:val="7"/>
  </w:num>
  <w:num w:numId="30">
    <w:abstractNumId w:val="26"/>
  </w:num>
  <w:num w:numId="31">
    <w:abstractNumId w:val="28"/>
  </w:num>
  <w:num w:numId="32">
    <w:abstractNumId w:val="0"/>
  </w:num>
  <w:num w:numId="33">
    <w:abstractNumId w:val="32"/>
  </w:num>
  <w:num w:numId="34">
    <w:abstractNumId w:val="17"/>
  </w:num>
  <w:num w:numId="35">
    <w:abstractNumId w:val="33"/>
  </w:num>
  <w:num w:numId="36">
    <w:abstractNumId w:val="38"/>
  </w:num>
  <w:num w:numId="37">
    <w:abstractNumId w:val="35"/>
  </w:num>
  <w:num w:numId="38">
    <w:abstractNumId w:val="4"/>
  </w:num>
  <w:num w:numId="39">
    <w:abstractNumId w:val="5"/>
  </w:num>
  <w:num w:numId="40">
    <w:abstractNumId w:val="15"/>
  </w:num>
  <w:num w:numId="41">
    <w:abstractNumId w:val="27"/>
  </w:num>
  <w:num w:numId="42">
    <w:abstractNumId w:val="2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bc0tLA0tzQxNjFV0lEKTi0uzszPAykwrAUAKbJMtCwAAAA="/>
  </w:docVars>
  <w:rsids>
    <w:rsidRoot w:val="00217DAA"/>
    <w:rsid w:val="000002C8"/>
    <w:rsid w:val="000024BD"/>
    <w:rsid w:val="00004BE3"/>
    <w:rsid w:val="00004BEA"/>
    <w:rsid w:val="000056AC"/>
    <w:rsid w:val="00006DBC"/>
    <w:rsid w:val="00007635"/>
    <w:rsid w:val="00010D00"/>
    <w:rsid w:val="00010E83"/>
    <w:rsid w:val="0001430A"/>
    <w:rsid w:val="00015374"/>
    <w:rsid w:val="00015D7D"/>
    <w:rsid w:val="00017775"/>
    <w:rsid w:val="00020B82"/>
    <w:rsid w:val="00032050"/>
    <w:rsid w:val="00032F71"/>
    <w:rsid w:val="0003413D"/>
    <w:rsid w:val="000355CF"/>
    <w:rsid w:val="0004034D"/>
    <w:rsid w:val="00041D3A"/>
    <w:rsid w:val="000433B6"/>
    <w:rsid w:val="0005020C"/>
    <w:rsid w:val="00050C5F"/>
    <w:rsid w:val="00052A7A"/>
    <w:rsid w:val="00061E45"/>
    <w:rsid w:val="00064357"/>
    <w:rsid w:val="00072B26"/>
    <w:rsid w:val="00075A75"/>
    <w:rsid w:val="000838FD"/>
    <w:rsid w:val="00084A2E"/>
    <w:rsid w:val="00090BFB"/>
    <w:rsid w:val="000940E3"/>
    <w:rsid w:val="000A1CFA"/>
    <w:rsid w:val="000A274A"/>
    <w:rsid w:val="000A41FF"/>
    <w:rsid w:val="000A5794"/>
    <w:rsid w:val="000B05E0"/>
    <w:rsid w:val="000B2646"/>
    <w:rsid w:val="000B636E"/>
    <w:rsid w:val="000C0854"/>
    <w:rsid w:val="000D1561"/>
    <w:rsid w:val="000D1839"/>
    <w:rsid w:val="000D322E"/>
    <w:rsid w:val="000D768C"/>
    <w:rsid w:val="000E4E6F"/>
    <w:rsid w:val="000E74B6"/>
    <w:rsid w:val="000E7E10"/>
    <w:rsid w:val="000F5758"/>
    <w:rsid w:val="00100447"/>
    <w:rsid w:val="0010068C"/>
    <w:rsid w:val="001017BA"/>
    <w:rsid w:val="001032FA"/>
    <w:rsid w:val="00103CAF"/>
    <w:rsid w:val="00106DA1"/>
    <w:rsid w:val="00107140"/>
    <w:rsid w:val="001071E6"/>
    <w:rsid w:val="0011071D"/>
    <w:rsid w:val="00112909"/>
    <w:rsid w:val="00112CA8"/>
    <w:rsid w:val="00115151"/>
    <w:rsid w:val="00115708"/>
    <w:rsid w:val="00122C78"/>
    <w:rsid w:val="00131510"/>
    <w:rsid w:val="001317B0"/>
    <w:rsid w:val="0013276E"/>
    <w:rsid w:val="0013791E"/>
    <w:rsid w:val="00146742"/>
    <w:rsid w:val="00146EF6"/>
    <w:rsid w:val="00155360"/>
    <w:rsid w:val="00155C47"/>
    <w:rsid w:val="00157F99"/>
    <w:rsid w:val="00162C7D"/>
    <w:rsid w:val="001719B8"/>
    <w:rsid w:val="00173208"/>
    <w:rsid w:val="00183F9F"/>
    <w:rsid w:val="001919A1"/>
    <w:rsid w:val="00193BB9"/>
    <w:rsid w:val="00194FEA"/>
    <w:rsid w:val="0019520A"/>
    <w:rsid w:val="001A5C74"/>
    <w:rsid w:val="001B71E8"/>
    <w:rsid w:val="001C7F0F"/>
    <w:rsid w:val="001D17CF"/>
    <w:rsid w:val="001D2EC7"/>
    <w:rsid w:val="001D349F"/>
    <w:rsid w:val="001D359F"/>
    <w:rsid w:val="001D3DA6"/>
    <w:rsid w:val="001D537F"/>
    <w:rsid w:val="001D6573"/>
    <w:rsid w:val="001E00DE"/>
    <w:rsid w:val="001E136E"/>
    <w:rsid w:val="001E31EC"/>
    <w:rsid w:val="001E3CAE"/>
    <w:rsid w:val="00200506"/>
    <w:rsid w:val="002015E6"/>
    <w:rsid w:val="002023A8"/>
    <w:rsid w:val="00202BA4"/>
    <w:rsid w:val="00206B0B"/>
    <w:rsid w:val="0021071D"/>
    <w:rsid w:val="002124CC"/>
    <w:rsid w:val="002144C3"/>
    <w:rsid w:val="00215C4D"/>
    <w:rsid w:val="00217CBB"/>
    <w:rsid w:val="00217DAA"/>
    <w:rsid w:val="00221CF7"/>
    <w:rsid w:val="0022288C"/>
    <w:rsid w:val="00223E7C"/>
    <w:rsid w:val="002253B8"/>
    <w:rsid w:val="00227097"/>
    <w:rsid w:val="00234212"/>
    <w:rsid w:val="002349FF"/>
    <w:rsid w:val="00237483"/>
    <w:rsid w:val="00237959"/>
    <w:rsid w:val="00244A76"/>
    <w:rsid w:val="002472FB"/>
    <w:rsid w:val="002631BA"/>
    <w:rsid w:val="00263481"/>
    <w:rsid w:val="00263F98"/>
    <w:rsid w:val="00266FEC"/>
    <w:rsid w:val="00270A0E"/>
    <w:rsid w:val="00282523"/>
    <w:rsid w:val="00285F0C"/>
    <w:rsid w:val="00286C40"/>
    <w:rsid w:val="00292300"/>
    <w:rsid w:val="00292C57"/>
    <w:rsid w:val="002930AE"/>
    <w:rsid w:val="00295398"/>
    <w:rsid w:val="002B3497"/>
    <w:rsid w:val="002B4D59"/>
    <w:rsid w:val="002B58BF"/>
    <w:rsid w:val="002C41F3"/>
    <w:rsid w:val="002D08EB"/>
    <w:rsid w:val="002D0CE9"/>
    <w:rsid w:val="002D1060"/>
    <w:rsid w:val="002D12B0"/>
    <w:rsid w:val="002D387D"/>
    <w:rsid w:val="002D68A8"/>
    <w:rsid w:val="002E2BEC"/>
    <w:rsid w:val="002F031D"/>
    <w:rsid w:val="0030270B"/>
    <w:rsid w:val="00306218"/>
    <w:rsid w:val="003062BD"/>
    <w:rsid w:val="003068A1"/>
    <w:rsid w:val="00310F44"/>
    <w:rsid w:val="0031180C"/>
    <w:rsid w:val="003131A4"/>
    <w:rsid w:val="0032125B"/>
    <w:rsid w:val="003224DA"/>
    <w:rsid w:val="00325159"/>
    <w:rsid w:val="00334558"/>
    <w:rsid w:val="003413EB"/>
    <w:rsid w:val="003474FB"/>
    <w:rsid w:val="00350290"/>
    <w:rsid w:val="00350FB6"/>
    <w:rsid w:val="00351A0B"/>
    <w:rsid w:val="00351BCA"/>
    <w:rsid w:val="003613AD"/>
    <w:rsid w:val="003622BB"/>
    <w:rsid w:val="00362BD0"/>
    <w:rsid w:val="00371188"/>
    <w:rsid w:val="00374F54"/>
    <w:rsid w:val="00376C91"/>
    <w:rsid w:val="0038580B"/>
    <w:rsid w:val="00385D76"/>
    <w:rsid w:val="0038714B"/>
    <w:rsid w:val="0039575A"/>
    <w:rsid w:val="003A1DA8"/>
    <w:rsid w:val="003A3C3E"/>
    <w:rsid w:val="003A5AC5"/>
    <w:rsid w:val="003B7D03"/>
    <w:rsid w:val="003C13CA"/>
    <w:rsid w:val="003C3FC8"/>
    <w:rsid w:val="003C50D7"/>
    <w:rsid w:val="003C6A88"/>
    <w:rsid w:val="003D19C9"/>
    <w:rsid w:val="003D449C"/>
    <w:rsid w:val="003D5BC7"/>
    <w:rsid w:val="003D5CAA"/>
    <w:rsid w:val="003D69B9"/>
    <w:rsid w:val="003E044D"/>
    <w:rsid w:val="003F5F13"/>
    <w:rsid w:val="0040028B"/>
    <w:rsid w:val="00401B14"/>
    <w:rsid w:val="0040228E"/>
    <w:rsid w:val="00403FC8"/>
    <w:rsid w:val="00410AE9"/>
    <w:rsid w:val="004123E7"/>
    <w:rsid w:val="00412BCB"/>
    <w:rsid w:val="00412E17"/>
    <w:rsid w:val="00413471"/>
    <w:rsid w:val="00414A6C"/>
    <w:rsid w:val="00416D72"/>
    <w:rsid w:val="004206E5"/>
    <w:rsid w:val="004234A1"/>
    <w:rsid w:val="00425F1A"/>
    <w:rsid w:val="00433601"/>
    <w:rsid w:val="004358D8"/>
    <w:rsid w:val="00435A74"/>
    <w:rsid w:val="00444893"/>
    <w:rsid w:val="00444AB2"/>
    <w:rsid w:val="00445AC0"/>
    <w:rsid w:val="00446685"/>
    <w:rsid w:val="00447A02"/>
    <w:rsid w:val="004515A0"/>
    <w:rsid w:val="00452628"/>
    <w:rsid w:val="00452B7F"/>
    <w:rsid w:val="00453152"/>
    <w:rsid w:val="00460EC4"/>
    <w:rsid w:val="00464F80"/>
    <w:rsid w:val="00477A45"/>
    <w:rsid w:val="00485710"/>
    <w:rsid w:val="0049097F"/>
    <w:rsid w:val="00490E50"/>
    <w:rsid w:val="00491D33"/>
    <w:rsid w:val="00497908"/>
    <w:rsid w:val="004A4546"/>
    <w:rsid w:val="004A5A94"/>
    <w:rsid w:val="004A78E9"/>
    <w:rsid w:val="004B2121"/>
    <w:rsid w:val="004B2A0D"/>
    <w:rsid w:val="004C278C"/>
    <w:rsid w:val="004C4DE5"/>
    <w:rsid w:val="004D020A"/>
    <w:rsid w:val="004E0B30"/>
    <w:rsid w:val="004E6448"/>
    <w:rsid w:val="004F1F72"/>
    <w:rsid w:val="004F59AE"/>
    <w:rsid w:val="004F6CDC"/>
    <w:rsid w:val="0051716D"/>
    <w:rsid w:val="00520EDD"/>
    <w:rsid w:val="0052318C"/>
    <w:rsid w:val="005247DC"/>
    <w:rsid w:val="005264C9"/>
    <w:rsid w:val="005274E3"/>
    <w:rsid w:val="00527945"/>
    <w:rsid w:val="005319C0"/>
    <w:rsid w:val="00533C24"/>
    <w:rsid w:val="00534609"/>
    <w:rsid w:val="0053525B"/>
    <w:rsid w:val="00546177"/>
    <w:rsid w:val="00552E27"/>
    <w:rsid w:val="005535E0"/>
    <w:rsid w:val="00561634"/>
    <w:rsid w:val="00566D73"/>
    <w:rsid w:val="00567911"/>
    <w:rsid w:val="00570085"/>
    <w:rsid w:val="005712BA"/>
    <w:rsid w:val="00571323"/>
    <w:rsid w:val="00572653"/>
    <w:rsid w:val="005751DE"/>
    <w:rsid w:val="00575DD7"/>
    <w:rsid w:val="00577FD6"/>
    <w:rsid w:val="00585C86"/>
    <w:rsid w:val="00593A9A"/>
    <w:rsid w:val="00594457"/>
    <w:rsid w:val="00597ADA"/>
    <w:rsid w:val="005B27F2"/>
    <w:rsid w:val="005B4ACA"/>
    <w:rsid w:val="005B7F0C"/>
    <w:rsid w:val="005C3EC5"/>
    <w:rsid w:val="005D0B5D"/>
    <w:rsid w:val="005D1766"/>
    <w:rsid w:val="005D1DE8"/>
    <w:rsid w:val="005D5694"/>
    <w:rsid w:val="005D6757"/>
    <w:rsid w:val="005E16C7"/>
    <w:rsid w:val="005E27BF"/>
    <w:rsid w:val="005E58BE"/>
    <w:rsid w:val="005E7324"/>
    <w:rsid w:val="005F356E"/>
    <w:rsid w:val="005F59A8"/>
    <w:rsid w:val="00600BE2"/>
    <w:rsid w:val="0060791A"/>
    <w:rsid w:val="00610B72"/>
    <w:rsid w:val="00611133"/>
    <w:rsid w:val="00613D69"/>
    <w:rsid w:val="006148BB"/>
    <w:rsid w:val="00620197"/>
    <w:rsid w:val="00630C2D"/>
    <w:rsid w:val="00631FF1"/>
    <w:rsid w:val="0063338F"/>
    <w:rsid w:val="00636E71"/>
    <w:rsid w:val="00637D8D"/>
    <w:rsid w:val="00640939"/>
    <w:rsid w:val="00640E37"/>
    <w:rsid w:val="006450A0"/>
    <w:rsid w:val="00646A4D"/>
    <w:rsid w:val="006515BE"/>
    <w:rsid w:val="00657339"/>
    <w:rsid w:val="0066056E"/>
    <w:rsid w:val="00666F17"/>
    <w:rsid w:val="0067263E"/>
    <w:rsid w:val="00675628"/>
    <w:rsid w:val="00675C36"/>
    <w:rsid w:val="0067783D"/>
    <w:rsid w:val="00680D8E"/>
    <w:rsid w:val="00685B5E"/>
    <w:rsid w:val="00686502"/>
    <w:rsid w:val="00686F1A"/>
    <w:rsid w:val="00687722"/>
    <w:rsid w:val="006971E3"/>
    <w:rsid w:val="006974E0"/>
    <w:rsid w:val="00697776"/>
    <w:rsid w:val="006A10A6"/>
    <w:rsid w:val="006A18BF"/>
    <w:rsid w:val="006A3486"/>
    <w:rsid w:val="006A3931"/>
    <w:rsid w:val="006A684C"/>
    <w:rsid w:val="006B15CD"/>
    <w:rsid w:val="006B183B"/>
    <w:rsid w:val="006B373E"/>
    <w:rsid w:val="006B3B7C"/>
    <w:rsid w:val="006C2A7B"/>
    <w:rsid w:val="006C38DF"/>
    <w:rsid w:val="006C404E"/>
    <w:rsid w:val="006C4214"/>
    <w:rsid w:val="006D1C26"/>
    <w:rsid w:val="006D45F0"/>
    <w:rsid w:val="006D5591"/>
    <w:rsid w:val="006D606C"/>
    <w:rsid w:val="006D681B"/>
    <w:rsid w:val="006E2DA0"/>
    <w:rsid w:val="006E5258"/>
    <w:rsid w:val="00702BD7"/>
    <w:rsid w:val="00712A1E"/>
    <w:rsid w:val="00713AB3"/>
    <w:rsid w:val="00714CE7"/>
    <w:rsid w:val="00715504"/>
    <w:rsid w:val="007159C5"/>
    <w:rsid w:val="00731BCA"/>
    <w:rsid w:val="00731F19"/>
    <w:rsid w:val="00741A29"/>
    <w:rsid w:val="00746594"/>
    <w:rsid w:val="00747CF0"/>
    <w:rsid w:val="00750440"/>
    <w:rsid w:val="00752043"/>
    <w:rsid w:val="00754FED"/>
    <w:rsid w:val="00757D2B"/>
    <w:rsid w:val="007618EF"/>
    <w:rsid w:val="00761EFB"/>
    <w:rsid w:val="00763692"/>
    <w:rsid w:val="0076475C"/>
    <w:rsid w:val="0076734C"/>
    <w:rsid w:val="00770F12"/>
    <w:rsid w:val="00771C4A"/>
    <w:rsid w:val="00772A59"/>
    <w:rsid w:val="00773F2B"/>
    <w:rsid w:val="00776291"/>
    <w:rsid w:val="007803A3"/>
    <w:rsid w:val="00784F7E"/>
    <w:rsid w:val="00787E78"/>
    <w:rsid w:val="00793CFA"/>
    <w:rsid w:val="00793F59"/>
    <w:rsid w:val="007A74A2"/>
    <w:rsid w:val="007B1D28"/>
    <w:rsid w:val="007B1E49"/>
    <w:rsid w:val="007B5C27"/>
    <w:rsid w:val="007C4630"/>
    <w:rsid w:val="007C5B9D"/>
    <w:rsid w:val="007C662C"/>
    <w:rsid w:val="007E1DC2"/>
    <w:rsid w:val="007E3407"/>
    <w:rsid w:val="007E3991"/>
    <w:rsid w:val="007E4010"/>
    <w:rsid w:val="007F1599"/>
    <w:rsid w:val="008035E9"/>
    <w:rsid w:val="008109BA"/>
    <w:rsid w:val="008121BE"/>
    <w:rsid w:val="00815F22"/>
    <w:rsid w:val="00825396"/>
    <w:rsid w:val="00826056"/>
    <w:rsid w:val="00826F09"/>
    <w:rsid w:val="00827C3C"/>
    <w:rsid w:val="00833A6D"/>
    <w:rsid w:val="00840DBC"/>
    <w:rsid w:val="008434C4"/>
    <w:rsid w:val="00843D7E"/>
    <w:rsid w:val="00845476"/>
    <w:rsid w:val="00853CAB"/>
    <w:rsid w:val="0086306E"/>
    <w:rsid w:val="00864442"/>
    <w:rsid w:val="00864699"/>
    <w:rsid w:val="00865334"/>
    <w:rsid w:val="00867B0A"/>
    <w:rsid w:val="008708E0"/>
    <w:rsid w:val="00873E3A"/>
    <w:rsid w:val="00880B44"/>
    <w:rsid w:val="00890FE3"/>
    <w:rsid w:val="008920FE"/>
    <w:rsid w:val="00892C66"/>
    <w:rsid w:val="00892F29"/>
    <w:rsid w:val="008963F7"/>
    <w:rsid w:val="00896726"/>
    <w:rsid w:val="008A15CB"/>
    <w:rsid w:val="008A4C70"/>
    <w:rsid w:val="008A7A04"/>
    <w:rsid w:val="008B10A9"/>
    <w:rsid w:val="008B2C42"/>
    <w:rsid w:val="008B3224"/>
    <w:rsid w:val="008B4944"/>
    <w:rsid w:val="008B5AED"/>
    <w:rsid w:val="008B6578"/>
    <w:rsid w:val="008C6B2F"/>
    <w:rsid w:val="008D71F8"/>
    <w:rsid w:val="008E1AD2"/>
    <w:rsid w:val="008E26BA"/>
    <w:rsid w:val="008E386E"/>
    <w:rsid w:val="008E603D"/>
    <w:rsid w:val="008F2FFD"/>
    <w:rsid w:val="008F627F"/>
    <w:rsid w:val="008F7562"/>
    <w:rsid w:val="00903B9B"/>
    <w:rsid w:val="009130BC"/>
    <w:rsid w:val="00917FBD"/>
    <w:rsid w:val="009213A0"/>
    <w:rsid w:val="009238BA"/>
    <w:rsid w:val="0092611D"/>
    <w:rsid w:val="00931F2A"/>
    <w:rsid w:val="00935B29"/>
    <w:rsid w:val="009419BE"/>
    <w:rsid w:val="00941AEC"/>
    <w:rsid w:val="00941CF5"/>
    <w:rsid w:val="0096252D"/>
    <w:rsid w:val="00963A8F"/>
    <w:rsid w:val="009663E3"/>
    <w:rsid w:val="009664C4"/>
    <w:rsid w:val="00967232"/>
    <w:rsid w:val="009709B8"/>
    <w:rsid w:val="0097263E"/>
    <w:rsid w:val="0097268D"/>
    <w:rsid w:val="009729EA"/>
    <w:rsid w:val="00973CD4"/>
    <w:rsid w:val="00976AEC"/>
    <w:rsid w:val="00976B10"/>
    <w:rsid w:val="009770EB"/>
    <w:rsid w:val="00982A93"/>
    <w:rsid w:val="00990E39"/>
    <w:rsid w:val="0099421F"/>
    <w:rsid w:val="009944B0"/>
    <w:rsid w:val="00996D67"/>
    <w:rsid w:val="009B11D0"/>
    <w:rsid w:val="009C18B0"/>
    <w:rsid w:val="009C677F"/>
    <w:rsid w:val="009C787F"/>
    <w:rsid w:val="009E1120"/>
    <w:rsid w:val="009E237E"/>
    <w:rsid w:val="009E7741"/>
    <w:rsid w:val="009F1A24"/>
    <w:rsid w:val="009F4445"/>
    <w:rsid w:val="00A0232A"/>
    <w:rsid w:val="00A11544"/>
    <w:rsid w:val="00A13D79"/>
    <w:rsid w:val="00A16076"/>
    <w:rsid w:val="00A2678B"/>
    <w:rsid w:val="00A27C8F"/>
    <w:rsid w:val="00A3312C"/>
    <w:rsid w:val="00A33ADA"/>
    <w:rsid w:val="00A33C76"/>
    <w:rsid w:val="00A36E0A"/>
    <w:rsid w:val="00A4040F"/>
    <w:rsid w:val="00A43B45"/>
    <w:rsid w:val="00A4795E"/>
    <w:rsid w:val="00A5216D"/>
    <w:rsid w:val="00A601A8"/>
    <w:rsid w:val="00A608A9"/>
    <w:rsid w:val="00A6207D"/>
    <w:rsid w:val="00A63E3B"/>
    <w:rsid w:val="00A67D0E"/>
    <w:rsid w:val="00A72D0B"/>
    <w:rsid w:val="00A85F0D"/>
    <w:rsid w:val="00A85FDF"/>
    <w:rsid w:val="00A905C4"/>
    <w:rsid w:val="00A91667"/>
    <w:rsid w:val="00A918F8"/>
    <w:rsid w:val="00AA3318"/>
    <w:rsid w:val="00AA3CC1"/>
    <w:rsid w:val="00AB0196"/>
    <w:rsid w:val="00AB1BD7"/>
    <w:rsid w:val="00AD2C7B"/>
    <w:rsid w:val="00AD4467"/>
    <w:rsid w:val="00AD5DF1"/>
    <w:rsid w:val="00AE0E3E"/>
    <w:rsid w:val="00AE1F56"/>
    <w:rsid w:val="00AE3F74"/>
    <w:rsid w:val="00AF3B50"/>
    <w:rsid w:val="00AF5C8E"/>
    <w:rsid w:val="00AF7685"/>
    <w:rsid w:val="00B03B0F"/>
    <w:rsid w:val="00B049C1"/>
    <w:rsid w:val="00B05BE3"/>
    <w:rsid w:val="00B05C01"/>
    <w:rsid w:val="00B06160"/>
    <w:rsid w:val="00B1149B"/>
    <w:rsid w:val="00B176CC"/>
    <w:rsid w:val="00B17CDC"/>
    <w:rsid w:val="00B21CDF"/>
    <w:rsid w:val="00B27053"/>
    <w:rsid w:val="00B31DC4"/>
    <w:rsid w:val="00B408FC"/>
    <w:rsid w:val="00B41EDD"/>
    <w:rsid w:val="00B43693"/>
    <w:rsid w:val="00B5429F"/>
    <w:rsid w:val="00B549AD"/>
    <w:rsid w:val="00B5580D"/>
    <w:rsid w:val="00B56A4B"/>
    <w:rsid w:val="00B57971"/>
    <w:rsid w:val="00B6341A"/>
    <w:rsid w:val="00B65EB8"/>
    <w:rsid w:val="00B70FD5"/>
    <w:rsid w:val="00B733C6"/>
    <w:rsid w:val="00B822B7"/>
    <w:rsid w:val="00B83B88"/>
    <w:rsid w:val="00B840EF"/>
    <w:rsid w:val="00B87E20"/>
    <w:rsid w:val="00B92866"/>
    <w:rsid w:val="00B973AC"/>
    <w:rsid w:val="00B97AC1"/>
    <w:rsid w:val="00BA0917"/>
    <w:rsid w:val="00BA4851"/>
    <w:rsid w:val="00BB1158"/>
    <w:rsid w:val="00BB122E"/>
    <w:rsid w:val="00BB4437"/>
    <w:rsid w:val="00BB46A7"/>
    <w:rsid w:val="00BB49FD"/>
    <w:rsid w:val="00BB52D6"/>
    <w:rsid w:val="00BB5F60"/>
    <w:rsid w:val="00BC0B55"/>
    <w:rsid w:val="00BC0F64"/>
    <w:rsid w:val="00BC312D"/>
    <w:rsid w:val="00BC5B07"/>
    <w:rsid w:val="00BD0B6C"/>
    <w:rsid w:val="00BD6D46"/>
    <w:rsid w:val="00BE2BCC"/>
    <w:rsid w:val="00BE420B"/>
    <w:rsid w:val="00BE6C37"/>
    <w:rsid w:val="00BF1022"/>
    <w:rsid w:val="00BF3514"/>
    <w:rsid w:val="00BF4649"/>
    <w:rsid w:val="00BF6311"/>
    <w:rsid w:val="00BF702C"/>
    <w:rsid w:val="00BF7595"/>
    <w:rsid w:val="00C02D41"/>
    <w:rsid w:val="00C11593"/>
    <w:rsid w:val="00C212ED"/>
    <w:rsid w:val="00C21606"/>
    <w:rsid w:val="00C30AB4"/>
    <w:rsid w:val="00C31AA6"/>
    <w:rsid w:val="00C55157"/>
    <w:rsid w:val="00C76DB3"/>
    <w:rsid w:val="00C800DF"/>
    <w:rsid w:val="00C832D5"/>
    <w:rsid w:val="00C91D87"/>
    <w:rsid w:val="00C9282C"/>
    <w:rsid w:val="00C94C82"/>
    <w:rsid w:val="00C958B1"/>
    <w:rsid w:val="00C9676C"/>
    <w:rsid w:val="00C97415"/>
    <w:rsid w:val="00CA2A7D"/>
    <w:rsid w:val="00CA38B5"/>
    <w:rsid w:val="00CA5696"/>
    <w:rsid w:val="00CA76D3"/>
    <w:rsid w:val="00CB03FD"/>
    <w:rsid w:val="00CB1C7B"/>
    <w:rsid w:val="00CB45BE"/>
    <w:rsid w:val="00CB5BEE"/>
    <w:rsid w:val="00CB6C71"/>
    <w:rsid w:val="00CC2641"/>
    <w:rsid w:val="00CC7B2A"/>
    <w:rsid w:val="00CD36CC"/>
    <w:rsid w:val="00CE30AE"/>
    <w:rsid w:val="00CE31BD"/>
    <w:rsid w:val="00CE6769"/>
    <w:rsid w:val="00CE79BB"/>
    <w:rsid w:val="00CF406C"/>
    <w:rsid w:val="00CF7180"/>
    <w:rsid w:val="00D02D3E"/>
    <w:rsid w:val="00D06A8F"/>
    <w:rsid w:val="00D125E2"/>
    <w:rsid w:val="00D142CC"/>
    <w:rsid w:val="00D149C9"/>
    <w:rsid w:val="00D17590"/>
    <w:rsid w:val="00D23EA3"/>
    <w:rsid w:val="00D26497"/>
    <w:rsid w:val="00D26ADC"/>
    <w:rsid w:val="00D31D6C"/>
    <w:rsid w:val="00D335BC"/>
    <w:rsid w:val="00D355CF"/>
    <w:rsid w:val="00D4172B"/>
    <w:rsid w:val="00D52277"/>
    <w:rsid w:val="00D53932"/>
    <w:rsid w:val="00D53938"/>
    <w:rsid w:val="00D60FF7"/>
    <w:rsid w:val="00D620BB"/>
    <w:rsid w:val="00D63601"/>
    <w:rsid w:val="00D65936"/>
    <w:rsid w:val="00D66006"/>
    <w:rsid w:val="00D7024A"/>
    <w:rsid w:val="00D807B5"/>
    <w:rsid w:val="00D87153"/>
    <w:rsid w:val="00D940CF"/>
    <w:rsid w:val="00DA1D4C"/>
    <w:rsid w:val="00DA2DB8"/>
    <w:rsid w:val="00DA3E6C"/>
    <w:rsid w:val="00DA401C"/>
    <w:rsid w:val="00DA4F8E"/>
    <w:rsid w:val="00DB0B9F"/>
    <w:rsid w:val="00DB4610"/>
    <w:rsid w:val="00DB6441"/>
    <w:rsid w:val="00DB6A57"/>
    <w:rsid w:val="00DB774E"/>
    <w:rsid w:val="00DC2FD0"/>
    <w:rsid w:val="00DC485A"/>
    <w:rsid w:val="00DE5C0C"/>
    <w:rsid w:val="00DE646B"/>
    <w:rsid w:val="00DE7326"/>
    <w:rsid w:val="00DF033C"/>
    <w:rsid w:val="00DF1EA2"/>
    <w:rsid w:val="00E00ABA"/>
    <w:rsid w:val="00E05BAB"/>
    <w:rsid w:val="00E10D07"/>
    <w:rsid w:val="00E119C7"/>
    <w:rsid w:val="00E12D22"/>
    <w:rsid w:val="00E167DA"/>
    <w:rsid w:val="00E169E3"/>
    <w:rsid w:val="00E20677"/>
    <w:rsid w:val="00E23005"/>
    <w:rsid w:val="00E24770"/>
    <w:rsid w:val="00E35A7D"/>
    <w:rsid w:val="00E53A41"/>
    <w:rsid w:val="00E55792"/>
    <w:rsid w:val="00E565FA"/>
    <w:rsid w:val="00E60C2C"/>
    <w:rsid w:val="00E64636"/>
    <w:rsid w:val="00E6597B"/>
    <w:rsid w:val="00E667F5"/>
    <w:rsid w:val="00E704C5"/>
    <w:rsid w:val="00E70B9C"/>
    <w:rsid w:val="00E74F48"/>
    <w:rsid w:val="00E751AF"/>
    <w:rsid w:val="00E82FCF"/>
    <w:rsid w:val="00E832BC"/>
    <w:rsid w:val="00E846A0"/>
    <w:rsid w:val="00E91B64"/>
    <w:rsid w:val="00E92BA6"/>
    <w:rsid w:val="00E9667A"/>
    <w:rsid w:val="00EA058E"/>
    <w:rsid w:val="00EA31AF"/>
    <w:rsid w:val="00EB5B13"/>
    <w:rsid w:val="00EC16B1"/>
    <w:rsid w:val="00EC1E6B"/>
    <w:rsid w:val="00EC534D"/>
    <w:rsid w:val="00EC75B6"/>
    <w:rsid w:val="00ED0485"/>
    <w:rsid w:val="00ED3688"/>
    <w:rsid w:val="00ED3755"/>
    <w:rsid w:val="00ED62AC"/>
    <w:rsid w:val="00EE3874"/>
    <w:rsid w:val="00EE4B1A"/>
    <w:rsid w:val="00EF481B"/>
    <w:rsid w:val="00F0179E"/>
    <w:rsid w:val="00F10FEF"/>
    <w:rsid w:val="00F13AE7"/>
    <w:rsid w:val="00F24067"/>
    <w:rsid w:val="00F26159"/>
    <w:rsid w:val="00F26C03"/>
    <w:rsid w:val="00F30592"/>
    <w:rsid w:val="00F40516"/>
    <w:rsid w:val="00F40CB4"/>
    <w:rsid w:val="00F41906"/>
    <w:rsid w:val="00F44BAE"/>
    <w:rsid w:val="00F4554E"/>
    <w:rsid w:val="00F45D1A"/>
    <w:rsid w:val="00F477CC"/>
    <w:rsid w:val="00F504F4"/>
    <w:rsid w:val="00F511C3"/>
    <w:rsid w:val="00F51AD7"/>
    <w:rsid w:val="00F55617"/>
    <w:rsid w:val="00F63E15"/>
    <w:rsid w:val="00F645EE"/>
    <w:rsid w:val="00F80467"/>
    <w:rsid w:val="00F94F74"/>
    <w:rsid w:val="00F97F84"/>
    <w:rsid w:val="00FA338F"/>
    <w:rsid w:val="00FA44D9"/>
    <w:rsid w:val="00FB4BD8"/>
    <w:rsid w:val="00FC09CD"/>
    <w:rsid w:val="00FC4B21"/>
    <w:rsid w:val="00FC6659"/>
    <w:rsid w:val="00FC69DE"/>
    <w:rsid w:val="00FC7145"/>
    <w:rsid w:val="00FD19DD"/>
    <w:rsid w:val="00FD43E7"/>
    <w:rsid w:val="00FD49F8"/>
    <w:rsid w:val="00FD55DD"/>
    <w:rsid w:val="00FD5CAD"/>
    <w:rsid w:val="00FD6091"/>
    <w:rsid w:val="00FE112E"/>
    <w:rsid w:val="00FE3CCC"/>
    <w:rsid w:val="00FE577B"/>
    <w:rsid w:val="00FE7109"/>
    <w:rsid w:val="00FE7182"/>
    <w:rsid w:val="00FF151A"/>
    <w:rsid w:val="00FF2160"/>
    <w:rsid w:val="00FF2AA7"/>
    <w:rsid w:val="00FF59C2"/>
    <w:rsid w:val="00FF5C29"/>
    <w:rsid w:val="00FF7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47DDB2"/>
  <w15:chartTrackingRefBased/>
  <w15:docId w15:val="{625719C9-3F52-4C8C-A434-CC5F8153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16D"/>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237483"/>
    <w:pPr>
      <w:keepNext/>
      <w:keepLines/>
      <w:spacing w:before="40" w:after="0"/>
      <w:outlineLvl w:val="1"/>
    </w:pPr>
    <w:rPr>
      <w:rFonts w:ascii="Helvetica" w:eastAsiaTheme="majorEastAsia" w:hAnsi="Helvetic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237483"/>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semiHidden/>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EndnoteText">
    <w:name w:val="endnote text"/>
    <w:basedOn w:val="Normal"/>
    <w:link w:val="EndnoteTextChar"/>
    <w:uiPriority w:val="99"/>
    <w:unhideWhenUsed/>
    <w:rsid w:val="00FD43E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FD43E7"/>
    <w:rPr>
      <w:sz w:val="20"/>
      <w:szCs w:val="20"/>
    </w:rPr>
  </w:style>
  <w:style w:type="character" w:styleId="EndnoteReference">
    <w:name w:val="endnote reference"/>
    <w:basedOn w:val="DefaultParagraphFont"/>
    <w:uiPriority w:val="99"/>
    <w:unhideWhenUsed/>
    <w:rsid w:val="00FD43E7"/>
    <w:rPr>
      <w:vertAlign w:val="superscript"/>
    </w:rPr>
  </w:style>
  <w:style w:type="character" w:customStyle="1" w:styleId="apple-converted-space">
    <w:name w:val="apple-converted-space"/>
    <w:basedOn w:val="DefaultParagraphFont"/>
    <w:rsid w:val="00FD43E7"/>
  </w:style>
  <w:style w:type="paragraph" w:styleId="NormalWeb">
    <w:name w:val="Normal (Web)"/>
    <w:basedOn w:val="Normal"/>
    <w:uiPriority w:val="99"/>
    <w:unhideWhenUsed/>
    <w:rsid w:val="00FF59C2"/>
    <w:pPr>
      <w:spacing w:before="0" w:after="0" w:line="240" w:lineRule="auto"/>
    </w:pPr>
    <w:rPr>
      <w:rFonts w:ascii="Times New Roman" w:hAnsi="Times New Roman" w:cs="Times New Roman"/>
      <w:sz w:val="24"/>
      <w:szCs w:val="24"/>
      <w:lang w:eastAsia="en-AU"/>
    </w:rPr>
  </w:style>
  <w:style w:type="table" w:styleId="TableGrid">
    <w:name w:val="Table Grid"/>
    <w:basedOn w:val="TableNormal"/>
    <w:uiPriority w:val="39"/>
    <w:rsid w:val="00034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0C5F"/>
    <w:pPr>
      <w:spacing w:before="360" w:after="100"/>
    </w:pPr>
  </w:style>
  <w:style w:type="table" w:styleId="GridTable4-Accent6">
    <w:name w:val="Grid Table 4 Accent 6"/>
    <w:basedOn w:val="TableNormal"/>
    <w:uiPriority w:val="49"/>
    <w:rsid w:val="00873E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873E3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873E3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F1A24"/>
    <w:rPr>
      <w:color w:val="605E5C"/>
      <w:shd w:val="clear" w:color="auto" w:fill="E1DFDD"/>
    </w:rPr>
  </w:style>
  <w:style w:type="character" w:styleId="PlaceholderText">
    <w:name w:val="Placeholder Text"/>
    <w:basedOn w:val="DefaultParagraphFont"/>
    <w:uiPriority w:val="99"/>
    <w:semiHidden/>
    <w:rsid w:val="005535E0"/>
    <w:rPr>
      <w:color w:val="808080"/>
    </w:rPr>
  </w:style>
  <w:style w:type="paragraph" w:styleId="TOC2">
    <w:name w:val="toc 2"/>
    <w:basedOn w:val="Normal"/>
    <w:next w:val="Normal"/>
    <w:autoRedefine/>
    <w:uiPriority w:val="39"/>
    <w:unhideWhenUsed/>
    <w:rsid w:val="00E832BC"/>
    <w:pPr>
      <w:spacing w:after="100"/>
      <w:ind w:left="220"/>
    </w:pPr>
  </w:style>
  <w:style w:type="paragraph" w:styleId="NoSpacing">
    <w:name w:val="No Spacing"/>
    <w:uiPriority w:val="1"/>
    <w:qFormat/>
    <w:rsid w:val="00747CF0"/>
    <w:pPr>
      <w:spacing w:after="0" w:line="240" w:lineRule="auto"/>
    </w:pPr>
    <w:rPr>
      <w:rFonts w:ascii="Arial" w:hAnsi="Arial"/>
    </w:rPr>
  </w:style>
  <w:style w:type="character" w:customStyle="1" w:styleId="UnresolvedMention">
    <w:name w:val="Unresolved Mention"/>
    <w:basedOn w:val="DefaultParagraphFont"/>
    <w:uiPriority w:val="99"/>
    <w:semiHidden/>
    <w:unhideWhenUsed/>
    <w:rsid w:val="00A60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5436">
      <w:bodyDiv w:val="1"/>
      <w:marLeft w:val="0"/>
      <w:marRight w:val="0"/>
      <w:marTop w:val="0"/>
      <w:marBottom w:val="0"/>
      <w:divBdr>
        <w:top w:val="none" w:sz="0" w:space="0" w:color="auto"/>
        <w:left w:val="none" w:sz="0" w:space="0" w:color="auto"/>
        <w:bottom w:val="none" w:sz="0" w:space="0" w:color="auto"/>
        <w:right w:val="none" w:sz="0" w:space="0" w:color="auto"/>
      </w:divBdr>
    </w:div>
    <w:div w:id="1600408133">
      <w:bodyDiv w:val="1"/>
      <w:marLeft w:val="0"/>
      <w:marRight w:val="0"/>
      <w:marTop w:val="0"/>
      <w:marBottom w:val="0"/>
      <w:divBdr>
        <w:top w:val="none" w:sz="0" w:space="0" w:color="auto"/>
        <w:left w:val="none" w:sz="0" w:space="0" w:color="auto"/>
        <w:bottom w:val="none" w:sz="0" w:space="0" w:color="auto"/>
        <w:right w:val="none" w:sz="0" w:space="0" w:color="auto"/>
      </w:divBdr>
    </w:div>
    <w:div w:id="2027822254">
      <w:bodyDiv w:val="1"/>
      <w:marLeft w:val="0"/>
      <w:marRight w:val="0"/>
      <w:marTop w:val="0"/>
      <w:marBottom w:val="0"/>
      <w:divBdr>
        <w:top w:val="none" w:sz="0" w:space="0" w:color="auto"/>
        <w:left w:val="none" w:sz="0" w:space="0" w:color="auto"/>
        <w:bottom w:val="none" w:sz="0" w:space="0" w:color="auto"/>
        <w:right w:val="none" w:sz="0" w:space="0" w:color="auto"/>
      </w:divBdr>
    </w:div>
    <w:div w:id="20565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yda.org.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sayers@cyda.org.au"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docs-edu.govcms.gov.au/documents/alice-springs-mparntwe-education-declaration" TargetMode="External"/><Relationship Id="rId13" Type="http://schemas.openxmlformats.org/officeDocument/2006/relationships/hyperlink" Target="http://www.mitchellinstitute.org.au" TargetMode="External"/><Relationship Id="rId18" Type="http://schemas.openxmlformats.org/officeDocument/2006/relationships/hyperlink" Target="http://library.bsl.org.au/jspui/bitstream/1/11134/2/BSL_Smashing_the_avocado_debate_youth_unemployment_hotspots_Mar2019.pdf" TargetMode="External"/><Relationship Id="rId26" Type="http://schemas.openxmlformats.org/officeDocument/2006/relationships/hyperlink" Target="https://www.adcet.edu.au/inclusive-teaching/understanding-disability/Higher-Education-Statistics/" TargetMode="External"/><Relationship Id="rId3" Type="http://schemas.openxmlformats.org/officeDocument/2006/relationships/hyperlink" Target="https://www.aihw.gov.au/reports/disability/people-with-disability-in-australia/education-and-skills" TargetMode="External"/><Relationship Id="rId21" Type="http://schemas.openxmlformats.org/officeDocument/2006/relationships/hyperlink" Target="https://www.dss.gov.au/disability-and-carers-programs-services-for-people-with-disability-employment-for-people-with-disability/ndis-participant-employment-taskforce-terms-of-reference" TargetMode="External"/><Relationship Id="rId7" Type="http://schemas.openxmlformats.org/officeDocument/2006/relationships/hyperlink" Target="https://www.cyda.org.au/cdasubmissions" TargetMode="External"/><Relationship Id="rId12" Type="http://schemas.openxmlformats.org/officeDocument/2006/relationships/hyperlink" Target="https://www.westernsydney.edu.au/__data/assets/pdf_file/0005/476330/Young_and_Well_CRC_IM_PD_Guide.pdf" TargetMode="External"/><Relationship Id="rId17" Type="http://schemas.openxmlformats.org/officeDocument/2006/relationships/hyperlink" Target="https://www.humanrights.gov.au/our-work/disability-rights/publications/willing-work-national-inquiry-employment-discrimination" TargetMode="External"/><Relationship Id="rId25" Type="http://schemas.openxmlformats.org/officeDocument/2006/relationships/hyperlink" Target="https://www.humanservices.gov.au/individuals/services/centrelink/disability-support-pension/how-much-you-can-get/payment-rates" TargetMode="External"/><Relationship Id="rId2" Type="http://schemas.openxmlformats.org/officeDocument/2006/relationships/hyperlink" Target="https://www.aihw.gov.au/reports/disability/people-with-disability-in-australia/education-and-skills" TargetMode="External"/><Relationship Id="rId16" Type="http://schemas.openxmlformats.org/officeDocument/2006/relationships/hyperlink" Target="https://dpoa.org.au/crpd-shadow-report-consultation-survey-results/" TargetMode="External"/><Relationship Id="rId20" Type="http://schemas.openxmlformats.org/officeDocument/2006/relationships/hyperlink" Target="https://www.ndis.gov.au/about-us/data-and-insights/reports-and-analyses/employment-outcomes-participants-their-families-and-carers" TargetMode="External"/><Relationship Id="rId1" Type="http://schemas.openxmlformats.org/officeDocument/2006/relationships/hyperlink" Target="https://alana.org.br/wp-content/uploads/2016/12/A_Summary_of_the_evidence_on_inclusive_education.pdf" TargetMode="External"/><Relationship Id="rId6" Type="http://schemas.openxmlformats.org/officeDocument/2006/relationships/hyperlink" Target="https://education.unimelb.edu.au/mgse-industry-reports/report-1-those-who-disappear" TargetMode="External"/><Relationship Id="rId11" Type="http://schemas.openxmlformats.org/officeDocument/2006/relationships/hyperlink" Target="https://www.cyda.org.au/cda-issue-papers" TargetMode="External"/><Relationship Id="rId24" Type="http://schemas.openxmlformats.org/officeDocument/2006/relationships/hyperlink" Target="https://www.humanservices.gov.au/individuals/services/centrelink/youth-allowance-students-and-australian-apprentices/how-much-you-can-get" TargetMode="External"/><Relationship Id="rId5" Type="http://schemas.openxmlformats.org/officeDocument/2006/relationships/hyperlink" Target="https://www.cyda.org.au/education_issues" TargetMode="External"/><Relationship Id="rId15" Type="http://schemas.openxmlformats.org/officeDocument/2006/relationships/hyperlink" Target="https://www.pwc.com.au/industry/government/assets/disability-in-australia.pdf" TargetMode="External"/><Relationship Id="rId23" Type="http://schemas.openxmlformats.org/officeDocument/2006/relationships/hyperlink" Target="https://www.humanservices.gov.au/individuals/services/centrelink/newstart-allowance/how-much-you-can-get" TargetMode="External"/><Relationship Id="rId10" Type="http://schemas.openxmlformats.org/officeDocument/2006/relationships/hyperlink" Target="https://docs.education.gov.au/system/files/doc/other/swd-terms_of_reference-final-web.pdf" TargetMode="External"/><Relationship Id="rId19" Type="http://schemas.openxmlformats.org/officeDocument/2006/relationships/hyperlink" Target="https://www.pwc.com.au/industry/government/assets/disability-in-australia.pdf" TargetMode="External"/><Relationship Id="rId4" Type="http://schemas.openxmlformats.org/officeDocument/2006/relationships/hyperlink" Target="https://www.education.vic.gov.au/about/department/Pages/factsandfigures.aspx" TargetMode="External"/><Relationship Id="rId9" Type="http://schemas.openxmlformats.org/officeDocument/2006/relationships/hyperlink" Target="https://acie.org.au/2019/12/12/new-national-education-policy-ignores-students-with-disability-again/" TargetMode="External"/><Relationship Id="rId14" Type="http://schemas.openxmlformats.org/officeDocument/2006/relationships/hyperlink" Target="http://www.oecd.org/" TargetMode="External"/><Relationship Id="rId22" Type="http://schemas.openxmlformats.org/officeDocument/2006/relationships/hyperlink" Target="http://library.bsl.org.au/jspui/bitstream/1/11134/2/BSL_Smashing_the_avocado_debate_youth_unemployment_hotspots_Mar2019.pdf" TargetMode="External"/><Relationship Id="rId27" Type="http://schemas.openxmlformats.org/officeDocument/2006/relationships/hyperlink" Target="http://www.mitchellinstitute.org.au/papers/rethinking-and-revitalising-tertiary-edu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Educational</a:t>
            </a:r>
            <a:r>
              <a:rPr lang="en-AU" baseline="0"/>
              <a:t> environment for post school pathways support</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81411319400975"/>
          <c:y val="0.15116852578775761"/>
          <c:w val="0.46705176497289302"/>
          <c:h val="0.62449813228547735"/>
        </c:manualLayout>
      </c:layout>
      <c:barChart>
        <c:barDir val="bar"/>
        <c:grouping val="stacked"/>
        <c:varyColors val="0"/>
        <c:ser>
          <c:idx val="0"/>
          <c:order val="0"/>
          <c:tx>
            <c:strRef>
              <c:f>Sheet1!$B$22</c:f>
              <c:strCache>
                <c:ptCount val="1"/>
                <c:pt idx="0">
                  <c:v>Strongly agree</c:v>
                </c:pt>
              </c:strCache>
            </c:strRef>
          </c:tx>
          <c:spPr>
            <a:solidFill>
              <a:schemeClr val="accent6">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Sheet1!$A$23:$A$27</c:f>
              <c:strCache>
                <c:ptCount val="5"/>
                <c:pt idx="0">
                  <c:v>The school supported me well to consider my career after school</c:v>
                </c:pt>
                <c:pt idx="1">
                  <c:v>The school supported me to consider my education and training options after school</c:v>
                </c:pt>
                <c:pt idx="2">
                  <c:v>The school had high expectations for my employment or further education after school</c:v>
                </c:pt>
                <c:pt idx="3">
                  <c:v>The assistance and information available through school was useful</c:v>
                </c:pt>
                <c:pt idx="4">
                  <c:v>I received adequate support to think about and plan for my future after school</c:v>
                </c:pt>
              </c:strCache>
            </c:strRef>
          </c:cat>
          <c:val>
            <c:numRef>
              <c:f>Sheet1!$B$23:$B$27</c:f>
              <c:numCache>
                <c:formatCode>0.0%</c:formatCode>
                <c:ptCount val="5"/>
                <c:pt idx="0">
                  <c:v>9.4E-2</c:v>
                </c:pt>
                <c:pt idx="1">
                  <c:v>0.105</c:v>
                </c:pt>
                <c:pt idx="2">
                  <c:v>0.105</c:v>
                </c:pt>
                <c:pt idx="3">
                  <c:v>0.11700000000000001</c:v>
                </c:pt>
                <c:pt idx="4">
                  <c:v>0.11700000000000001</c:v>
                </c:pt>
              </c:numCache>
            </c:numRef>
          </c:val>
          <c:extLst xmlns:c16r2="http://schemas.microsoft.com/office/drawing/2015/06/chart">
            <c:ext xmlns:c16="http://schemas.microsoft.com/office/drawing/2014/chart" uri="{C3380CC4-5D6E-409C-BE32-E72D297353CC}">
              <c16:uniqueId val="{00000000-DEF9-4AE7-84F1-2FC1719E289C}"/>
            </c:ext>
          </c:extLst>
        </c:ser>
        <c:ser>
          <c:idx val="1"/>
          <c:order val="1"/>
          <c:tx>
            <c:strRef>
              <c:f>Sheet1!$C$22</c:f>
              <c:strCache>
                <c:ptCount val="1"/>
                <c:pt idx="0">
                  <c:v>Agree</c:v>
                </c:pt>
              </c:strCache>
            </c:strRef>
          </c:tx>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Sheet1!$A$23:$A$27</c:f>
              <c:strCache>
                <c:ptCount val="5"/>
                <c:pt idx="0">
                  <c:v>The school supported me well to consider my career after school</c:v>
                </c:pt>
                <c:pt idx="1">
                  <c:v>The school supported me to consider my education and training options after school</c:v>
                </c:pt>
                <c:pt idx="2">
                  <c:v>The school had high expectations for my employment or further education after school</c:v>
                </c:pt>
                <c:pt idx="3">
                  <c:v>The assistance and information available through school was useful</c:v>
                </c:pt>
                <c:pt idx="4">
                  <c:v>I received adequate support to think about and plan for my future after school</c:v>
                </c:pt>
              </c:strCache>
            </c:strRef>
          </c:cat>
          <c:val>
            <c:numRef>
              <c:f>Sheet1!$C$23:$C$27</c:f>
              <c:numCache>
                <c:formatCode>0.0%</c:formatCode>
                <c:ptCount val="5"/>
                <c:pt idx="0">
                  <c:v>0.2</c:v>
                </c:pt>
                <c:pt idx="1">
                  <c:v>0.2</c:v>
                </c:pt>
                <c:pt idx="2">
                  <c:v>0.14099999999999999</c:v>
                </c:pt>
                <c:pt idx="3">
                  <c:v>0.188</c:v>
                </c:pt>
                <c:pt idx="4">
                  <c:v>0.16400000000000001</c:v>
                </c:pt>
              </c:numCache>
            </c:numRef>
          </c:val>
          <c:extLst xmlns:c16r2="http://schemas.microsoft.com/office/drawing/2015/06/chart">
            <c:ext xmlns:c16="http://schemas.microsoft.com/office/drawing/2014/chart" uri="{C3380CC4-5D6E-409C-BE32-E72D297353CC}">
              <c16:uniqueId val="{00000001-DEF9-4AE7-84F1-2FC1719E289C}"/>
            </c:ext>
          </c:extLst>
        </c:ser>
        <c:ser>
          <c:idx val="2"/>
          <c:order val="2"/>
          <c:tx>
            <c:strRef>
              <c:f>Sheet1!$D$22</c:f>
              <c:strCache>
                <c:ptCount val="1"/>
                <c:pt idx="0">
                  <c:v>Neither agree nor disagree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Sheet1!$A$23:$A$27</c:f>
              <c:strCache>
                <c:ptCount val="5"/>
                <c:pt idx="0">
                  <c:v>The school supported me well to consider my career after school</c:v>
                </c:pt>
                <c:pt idx="1">
                  <c:v>The school supported me to consider my education and training options after school</c:v>
                </c:pt>
                <c:pt idx="2">
                  <c:v>The school had high expectations for my employment or further education after school</c:v>
                </c:pt>
                <c:pt idx="3">
                  <c:v>The assistance and information available through school was useful</c:v>
                </c:pt>
                <c:pt idx="4">
                  <c:v>I received adequate support to think about and plan for my future after school</c:v>
                </c:pt>
              </c:strCache>
            </c:strRef>
          </c:cat>
          <c:val>
            <c:numRef>
              <c:f>Sheet1!$D$23:$D$27</c:f>
              <c:numCache>
                <c:formatCode>0.0%</c:formatCode>
                <c:ptCount val="5"/>
                <c:pt idx="0">
                  <c:v>0.2</c:v>
                </c:pt>
                <c:pt idx="1">
                  <c:v>0.188</c:v>
                </c:pt>
                <c:pt idx="2">
                  <c:v>0.14099999999999999</c:v>
                </c:pt>
                <c:pt idx="3">
                  <c:v>0.17599999999999999</c:v>
                </c:pt>
                <c:pt idx="4">
                  <c:v>0.17599999999999999</c:v>
                </c:pt>
              </c:numCache>
            </c:numRef>
          </c:val>
          <c:extLst xmlns:c16r2="http://schemas.microsoft.com/office/drawing/2015/06/chart">
            <c:ext xmlns:c16="http://schemas.microsoft.com/office/drawing/2014/chart" uri="{C3380CC4-5D6E-409C-BE32-E72D297353CC}">
              <c16:uniqueId val="{00000002-DEF9-4AE7-84F1-2FC1719E289C}"/>
            </c:ext>
          </c:extLst>
        </c:ser>
        <c:ser>
          <c:idx val="3"/>
          <c:order val="3"/>
          <c:tx>
            <c:strRef>
              <c:f>Sheet1!$E$22</c:f>
              <c:strCache>
                <c:ptCount val="1"/>
                <c:pt idx="0">
                  <c:v>Disagree </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Sheet1!$A$23:$A$27</c:f>
              <c:strCache>
                <c:ptCount val="5"/>
                <c:pt idx="0">
                  <c:v>The school supported me well to consider my career after school</c:v>
                </c:pt>
                <c:pt idx="1">
                  <c:v>The school supported me to consider my education and training options after school</c:v>
                </c:pt>
                <c:pt idx="2">
                  <c:v>The school had high expectations for my employment or further education after school</c:v>
                </c:pt>
                <c:pt idx="3">
                  <c:v>The assistance and information available through school was useful</c:v>
                </c:pt>
                <c:pt idx="4">
                  <c:v>I received adequate support to think about and plan for my future after school</c:v>
                </c:pt>
              </c:strCache>
            </c:strRef>
          </c:cat>
          <c:val>
            <c:numRef>
              <c:f>Sheet1!$E$23:$E$27</c:f>
              <c:numCache>
                <c:formatCode>0.0%</c:formatCode>
                <c:ptCount val="5"/>
                <c:pt idx="0">
                  <c:v>0.14099999999999999</c:v>
                </c:pt>
                <c:pt idx="1">
                  <c:v>0.16400000000000001</c:v>
                </c:pt>
                <c:pt idx="2">
                  <c:v>0.247</c:v>
                </c:pt>
                <c:pt idx="3">
                  <c:v>0.188</c:v>
                </c:pt>
                <c:pt idx="4">
                  <c:v>0.16400000000000001</c:v>
                </c:pt>
              </c:numCache>
            </c:numRef>
          </c:val>
          <c:extLst xmlns:c16r2="http://schemas.microsoft.com/office/drawing/2015/06/chart">
            <c:ext xmlns:c16="http://schemas.microsoft.com/office/drawing/2014/chart" uri="{C3380CC4-5D6E-409C-BE32-E72D297353CC}">
              <c16:uniqueId val="{00000003-DEF9-4AE7-84F1-2FC1719E289C}"/>
            </c:ext>
          </c:extLst>
        </c:ser>
        <c:ser>
          <c:idx val="4"/>
          <c:order val="4"/>
          <c:tx>
            <c:strRef>
              <c:f>Sheet1!$F$22</c:f>
              <c:strCache>
                <c:ptCount val="1"/>
                <c:pt idx="0">
                  <c:v>Strongly disagree</c:v>
                </c:pt>
              </c:strCache>
            </c:strRef>
          </c:tx>
          <c:spPr>
            <a:solidFill>
              <a:schemeClr val="accent6">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Sheet1!$A$23:$A$27</c:f>
              <c:strCache>
                <c:ptCount val="5"/>
                <c:pt idx="0">
                  <c:v>The school supported me well to consider my career after school</c:v>
                </c:pt>
                <c:pt idx="1">
                  <c:v>The school supported me to consider my education and training options after school</c:v>
                </c:pt>
                <c:pt idx="2">
                  <c:v>The school had high expectations for my employment or further education after school</c:v>
                </c:pt>
                <c:pt idx="3">
                  <c:v>The assistance and information available through school was useful</c:v>
                </c:pt>
                <c:pt idx="4">
                  <c:v>I received adequate support to think about and plan for my future after school</c:v>
                </c:pt>
              </c:strCache>
            </c:strRef>
          </c:cat>
          <c:val>
            <c:numRef>
              <c:f>Sheet1!$F$23:$F$27</c:f>
              <c:numCache>
                <c:formatCode>0.0%</c:formatCode>
                <c:ptCount val="5"/>
                <c:pt idx="0">
                  <c:v>0.36399999999999999</c:v>
                </c:pt>
                <c:pt idx="1">
                  <c:v>0.34100000000000003</c:v>
                </c:pt>
                <c:pt idx="2">
                  <c:v>0.35199999999999998</c:v>
                </c:pt>
                <c:pt idx="3">
                  <c:v>0.317</c:v>
                </c:pt>
                <c:pt idx="4">
                  <c:v>0.376</c:v>
                </c:pt>
              </c:numCache>
            </c:numRef>
          </c:val>
          <c:extLst xmlns:c16r2="http://schemas.microsoft.com/office/drawing/2015/06/chart">
            <c:ext xmlns:c16="http://schemas.microsoft.com/office/drawing/2014/chart" uri="{C3380CC4-5D6E-409C-BE32-E72D297353CC}">
              <c16:uniqueId val="{00000004-DEF9-4AE7-84F1-2FC1719E289C}"/>
            </c:ext>
          </c:extLst>
        </c:ser>
        <c:dLbls>
          <c:showLegendKey val="0"/>
          <c:showVal val="0"/>
          <c:showCatName val="0"/>
          <c:showSerName val="0"/>
          <c:showPercent val="0"/>
          <c:showBubbleSize val="0"/>
        </c:dLbls>
        <c:gapWidth val="150"/>
        <c:overlap val="100"/>
        <c:axId val="171472280"/>
        <c:axId val="171467968"/>
      </c:barChart>
      <c:catAx>
        <c:axId val="1714722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7968"/>
        <c:crosses val="autoZero"/>
        <c:auto val="1"/>
        <c:lblAlgn val="ctr"/>
        <c:lblOffset val="100"/>
        <c:noMultiLvlLbl val="0"/>
      </c:catAx>
      <c:valAx>
        <c:axId val="1714679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72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 20-25</a:t>
            </a:r>
            <a:r>
              <a:rPr lang="en-AU" baseline="0"/>
              <a:t> with disability</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'[Income support over time.xlsx]Sheet1'!$B$1</c:f>
              <c:strCache>
                <c:ptCount val="1"/>
                <c:pt idx="0">
                  <c:v>Newstart - Partial capacity to work</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time.xlsx]Sheet1'!$B$2:$B$12</c:f>
              <c:numCache>
                <c:formatCode>General</c:formatCode>
                <c:ptCount val="11"/>
                <c:pt idx="0">
                  <c:v>5308</c:v>
                </c:pt>
                <c:pt idx="1">
                  <c:v>6667</c:v>
                </c:pt>
                <c:pt idx="2">
                  <c:v>7709</c:v>
                </c:pt>
                <c:pt idx="3">
                  <c:v>8905</c:v>
                </c:pt>
                <c:pt idx="4">
                  <c:v>9133</c:v>
                </c:pt>
                <c:pt idx="5">
                  <c:v>11551</c:v>
                </c:pt>
                <c:pt idx="6">
                  <c:v>13428</c:v>
                </c:pt>
                <c:pt idx="7">
                  <c:v>15226</c:v>
                </c:pt>
                <c:pt idx="8">
                  <c:v>16107</c:v>
                </c:pt>
                <c:pt idx="9">
                  <c:v>17685</c:v>
                </c:pt>
                <c:pt idx="10">
                  <c:v>19017</c:v>
                </c:pt>
              </c:numCache>
            </c:numRef>
          </c:val>
          <c:smooth val="0"/>
          <c:extLst xmlns:c16r2="http://schemas.microsoft.com/office/drawing/2015/06/chart">
            <c:ext xmlns:c16="http://schemas.microsoft.com/office/drawing/2014/chart" uri="{C3380CC4-5D6E-409C-BE32-E72D297353CC}">
              <c16:uniqueId val="{00000000-9ADD-49EF-8894-48492FAAB166}"/>
            </c:ext>
          </c:extLst>
        </c:ser>
        <c:ser>
          <c:idx val="1"/>
          <c:order val="1"/>
          <c:tx>
            <c:strRef>
              <c:f>'[Income support over time.xlsx]Sheet1'!$C$1</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time.xlsx]Sheet1'!$C$2:$C$12</c:f>
              <c:numCache>
                <c:formatCode>General</c:formatCode>
                <c:ptCount val="11"/>
                <c:pt idx="0">
                  <c:v>936</c:v>
                </c:pt>
                <c:pt idx="1">
                  <c:v>1318</c:v>
                </c:pt>
                <c:pt idx="2">
                  <c:v>1432</c:v>
                </c:pt>
                <c:pt idx="3">
                  <c:v>1878</c:v>
                </c:pt>
                <c:pt idx="4">
                  <c:v>4708</c:v>
                </c:pt>
                <c:pt idx="5">
                  <c:v>5728</c:v>
                </c:pt>
                <c:pt idx="6">
                  <c:v>6547</c:v>
                </c:pt>
                <c:pt idx="7">
                  <c:v>6857</c:v>
                </c:pt>
                <c:pt idx="8">
                  <c:v>6649</c:v>
                </c:pt>
                <c:pt idx="9">
                  <c:v>6745</c:v>
                </c:pt>
                <c:pt idx="10">
                  <c:v>7681</c:v>
                </c:pt>
              </c:numCache>
            </c:numRef>
          </c:val>
          <c:smooth val="0"/>
          <c:extLst xmlns:c16r2="http://schemas.microsoft.com/office/drawing/2015/06/chart">
            <c:ext xmlns:c16="http://schemas.microsoft.com/office/drawing/2014/chart" uri="{C3380CC4-5D6E-409C-BE32-E72D297353CC}">
              <c16:uniqueId val="{00000001-9ADD-49EF-8894-48492FAAB166}"/>
            </c:ext>
          </c:extLst>
        </c:ser>
        <c:ser>
          <c:idx val="2"/>
          <c:order val="2"/>
          <c:tx>
            <c:strRef>
              <c:f>'[Income support over time.xlsx]Sheet1'!$D$1</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time.xlsx]Sheet1'!$D$2:$D$12</c:f>
              <c:numCache>
                <c:formatCode>General</c:formatCode>
                <c:ptCount val="11"/>
                <c:pt idx="0">
                  <c:v>36128</c:v>
                </c:pt>
                <c:pt idx="1">
                  <c:v>38016</c:v>
                </c:pt>
                <c:pt idx="2">
                  <c:v>40133</c:v>
                </c:pt>
                <c:pt idx="3">
                  <c:v>41554</c:v>
                </c:pt>
                <c:pt idx="4">
                  <c:v>42970</c:v>
                </c:pt>
                <c:pt idx="5">
                  <c:v>44451</c:v>
                </c:pt>
                <c:pt idx="6">
                  <c:v>44634</c:v>
                </c:pt>
                <c:pt idx="7">
                  <c:v>42004</c:v>
                </c:pt>
                <c:pt idx="8">
                  <c:v>41216</c:v>
                </c:pt>
                <c:pt idx="9">
                  <c:v>40638</c:v>
                </c:pt>
                <c:pt idx="10">
                  <c:v>40092</c:v>
                </c:pt>
              </c:numCache>
            </c:numRef>
          </c:val>
          <c:smooth val="0"/>
          <c:extLst xmlns:c16r2="http://schemas.microsoft.com/office/drawing/2015/06/chart">
            <c:ext xmlns:c16="http://schemas.microsoft.com/office/drawing/2014/chart" uri="{C3380CC4-5D6E-409C-BE32-E72D297353CC}">
              <c16:uniqueId val="{00000002-9ADD-49EF-8894-48492FAAB166}"/>
            </c:ext>
          </c:extLst>
        </c:ser>
        <c:dLbls>
          <c:showLegendKey val="0"/>
          <c:showVal val="0"/>
          <c:showCatName val="0"/>
          <c:showSerName val="0"/>
          <c:showPercent val="0"/>
          <c:showBubbleSize val="0"/>
        </c:dLbls>
        <c:marker val="1"/>
        <c:smooth val="0"/>
        <c:axId val="171466008"/>
        <c:axId val="171472672"/>
      </c:lineChart>
      <c:catAx>
        <c:axId val="171466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72672"/>
        <c:crosses val="autoZero"/>
        <c:auto val="1"/>
        <c:lblAlgn val="ctr"/>
        <c:lblOffset val="100"/>
        <c:noMultiLvlLbl val="0"/>
      </c:catAx>
      <c:valAx>
        <c:axId val="171472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6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Aged</a:t>
            </a:r>
            <a:r>
              <a:rPr lang="en-AU" baseline="0"/>
              <a:t> 19 years and under with disability</a:t>
            </a:r>
            <a:endParaRPr lang="en-AU"/>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'[Income support over time.xlsx]Sheet1'!$B$20</c:f>
              <c:strCache>
                <c:ptCount val="1"/>
                <c:pt idx="0">
                  <c:v>Youth Allowance (Other) -Partial capacity to work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time.xlsx]Sheet1'!$B$21:$B$31</c:f>
              <c:numCache>
                <c:formatCode>General</c:formatCode>
                <c:ptCount val="11"/>
                <c:pt idx="0">
                  <c:v>2299</c:v>
                </c:pt>
                <c:pt idx="1">
                  <c:v>2754</c:v>
                </c:pt>
                <c:pt idx="2">
                  <c:v>3235</c:v>
                </c:pt>
                <c:pt idx="3">
                  <c:v>3589</c:v>
                </c:pt>
                <c:pt idx="4">
                  <c:v>4246</c:v>
                </c:pt>
                <c:pt idx="5">
                  <c:v>4752</c:v>
                </c:pt>
                <c:pt idx="6">
                  <c:v>4829</c:v>
                </c:pt>
                <c:pt idx="7">
                  <c:v>4649</c:v>
                </c:pt>
                <c:pt idx="8">
                  <c:v>4014</c:v>
                </c:pt>
                <c:pt idx="9">
                  <c:v>4136</c:v>
                </c:pt>
                <c:pt idx="10">
                  <c:v>5100</c:v>
                </c:pt>
              </c:numCache>
            </c:numRef>
          </c:val>
          <c:smooth val="0"/>
          <c:extLst xmlns:c16r2="http://schemas.microsoft.com/office/drawing/2015/06/chart">
            <c:ext xmlns:c16="http://schemas.microsoft.com/office/drawing/2014/chart" uri="{C3380CC4-5D6E-409C-BE32-E72D297353CC}">
              <c16:uniqueId val="{00000000-07EF-4E45-BD85-0E7E1038CFD8}"/>
            </c:ext>
          </c:extLst>
        </c:ser>
        <c:ser>
          <c:idx val="2"/>
          <c:order val="1"/>
          <c:tx>
            <c:strRef>
              <c:f>'[Income support over time.xlsx]Sheet1'!$C$20</c:f>
              <c:strCache>
                <c:ptCount val="1"/>
                <c:pt idx="0">
                  <c:v>Disability Support Pension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'[Income support over time.xlsx]Sheet1'!$A$21:$A$31</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'[Income support over time.xlsx]Sheet1'!$C$21:$C$31</c:f>
              <c:numCache>
                <c:formatCode>General</c:formatCode>
                <c:ptCount val="11"/>
                <c:pt idx="0">
                  <c:v>18414</c:v>
                </c:pt>
                <c:pt idx="1">
                  <c:v>19814</c:v>
                </c:pt>
                <c:pt idx="2">
                  <c:v>20704</c:v>
                </c:pt>
                <c:pt idx="3">
                  <c:v>20317</c:v>
                </c:pt>
                <c:pt idx="4">
                  <c:v>19001</c:v>
                </c:pt>
                <c:pt idx="5">
                  <c:v>18838</c:v>
                </c:pt>
                <c:pt idx="6">
                  <c:v>16978</c:v>
                </c:pt>
                <c:pt idx="7">
                  <c:v>15201</c:v>
                </c:pt>
                <c:pt idx="8">
                  <c:v>14050</c:v>
                </c:pt>
                <c:pt idx="9">
                  <c:v>13601</c:v>
                </c:pt>
                <c:pt idx="10">
                  <c:v>13843</c:v>
                </c:pt>
              </c:numCache>
            </c:numRef>
          </c:val>
          <c:smooth val="0"/>
          <c:extLst xmlns:c16r2="http://schemas.microsoft.com/office/drawing/2015/06/chart">
            <c:ext xmlns:c16="http://schemas.microsoft.com/office/drawing/2014/chart" uri="{C3380CC4-5D6E-409C-BE32-E72D297353CC}">
              <c16:uniqueId val="{00000001-07EF-4E45-BD85-0E7E1038CFD8}"/>
            </c:ext>
          </c:extLst>
        </c:ser>
        <c:dLbls>
          <c:showLegendKey val="0"/>
          <c:showVal val="0"/>
          <c:showCatName val="0"/>
          <c:showSerName val="0"/>
          <c:showPercent val="0"/>
          <c:showBubbleSize val="0"/>
        </c:dLbls>
        <c:marker val="1"/>
        <c:smooth val="0"/>
        <c:axId val="171467184"/>
        <c:axId val="171468360"/>
      </c:lineChart>
      <c:catAx>
        <c:axId val="17146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8360"/>
        <c:crosses val="autoZero"/>
        <c:auto val="1"/>
        <c:lblAlgn val="ctr"/>
        <c:lblOffset val="100"/>
        <c:noMultiLvlLbl val="0"/>
      </c:catAx>
      <c:valAx>
        <c:axId val="171468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7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61A0-326B-47E5-9490-E832602E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7619</Words>
  <Characters>43430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Mary Sayers</cp:lastModifiedBy>
  <cp:revision>3</cp:revision>
  <cp:lastPrinted>2020-03-04T01:34:00Z</cp:lastPrinted>
  <dcterms:created xsi:type="dcterms:W3CDTF">2020-03-04T01:25:00Z</dcterms:created>
  <dcterms:modified xsi:type="dcterms:W3CDTF">2020-03-04T01:34:00Z</dcterms:modified>
</cp:coreProperties>
</file>